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74" w:rsidRPr="005F3EB7" w:rsidRDefault="009C2B74" w:rsidP="009C2B74">
      <w:pPr>
        <w:pStyle w:val="Bijschrift"/>
        <w:keepNext/>
        <w:spacing w:line="480" w:lineRule="auto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 xml:space="preserve">Supplement </w:t>
      </w:r>
    </w:p>
    <w:p w:rsidR="00EB5305" w:rsidRPr="007C7231" w:rsidRDefault="009C2B74" w:rsidP="00EB5305">
      <w:pPr>
        <w:jc w:val="both"/>
        <w:rPr>
          <w:rFonts w:asciiTheme="minorHAnsi" w:eastAsia="Times New Roman" w:hAnsiTheme="minorHAnsi" w:cs="Segoe UI"/>
          <w:b/>
          <w:i/>
          <w:color w:val="4F81BD" w:themeColor="accent1"/>
          <w:sz w:val="24"/>
          <w:szCs w:val="24"/>
        </w:rPr>
      </w:pPr>
      <w:r>
        <w:rPr>
          <w:rFonts w:ascii="Arial" w:eastAsiaTheme="majorEastAsia" w:hAnsi="Arial" w:cs="Arial"/>
          <w:b/>
          <w:bCs/>
          <w:iCs/>
          <w:sz w:val="24"/>
          <w:szCs w:val="24"/>
        </w:rPr>
        <w:t>T</w:t>
      </w:r>
      <w:r w:rsidR="00EB5305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able </w:t>
      </w:r>
      <w:r w:rsidR="0079616A">
        <w:rPr>
          <w:rFonts w:ascii="Arial" w:eastAsiaTheme="majorEastAsia" w:hAnsi="Arial" w:cs="Arial"/>
          <w:b/>
          <w:bCs/>
          <w:iCs/>
          <w:sz w:val="24"/>
          <w:szCs w:val="24"/>
        </w:rPr>
        <w:t>S</w:t>
      </w:r>
      <w:r w:rsidR="006A16C9">
        <w:rPr>
          <w:rFonts w:ascii="Arial" w:eastAsiaTheme="majorEastAsia" w:hAnsi="Arial" w:cs="Arial"/>
          <w:b/>
          <w:bCs/>
          <w:iCs/>
          <w:sz w:val="24"/>
          <w:szCs w:val="24"/>
        </w:rPr>
        <w:t>2</w:t>
      </w:r>
      <w:bookmarkStart w:id="0" w:name="_GoBack"/>
      <w:bookmarkEnd w:id="0"/>
      <w:r w:rsidR="00EB5305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. </w:t>
      </w:r>
      <w:r w:rsidR="00EB5305" w:rsidRPr="00D54FF4">
        <w:rPr>
          <w:rFonts w:ascii="Arial" w:eastAsiaTheme="majorEastAsia" w:hAnsi="Arial" w:cs="Arial"/>
          <w:bCs/>
          <w:iCs/>
          <w:sz w:val="24"/>
          <w:szCs w:val="24"/>
        </w:rPr>
        <w:t>Overview of the associations between Z-scores for postnatal weight for length gain rates (WLG) and sitting systolic blo</w:t>
      </w:r>
      <w:r w:rsidR="00EB5305">
        <w:rPr>
          <w:rFonts w:ascii="Arial" w:eastAsiaTheme="majorEastAsia" w:hAnsi="Arial" w:cs="Arial"/>
          <w:bCs/>
          <w:iCs/>
          <w:sz w:val="24"/>
          <w:szCs w:val="24"/>
        </w:rPr>
        <w:t>od pressure (SBP) (crude model) and</w:t>
      </w:r>
      <w:r w:rsidR="00EB5305" w:rsidRPr="00D54FF4">
        <w:rPr>
          <w:rFonts w:ascii="Arial" w:eastAsiaTheme="majorEastAsia" w:hAnsi="Arial" w:cs="Arial"/>
          <w:bCs/>
          <w:iCs/>
          <w:sz w:val="24"/>
          <w:szCs w:val="24"/>
        </w:rPr>
        <w:t xml:space="preserve"> adjusted f</w:t>
      </w:r>
      <w:r w:rsidR="00EB5305">
        <w:rPr>
          <w:rFonts w:ascii="Arial" w:eastAsiaTheme="majorEastAsia" w:hAnsi="Arial" w:cs="Arial"/>
          <w:bCs/>
          <w:iCs/>
          <w:sz w:val="24"/>
          <w:szCs w:val="24"/>
        </w:rPr>
        <w:t>or ethnicity and sex (model 1). S</w:t>
      </w:r>
      <w:r w:rsidR="00EB5305" w:rsidRPr="00D54FF4">
        <w:rPr>
          <w:rFonts w:ascii="Arial" w:eastAsiaTheme="majorEastAsia" w:hAnsi="Arial" w:cs="Arial"/>
          <w:bCs/>
          <w:iCs/>
          <w:sz w:val="24"/>
          <w:szCs w:val="24"/>
        </w:rPr>
        <w:t>everal explanatory models includ</w:t>
      </w:r>
      <w:r w:rsidR="00EB5305">
        <w:rPr>
          <w:rFonts w:ascii="Arial" w:eastAsiaTheme="majorEastAsia" w:hAnsi="Arial" w:cs="Arial"/>
          <w:bCs/>
          <w:iCs/>
          <w:sz w:val="24"/>
          <w:szCs w:val="24"/>
        </w:rPr>
        <w:t>ed</w:t>
      </w:r>
      <w:r w:rsidR="00EB5305" w:rsidRPr="00D54FF4">
        <w:rPr>
          <w:rFonts w:ascii="Arial" w:eastAsiaTheme="majorEastAsia" w:hAnsi="Arial" w:cs="Arial"/>
          <w:bCs/>
          <w:iCs/>
          <w:sz w:val="24"/>
          <w:szCs w:val="24"/>
        </w:rPr>
        <w:t xml:space="preserve"> additionally </w:t>
      </w:r>
      <w:r w:rsidR="00EB5305">
        <w:rPr>
          <w:rFonts w:ascii="Arial" w:eastAsiaTheme="majorEastAsia" w:hAnsi="Arial" w:cs="Arial"/>
          <w:bCs/>
          <w:iCs/>
          <w:sz w:val="24"/>
          <w:szCs w:val="24"/>
        </w:rPr>
        <w:t xml:space="preserve">to investigate whether these explain the association of interest. </w:t>
      </w:r>
      <w:r w:rsidR="00774ABF">
        <w:rPr>
          <w:rFonts w:ascii="Arial" w:eastAsiaTheme="majorEastAsia" w:hAnsi="Arial" w:cs="Arial"/>
          <w:bCs/>
          <w:iCs/>
          <w:sz w:val="24"/>
          <w:szCs w:val="24"/>
        </w:rPr>
        <w:t xml:space="preserve">BP=blood pressure; CVD=cardiovascular disease; BMI=body mass index; VAT=visceral adipose tissue; SAT=subcutaneous adipose tissue. 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3899"/>
        <w:gridCol w:w="1134"/>
      </w:tblGrid>
      <w:tr w:rsidR="004A2E55" w:rsidRPr="00A007C7" w:rsidTr="008B769E">
        <w:trPr>
          <w:trHeight w:val="534"/>
        </w:trPr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A2E55" w:rsidRPr="00A007C7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A2E55" w:rsidRPr="00A007C7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Systolic blood pressure (mmHg)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  <w:r w:rsidRPr="00A00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β</w:t>
            </w:r>
            <w:r w:rsidRPr="00A007C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P-value</w:t>
            </w:r>
          </w:p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Pr="00A007C7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A007C7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Crude model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(n = 802</w:t>
            </w:r>
            <w:r w:rsidRPr="00A007C7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noWrap/>
            <w:vAlign w:val="center"/>
          </w:tcPr>
          <w:p w:rsidR="004A2E55" w:rsidRPr="00A007C7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007C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0.5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62</w:t>
            </w:r>
            <w:r w:rsidRPr="00A007C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(0.0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  <w:r w:rsidRPr="00A007C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; 1.1)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2E55" w:rsidRPr="00A007C7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0.05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Pr="00A007C7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A007C7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Model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(M1) </w:t>
            </w:r>
            <w:r w:rsidRPr="00A00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*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l-NL"/>
              </w:rPr>
              <w:t>(n = 654</w:t>
            </w:r>
            <w:r w:rsidRPr="00A007C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3899" w:type="dxa"/>
            <w:noWrap/>
            <w:vAlign w:val="center"/>
          </w:tcPr>
          <w:p w:rsidR="004A2E55" w:rsidRPr="00A007C7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A007C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909</w:t>
            </w:r>
            <w:r w:rsidRPr="00A007C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(0.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  <w:r w:rsidRPr="00A007C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; 1.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  <w:r w:rsidRPr="00A007C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1134" w:type="dxa"/>
          </w:tcPr>
          <w:p w:rsidR="004A2E55" w:rsidRPr="00A007C7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&lt;0.01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Pr="00A007C7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M1 + parental BP</w:t>
            </w:r>
          </w:p>
        </w:tc>
        <w:tc>
          <w:tcPr>
            <w:tcW w:w="3899" w:type="dxa"/>
            <w:noWrap/>
            <w:vAlign w:val="center"/>
          </w:tcPr>
          <w:p w:rsidR="004A2E55" w:rsidRPr="00A007C7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0.971 (0.2; 1.7)</w:t>
            </w:r>
          </w:p>
        </w:tc>
        <w:tc>
          <w:tcPr>
            <w:tcW w:w="1134" w:type="dxa"/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0.01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M1 + (grand)parent CVD</w:t>
            </w:r>
          </w:p>
        </w:tc>
        <w:tc>
          <w:tcPr>
            <w:tcW w:w="3899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0.869 (</w:t>
            </w:r>
            <w:r w:rsidRPr="002B376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0.2; 1.5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1134" w:type="dxa"/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&lt;0.01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M1 + smoke exposure during pregnancy</w:t>
            </w:r>
          </w:p>
        </w:tc>
        <w:tc>
          <w:tcPr>
            <w:tcW w:w="3899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0.885 (0.3; 1.5)</w:t>
            </w:r>
          </w:p>
        </w:tc>
        <w:tc>
          <w:tcPr>
            <w:tcW w:w="1134" w:type="dxa"/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&lt;0.01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M1 + birth size</w:t>
            </w:r>
          </w:p>
        </w:tc>
        <w:tc>
          <w:tcPr>
            <w:tcW w:w="3899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0.969 (0.3; 1.7)</w:t>
            </w:r>
          </w:p>
        </w:tc>
        <w:tc>
          <w:tcPr>
            <w:tcW w:w="1134" w:type="dxa"/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&lt;0.01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M1 + breastfeeding </w:t>
            </w:r>
          </w:p>
        </w:tc>
        <w:tc>
          <w:tcPr>
            <w:tcW w:w="3899" w:type="dxa"/>
            <w:noWrap/>
            <w:vAlign w:val="center"/>
          </w:tcPr>
          <w:p w:rsidR="004A2E55" w:rsidRDefault="004A2E55" w:rsidP="004A2E55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0.920 (0.3; 1.5)</w:t>
            </w:r>
          </w:p>
        </w:tc>
        <w:tc>
          <w:tcPr>
            <w:tcW w:w="1134" w:type="dxa"/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&lt;0.01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M1 + BMI at follow-up</w:t>
            </w:r>
          </w:p>
        </w:tc>
        <w:tc>
          <w:tcPr>
            <w:tcW w:w="3899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0.575 (-0.1; 1.2)</w:t>
            </w:r>
          </w:p>
        </w:tc>
        <w:tc>
          <w:tcPr>
            <w:tcW w:w="1134" w:type="dxa"/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0.08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M1 + VAT at follow-up</w:t>
            </w:r>
          </w:p>
        </w:tc>
        <w:tc>
          <w:tcPr>
            <w:tcW w:w="3899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0.663 (0.0; 1.3)</w:t>
            </w:r>
          </w:p>
        </w:tc>
        <w:tc>
          <w:tcPr>
            <w:tcW w:w="1134" w:type="dxa"/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0.05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M1 + SAT at follow-up</w:t>
            </w:r>
          </w:p>
        </w:tc>
        <w:tc>
          <w:tcPr>
            <w:tcW w:w="3899" w:type="dxa"/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0.772 (0.1; 1.4)</w:t>
            </w:r>
          </w:p>
        </w:tc>
        <w:tc>
          <w:tcPr>
            <w:tcW w:w="1134" w:type="dxa"/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0.02</w:t>
            </w:r>
          </w:p>
        </w:tc>
      </w:tr>
      <w:tr w:rsidR="004A2E55" w:rsidRPr="00A007C7" w:rsidTr="008B769E">
        <w:trPr>
          <w:trHeight w:val="286"/>
        </w:trPr>
        <w:tc>
          <w:tcPr>
            <w:tcW w:w="4676" w:type="dxa"/>
            <w:tcBorders>
              <w:bottom w:val="single" w:sz="4" w:space="0" w:color="auto"/>
            </w:tcBorders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M1 + parental smoking postnatal</w:t>
            </w:r>
          </w:p>
        </w:tc>
        <w:tc>
          <w:tcPr>
            <w:tcW w:w="3899" w:type="dxa"/>
            <w:tcBorders>
              <w:bottom w:val="single" w:sz="4" w:space="0" w:color="auto"/>
            </w:tcBorders>
            <w:noWrap/>
            <w:vAlign w:val="center"/>
          </w:tcPr>
          <w:p w:rsidR="004A2E55" w:rsidRDefault="004A2E55" w:rsidP="005364E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0.857 (0.2; 1.5)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E55" w:rsidRDefault="004A2E55" w:rsidP="008B769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&lt;0.01</w:t>
            </w:r>
          </w:p>
        </w:tc>
      </w:tr>
    </w:tbl>
    <w:p w:rsidR="00FA2637" w:rsidRPr="004A2E55" w:rsidRDefault="00EB5305" w:rsidP="004A2E55">
      <w:pPr>
        <w:spacing w:line="480" w:lineRule="auto"/>
        <w:rPr>
          <w:rFonts w:ascii="Arial" w:hAnsi="Arial" w:cs="Arial"/>
          <w:sz w:val="24"/>
          <w:szCs w:val="24"/>
        </w:rPr>
      </w:pPr>
      <w:r w:rsidRPr="00A007C7">
        <w:rPr>
          <w:rFonts w:ascii="Arial" w:hAnsi="Arial" w:cs="Arial"/>
          <w:sz w:val="24"/>
          <w:szCs w:val="24"/>
        </w:rPr>
        <w:t xml:space="preserve">* Adjusted for ethnicity and sex. </w:t>
      </w:r>
    </w:p>
    <w:sectPr w:rsidR="00FA2637" w:rsidRPr="004A2E55" w:rsidSect="008B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05"/>
    <w:rsid w:val="000A486C"/>
    <w:rsid w:val="004811D5"/>
    <w:rsid w:val="004A2E55"/>
    <w:rsid w:val="00566764"/>
    <w:rsid w:val="006A16C9"/>
    <w:rsid w:val="00774ABF"/>
    <w:rsid w:val="0079616A"/>
    <w:rsid w:val="007B371C"/>
    <w:rsid w:val="008B769E"/>
    <w:rsid w:val="009C2B74"/>
    <w:rsid w:val="00EB5305"/>
    <w:rsid w:val="00F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53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nhideWhenUsed/>
    <w:qFormat/>
    <w:rsid w:val="009C2B74"/>
    <w:pPr>
      <w:spacing w:line="240" w:lineRule="auto"/>
    </w:pPr>
    <w:rPr>
      <w:rFonts w:asciiTheme="minorHAnsi" w:hAnsiTheme="minorHAnsi"/>
      <w:b/>
      <w:bCs/>
      <w:color w:val="4F81BD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53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nhideWhenUsed/>
    <w:qFormat/>
    <w:rsid w:val="009C2B74"/>
    <w:pPr>
      <w:spacing w:line="240" w:lineRule="auto"/>
    </w:pPr>
    <w:rPr>
      <w:rFonts w:asciiTheme="minorHAnsi" w:hAnsiTheme="minorHAnsi"/>
      <w:b/>
      <w:bCs/>
      <w:color w:val="4F81BD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98B79658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</dc:creator>
  <cp:lastModifiedBy>Jansen</cp:lastModifiedBy>
  <cp:revision>2</cp:revision>
  <dcterms:created xsi:type="dcterms:W3CDTF">2018-11-21T13:30:00Z</dcterms:created>
  <dcterms:modified xsi:type="dcterms:W3CDTF">2018-11-21T13:30:00Z</dcterms:modified>
</cp:coreProperties>
</file>