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0FB2D" w14:textId="77777777" w:rsidR="007E39C2" w:rsidRDefault="00DC2E21">
      <w:pPr>
        <w:rPr>
          <w:sz w:val="18"/>
          <w:szCs w:val="18"/>
        </w:rPr>
      </w:pPr>
      <w:r>
        <w:rPr>
          <w:sz w:val="18"/>
          <w:szCs w:val="18"/>
        </w:rPr>
        <w:t>Table S2. AIC and BIC scores for covariate-by-time interaction in linear mixed-effects regression models</w:t>
      </w:r>
    </w:p>
    <w:tbl>
      <w:tblPr>
        <w:tblStyle w:val="a"/>
        <w:tblW w:w="129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75"/>
        <w:gridCol w:w="3585"/>
        <w:gridCol w:w="3255"/>
        <w:gridCol w:w="1530"/>
        <w:gridCol w:w="1530"/>
      </w:tblGrid>
      <w:tr w:rsidR="00353F43" w14:paraId="4B6ADF95" w14:textId="77777777">
        <w:trPr>
          <w:trHeight w:val="42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0C0AB" w14:textId="77777777" w:rsidR="00353F43" w:rsidRDefault="00353F43" w:rsidP="00353F43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bookmarkStart w:id="0" w:name="_GoBack" w:colFirst="3" w:colLast="4"/>
            <w:r>
              <w:rPr>
                <w:b/>
                <w:sz w:val="18"/>
                <w:szCs w:val="18"/>
              </w:rPr>
              <w:t>Covariate-by-time interaction</w:t>
            </w:r>
          </w:p>
        </w:tc>
        <w:tc>
          <w:tcPr>
            <w:tcW w:w="35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C395C" w14:textId="77777777" w:rsidR="00353F43" w:rsidRDefault="00353F43" w:rsidP="00353F43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Fixed-effects</w:t>
            </w:r>
          </w:p>
        </w:tc>
        <w:tc>
          <w:tcPr>
            <w:tcW w:w="32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6513" w14:textId="77777777" w:rsidR="00353F43" w:rsidRDefault="00353F43" w:rsidP="00353F43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Random-effects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F5DE5" w14:textId="51ACF391" w:rsidR="00353F43" w:rsidRDefault="00353F43" w:rsidP="00353F43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AIC</w:t>
            </w:r>
            <w:r w:rsidRPr="007D42E3">
              <w:rPr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20BC9" w14:textId="369D9FD5" w:rsidR="00353F43" w:rsidRDefault="00353F43" w:rsidP="00353F43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BIC</w:t>
            </w:r>
            <w:r w:rsidRPr="007D42E3">
              <w:rPr>
                <w:sz w:val="18"/>
                <w:szCs w:val="18"/>
                <w:vertAlign w:val="superscript"/>
              </w:rPr>
              <w:t>††</w:t>
            </w:r>
          </w:p>
        </w:tc>
      </w:tr>
      <w:bookmarkEnd w:id="0"/>
      <w:tr w:rsidR="007E39C2" w14:paraId="6C274D01" w14:textId="77777777">
        <w:trPr>
          <w:trHeight w:val="42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02E7E" w14:textId="77777777" w:rsidR="007E39C2" w:rsidRDefault="00DC2E21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None</w:t>
            </w:r>
          </w:p>
        </w:tc>
        <w:tc>
          <w:tcPr>
            <w:tcW w:w="358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9009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Placental insufficiency</w:t>
            </w:r>
          </w:p>
          <w:p w14:paraId="4EA67133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Linear term of time</w:t>
            </w:r>
          </w:p>
          <w:p w14:paraId="625199C0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Quadratic terms of time</w:t>
            </w:r>
          </w:p>
          <w:p w14:paraId="6F844DFD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Interaction term between placental insufficiency and linear term of time</w:t>
            </w:r>
          </w:p>
          <w:p w14:paraId="41B0CAB0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Calories in the first 7 days of life</w:t>
            </w:r>
          </w:p>
          <w:p w14:paraId="365C8B71" w14:textId="77777777" w:rsidR="007E39C2" w:rsidRDefault="00DC2E21" w:rsidP="00447D3A">
            <w:pPr>
              <w:widowControl w:val="0"/>
              <w:spacing w:after="120" w:line="240" w:lineRule="auto"/>
              <w:ind w:left="230" w:hanging="2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Days of antibiotics</w:t>
            </w:r>
          </w:p>
        </w:tc>
        <w:tc>
          <w:tcPr>
            <w:tcW w:w="325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5E4F29" w14:textId="77777777" w:rsidR="007E39C2" w:rsidRDefault="00DC2E21" w:rsidP="00447D3A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Intercept</w:t>
            </w:r>
          </w:p>
          <w:p w14:paraId="180F9AF5" w14:textId="77777777" w:rsidR="007E39C2" w:rsidRDefault="00DC2E21" w:rsidP="00447D3A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linear term of time</w:t>
            </w:r>
          </w:p>
          <w:p w14:paraId="29B87249" w14:textId="77777777" w:rsidR="007E39C2" w:rsidRDefault="00DC2E21" w:rsidP="00447D3A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Slope for quadratic term of time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526B9" w14:textId="77777777" w:rsidR="007E39C2" w:rsidRDefault="00DC2E21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665.41*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B56A1" w14:textId="77777777" w:rsidR="007E39C2" w:rsidRDefault="00DC2E21">
            <w:pPr>
              <w:widowControl w:val="0"/>
              <w:spacing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739.16*</w:t>
            </w:r>
          </w:p>
        </w:tc>
      </w:tr>
      <w:tr w:rsidR="007E39C2" w14:paraId="4E78ED39" w14:textId="77777777">
        <w:trPr>
          <w:trHeight w:val="42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21C92" w14:textId="77777777" w:rsidR="007E39C2" w:rsidRDefault="00DC2E21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Calories in the first 7 days of life</w:t>
            </w:r>
          </w:p>
        </w:tc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D498" w14:textId="77777777" w:rsidR="007E39C2" w:rsidRDefault="007E39C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EB6F7" w14:textId="77777777" w:rsidR="007E39C2" w:rsidRDefault="007E39C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0336" w14:textId="77777777" w:rsidR="007E39C2" w:rsidRDefault="00DC2E2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667.39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E1499" w14:textId="77777777" w:rsidR="007E39C2" w:rsidRDefault="00DC2E2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746.40</w:t>
            </w:r>
          </w:p>
        </w:tc>
      </w:tr>
      <w:tr w:rsidR="007E39C2" w14:paraId="64FFEE77" w14:textId="77777777">
        <w:trPr>
          <w:trHeight w:val="420"/>
        </w:trPr>
        <w:tc>
          <w:tcPr>
            <w:tcW w:w="30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19407" w14:textId="77777777" w:rsidR="007E39C2" w:rsidRDefault="00DC2E21"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Days of antibiotics</w:t>
            </w:r>
          </w:p>
        </w:tc>
        <w:tc>
          <w:tcPr>
            <w:tcW w:w="358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89D1E" w14:textId="77777777" w:rsidR="007E39C2" w:rsidRDefault="007E39C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5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07A2A" w14:textId="77777777" w:rsidR="007E39C2" w:rsidRDefault="007E39C2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B772B" w14:textId="77777777" w:rsidR="007E39C2" w:rsidRDefault="00DC2E2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666.50</w:t>
            </w: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7ABA1" w14:textId="77777777" w:rsidR="007E39C2" w:rsidRDefault="00DC2E2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745.51</w:t>
            </w:r>
          </w:p>
        </w:tc>
      </w:tr>
    </w:tbl>
    <w:p w14:paraId="01A20440" w14:textId="77777777" w:rsidR="00353F43" w:rsidRDefault="00353F43" w:rsidP="00353F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 w:rsidRPr="007D42E3">
        <w:rPr>
          <w:sz w:val="18"/>
          <w:szCs w:val="18"/>
          <w:vertAlign w:val="superscript"/>
        </w:rPr>
        <w:t>†</w:t>
      </w:r>
      <w:r w:rsidRPr="007D42E3">
        <w:rPr>
          <w:sz w:val="18"/>
          <w:szCs w:val="18"/>
        </w:rPr>
        <w:t>AIC: Akaike Information Criterion</w:t>
      </w:r>
    </w:p>
    <w:p w14:paraId="3F89B715" w14:textId="77777777" w:rsidR="00353F43" w:rsidRDefault="00353F43" w:rsidP="00353F43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sz w:val="18"/>
          <w:szCs w:val="18"/>
        </w:rPr>
      </w:pPr>
      <w:r w:rsidRPr="007D42E3">
        <w:rPr>
          <w:sz w:val="18"/>
          <w:szCs w:val="18"/>
          <w:vertAlign w:val="superscript"/>
        </w:rPr>
        <w:t>††</w:t>
      </w:r>
      <w:r w:rsidRPr="007D42E3">
        <w:rPr>
          <w:sz w:val="18"/>
          <w:szCs w:val="18"/>
        </w:rPr>
        <w:t>BIC: Bayesian Information Criterion</w:t>
      </w:r>
    </w:p>
    <w:p w14:paraId="496C4729" w14:textId="31C2666E" w:rsidR="007E39C2" w:rsidRDefault="00DC2E21">
      <w:pPr>
        <w:rPr>
          <w:sz w:val="18"/>
          <w:szCs w:val="18"/>
        </w:rPr>
      </w:pPr>
      <w:r>
        <w:rPr>
          <w:sz w:val="18"/>
          <w:szCs w:val="18"/>
        </w:rPr>
        <w:t>*lowest score</w:t>
      </w:r>
    </w:p>
    <w:sectPr w:rsidR="007E39C2" w:rsidSect="003261DB">
      <w:pgSz w:w="15840" w:h="1224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49482E"/>
    <w:multiLevelType w:val="multilevel"/>
    <w:tmpl w:val="7D324F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07925B0"/>
    <w:multiLevelType w:val="multilevel"/>
    <w:tmpl w:val="30E417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9C2"/>
    <w:rsid w:val="003261DB"/>
    <w:rsid w:val="00353F43"/>
    <w:rsid w:val="00447D3A"/>
    <w:rsid w:val="007E39C2"/>
    <w:rsid w:val="00DC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B02642"/>
  <w15:docId w15:val="{F222C0DF-D8CE-9945-93FC-9F3B26019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Chou, Fu-Sheng,</cp:lastModifiedBy>
  <cp:revision>5</cp:revision>
  <dcterms:created xsi:type="dcterms:W3CDTF">2019-05-21T19:47:00Z</dcterms:created>
  <dcterms:modified xsi:type="dcterms:W3CDTF">2019-05-28T04:20:00Z</dcterms:modified>
</cp:coreProperties>
</file>