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B868" w14:textId="77777777" w:rsidR="00186E55" w:rsidRDefault="00186E55">
      <w:pPr>
        <w:widowControl/>
        <w:jc w:val="left"/>
        <w:rPr>
          <w:rFonts w:ascii="Times New Roman" w:hAnsi="Times New Roman" w:cs="Times New Roman"/>
          <w:sz w:val="20"/>
          <w:lang w:val="en-AU"/>
        </w:rPr>
      </w:pPr>
    </w:p>
    <w:p w14:paraId="501F2E4B" w14:textId="77777777" w:rsidR="001366BD" w:rsidRPr="00775208" w:rsidRDefault="006A39C4" w:rsidP="006A39C4">
      <w:pPr>
        <w:widowControl/>
        <w:jc w:val="center"/>
        <w:rPr>
          <w:rFonts w:ascii="Times New Roman" w:hAnsi="Times New Roman" w:cs="Times New Roman"/>
          <w:b/>
          <w:sz w:val="24"/>
          <w:szCs w:val="24"/>
          <w:lang w:val="en-AU"/>
        </w:rPr>
      </w:pPr>
      <w:r w:rsidRPr="00775208">
        <w:rPr>
          <w:rFonts w:ascii="Times New Roman" w:hAnsi="Times New Roman" w:cs="Times New Roman" w:hint="eastAsia"/>
          <w:b/>
          <w:sz w:val="24"/>
          <w:szCs w:val="24"/>
          <w:lang w:val="en-AU"/>
        </w:rPr>
        <w:t>S</w:t>
      </w:r>
      <w:r w:rsidRPr="00775208">
        <w:rPr>
          <w:rFonts w:ascii="Times New Roman" w:hAnsi="Times New Roman" w:cs="Times New Roman"/>
          <w:b/>
          <w:sz w:val="24"/>
          <w:szCs w:val="24"/>
          <w:lang w:val="en-AU"/>
        </w:rPr>
        <w:t xml:space="preserve">upplementary Material </w:t>
      </w:r>
    </w:p>
    <w:p w14:paraId="573FDC25" w14:textId="38DCFBE5" w:rsidR="001366BD" w:rsidRDefault="001366BD" w:rsidP="006A39C4">
      <w:pPr>
        <w:widowControl/>
        <w:jc w:val="center"/>
        <w:rPr>
          <w:rFonts w:ascii="Times New Roman" w:hAnsi="Times New Roman" w:cs="Times New Roman"/>
          <w:sz w:val="20"/>
          <w:lang w:val="en-AU"/>
        </w:rPr>
      </w:pPr>
      <w:r w:rsidRPr="001366BD">
        <w:rPr>
          <w:rFonts w:ascii="Times New Roman" w:hAnsi="Times New Roman" w:cs="Times New Roman"/>
          <w:sz w:val="20"/>
          <w:lang w:val="en-AU"/>
        </w:rPr>
        <w:t xml:space="preserve">The association between menarche and myopia and its interaction with related risk </w:t>
      </w:r>
      <w:proofErr w:type="spellStart"/>
      <w:r w:rsidRPr="001366BD">
        <w:rPr>
          <w:rFonts w:ascii="Times New Roman" w:hAnsi="Times New Roman" w:cs="Times New Roman"/>
          <w:sz w:val="20"/>
          <w:lang w:val="en-AU"/>
        </w:rPr>
        <w:t>behaviors</w:t>
      </w:r>
      <w:proofErr w:type="spellEnd"/>
      <w:r w:rsidRPr="001366BD">
        <w:rPr>
          <w:rFonts w:ascii="Times New Roman" w:hAnsi="Times New Roman" w:cs="Times New Roman"/>
          <w:sz w:val="20"/>
          <w:lang w:val="en-AU"/>
        </w:rPr>
        <w:t xml:space="preserve"> among Chinese school-aged girls: a nationwide cross-sectional study  </w:t>
      </w:r>
    </w:p>
    <w:p w14:paraId="0AB265CA" w14:textId="77777777" w:rsidR="00DB383B" w:rsidRDefault="00DB383B" w:rsidP="006A39C4">
      <w:pPr>
        <w:widowControl/>
        <w:jc w:val="center"/>
        <w:rPr>
          <w:rFonts w:ascii="Times New Roman" w:hAnsi="Times New Roman" w:cs="Times New Roman"/>
          <w:b/>
          <w:sz w:val="20"/>
          <w:lang w:val="en-AU"/>
        </w:rPr>
      </w:pPr>
      <w:r w:rsidRPr="00DB383B">
        <w:rPr>
          <w:rFonts w:ascii="Times New Roman" w:hAnsi="Times New Roman" w:cs="Times New Roman" w:hint="eastAsia"/>
          <w:b/>
          <w:sz w:val="22"/>
          <w:lang w:val="en-AU"/>
        </w:rPr>
        <w:t>T</w:t>
      </w:r>
      <w:r w:rsidRPr="00DB383B">
        <w:rPr>
          <w:rFonts w:ascii="Times New Roman" w:hAnsi="Times New Roman" w:cs="Times New Roman"/>
          <w:b/>
          <w:sz w:val="22"/>
          <w:lang w:val="en-AU"/>
        </w:rPr>
        <w:t>able of Contents</w:t>
      </w:r>
    </w:p>
    <w:p w14:paraId="78F7B0E6" w14:textId="77777777" w:rsidR="005B44E7" w:rsidRDefault="00775208" w:rsidP="00DB383B">
      <w:pPr>
        <w:pStyle w:val="ListParagraph"/>
        <w:widowControl/>
        <w:numPr>
          <w:ilvl w:val="0"/>
          <w:numId w:val="2"/>
        </w:numPr>
        <w:ind w:firstLineChars="0"/>
        <w:rPr>
          <w:rFonts w:ascii="Times New Roman" w:hAnsi="Times New Roman" w:cs="Times New Roman"/>
          <w:b/>
          <w:sz w:val="20"/>
          <w:lang w:val="en-AU"/>
        </w:rPr>
      </w:pPr>
      <w:r w:rsidRPr="00DA2A19">
        <w:rPr>
          <w:rFonts w:ascii="Times New Roman" w:eastAsia="等线" w:hAnsi="Times New Roman" w:cs="Times New Roman"/>
          <w:b/>
          <w:bCs/>
          <w:color w:val="000000"/>
          <w:kern w:val="0"/>
          <w:sz w:val="22"/>
        </w:rPr>
        <w:t>Supplementary Table S1</w:t>
      </w:r>
      <w:r w:rsidRPr="00DA2A19">
        <w:rPr>
          <w:rFonts w:ascii="Times New Roman" w:eastAsia="等线" w:hAnsi="Times New Roman" w:cs="Times New Roman"/>
          <w:color w:val="000000"/>
          <w:kern w:val="0"/>
          <w:sz w:val="22"/>
        </w:rPr>
        <w:t>. The validation of the definition of myopia in CNSSCH compared to gold standard</w:t>
      </w:r>
    </w:p>
    <w:p w14:paraId="514A6270" w14:textId="77777777" w:rsidR="00775208" w:rsidRPr="00775208" w:rsidRDefault="00775208" w:rsidP="005B44E7">
      <w:pPr>
        <w:pStyle w:val="ListParagraph"/>
        <w:numPr>
          <w:ilvl w:val="0"/>
          <w:numId w:val="2"/>
        </w:numPr>
        <w:ind w:firstLineChars="0"/>
        <w:rPr>
          <w:rFonts w:ascii="Times New Roman" w:hAnsi="Times New Roman" w:cs="Times New Roman"/>
          <w:b/>
          <w:sz w:val="22"/>
          <w:lang w:val="en-AU"/>
        </w:rPr>
      </w:pPr>
      <w:r w:rsidRPr="00775208">
        <w:rPr>
          <w:rFonts w:ascii="Times New Roman" w:hAnsi="Times New Roman" w:cs="Times New Roman"/>
          <w:b/>
          <w:sz w:val="22"/>
        </w:rPr>
        <w:t xml:space="preserve">Supplementary </w:t>
      </w:r>
      <w:r w:rsidRPr="00775208">
        <w:rPr>
          <w:rFonts w:ascii="Times New Roman" w:eastAsia="等线" w:hAnsi="Times New Roman" w:cs="Times New Roman"/>
          <w:b/>
          <w:bCs/>
          <w:kern w:val="0"/>
          <w:sz w:val="22"/>
          <w:szCs w:val="20"/>
        </w:rPr>
        <w:t xml:space="preserve">Table S2. </w:t>
      </w:r>
      <w:r w:rsidRPr="00775208">
        <w:rPr>
          <w:rFonts w:ascii="Times New Roman" w:eastAsia="等线" w:hAnsi="Times New Roman" w:cs="Times New Roman"/>
          <w:bCs/>
          <w:kern w:val="0"/>
          <w:sz w:val="22"/>
          <w:szCs w:val="20"/>
        </w:rPr>
        <w:t xml:space="preserve">The univariate Spearman correlation coefficients matrix of variables included in analysis </w:t>
      </w:r>
    </w:p>
    <w:p w14:paraId="2DAF3855" w14:textId="77777777" w:rsidR="00DB383B" w:rsidRPr="00775208" w:rsidRDefault="00775208" w:rsidP="00DB383B">
      <w:pPr>
        <w:pStyle w:val="ListParagraph"/>
        <w:widowControl/>
        <w:numPr>
          <w:ilvl w:val="0"/>
          <w:numId w:val="2"/>
        </w:numPr>
        <w:ind w:firstLineChars="0"/>
        <w:rPr>
          <w:rFonts w:ascii="Times New Roman" w:hAnsi="Times New Roman" w:cs="Times New Roman"/>
          <w:b/>
          <w:sz w:val="22"/>
          <w:lang w:val="en-AU"/>
        </w:rPr>
      </w:pPr>
      <w:r w:rsidRPr="00775208">
        <w:rPr>
          <w:rStyle w:val="fontstyle01"/>
          <w:b/>
          <w:sz w:val="22"/>
        </w:rPr>
        <w:t>Supplementary</w:t>
      </w:r>
      <w:r w:rsidRPr="00775208">
        <w:rPr>
          <w:b/>
          <w:sz w:val="24"/>
        </w:rPr>
        <w:t xml:space="preserve"> </w:t>
      </w:r>
      <w:r w:rsidRPr="00775208">
        <w:rPr>
          <w:rFonts w:ascii="Times New Roman" w:eastAsia="等线" w:hAnsi="Times New Roman" w:cs="Times New Roman"/>
          <w:b/>
          <w:bCs/>
          <w:color w:val="000000"/>
          <w:kern w:val="0"/>
          <w:sz w:val="22"/>
          <w:szCs w:val="20"/>
        </w:rPr>
        <w:t xml:space="preserve">Table S3. </w:t>
      </w:r>
      <w:r w:rsidRPr="00775208">
        <w:rPr>
          <w:rFonts w:ascii="Times New Roman" w:eastAsia="等线" w:hAnsi="Times New Roman" w:cs="Times New Roman"/>
          <w:bCs/>
          <w:color w:val="000000"/>
          <w:kern w:val="0"/>
          <w:sz w:val="22"/>
          <w:szCs w:val="20"/>
        </w:rPr>
        <w:t>The diagnose of multi-collinearity in several models</w:t>
      </w:r>
    </w:p>
    <w:p w14:paraId="3610DFF5" w14:textId="77777777" w:rsidR="00DB383B" w:rsidRDefault="00DB383B" w:rsidP="00DB383B">
      <w:pPr>
        <w:pStyle w:val="ListParagraph"/>
        <w:widowControl/>
        <w:ind w:left="420" w:firstLineChars="0" w:firstLine="0"/>
        <w:rPr>
          <w:rFonts w:ascii="Times New Roman" w:hAnsi="Times New Roman" w:cs="Times New Roman"/>
          <w:b/>
          <w:sz w:val="20"/>
          <w:lang w:val="en-AU"/>
        </w:rPr>
      </w:pPr>
    </w:p>
    <w:p w14:paraId="406C93FE" w14:textId="77777777" w:rsidR="005B44E7" w:rsidRDefault="005B44E7">
      <w:pPr>
        <w:widowControl/>
        <w:jc w:val="left"/>
        <w:rPr>
          <w:rFonts w:ascii="Times New Roman" w:hAnsi="Times New Roman" w:cs="Times New Roman"/>
          <w:b/>
          <w:sz w:val="20"/>
          <w:lang w:val="en-AU"/>
        </w:rPr>
      </w:pPr>
      <w:r>
        <w:rPr>
          <w:rFonts w:ascii="Times New Roman" w:hAnsi="Times New Roman" w:cs="Times New Roman"/>
          <w:b/>
          <w:sz w:val="20"/>
          <w:lang w:val="en-AU"/>
        </w:rPr>
        <w:br w:type="page"/>
      </w:r>
    </w:p>
    <w:p w14:paraId="207656E2" w14:textId="77777777" w:rsidR="005B44E7" w:rsidRPr="000001DC" w:rsidRDefault="005B44E7" w:rsidP="00DA2A19">
      <w:pPr>
        <w:tabs>
          <w:tab w:val="left" w:pos="600"/>
        </w:tabs>
        <w:spacing w:line="480" w:lineRule="auto"/>
        <w:rPr>
          <w:rFonts w:ascii="Times New Roman" w:hAnsi="Times New Roman" w:cs="Times New Roman"/>
          <w:b/>
          <w:noProof/>
          <w:sz w:val="24"/>
        </w:rPr>
      </w:pPr>
      <w:r w:rsidRPr="000001DC">
        <w:rPr>
          <w:rFonts w:ascii="Times New Roman" w:hAnsi="Times New Roman" w:cs="Times New Roman"/>
          <w:b/>
          <w:noProof/>
          <w:sz w:val="24"/>
        </w:rPr>
        <w:lastRenderedPageBreak/>
        <w:t>The validation trial of the definition of myopia in Chinese National Survey on Students’ Constitue and Health (CNSSCH)</w:t>
      </w:r>
    </w:p>
    <w:p w14:paraId="76EFED3F" w14:textId="77777777" w:rsidR="005B44E7" w:rsidRDefault="005B44E7" w:rsidP="00DA2A19">
      <w:pPr>
        <w:tabs>
          <w:tab w:val="left" w:pos="600"/>
        </w:tabs>
        <w:spacing w:line="480" w:lineRule="auto"/>
        <w:rPr>
          <w:noProof/>
        </w:rPr>
      </w:pPr>
    </w:p>
    <w:p w14:paraId="6D6D7F39" w14:textId="06646EDA" w:rsidR="005B44E7" w:rsidRPr="009349E4" w:rsidRDefault="005B44E7" w:rsidP="00DA2A19">
      <w:pPr>
        <w:tabs>
          <w:tab w:val="left" w:pos="600"/>
        </w:tabs>
        <w:spacing w:line="480" w:lineRule="auto"/>
        <w:rPr>
          <w:rFonts w:ascii="Times New Roman" w:hAnsi="Times New Roman" w:cs="Times New Roman"/>
        </w:rPr>
      </w:pPr>
      <w:r w:rsidRPr="009349E4">
        <w:rPr>
          <w:rFonts w:ascii="Times New Roman" w:hAnsi="Times New Roman" w:cs="Times New Roman"/>
          <w:noProof/>
        </w:rPr>
        <w:t>In 2012, our collaborators in Anhui Medical University conducted a validation trial to test the accuracy of the definition of myopia that have been used in CNSSCN since 1985.</w:t>
      </w:r>
      <w:r w:rsidR="00F432D9" w:rsidRPr="00F432D9">
        <w:rPr>
          <w:rFonts w:ascii="Times New Roman" w:hAnsi="Times New Roman" w:cs="Times New Roman"/>
        </w:rPr>
        <w:t xml:space="preserve"> </w:t>
      </w:r>
      <w:r w:rsidR="00F432D9">
        <w:rPr>
          <w:rFonts w:ascii="Times New Roman" w:hAnsi="Times New Roman" w:cs="Times New Roman"/>
        </w:rPr>
        <w:t>The trial was approved by the ethics committee of Anhui Medical University (grant No. 2013001).</w:t>
      </w:r>
      <w:r w:rsidR="00F432D9">
        <w:rPr>
          <w:rFonts w:ascii="Times New Roman" w:hAnsi="Times New Roman" w:cs="Times New Roman"/>
          <w:noProof/>
        </w:rPr>
        <w:t xml:space="preserve"> </w:t>
      </w:r>
      <w:r w:rsidRPr="009349E4">
        <w:rPr>
          <w:rFonts w:ascii="Times New Roman" w:hAnsi="Times New Roman" w:cs="Times New Roman"/>
        </w:rPr>
        <w:t xml:space="preserve">This trial was a subproject of the ‘Students Major Disease Prevention </w:t>
      </w:r>
      <w:r w:rsidR="00B11C92">
        <w:rPr>
          <w:rFonts w:ascii="Times New Roman" w:hAnsi="Times New Roman" w:cs="Times New Roman" w:hint="eastAsia"/>
        </w:rPr>
        <w:t>and</w:t>
      </w:r>
      <w:r w:rsidR="00B11C92" w:rsidRPr="009349E4">
        <w:rPr>
          <w:rFonts w:ascii="Times New Roman" w:hAnsi="Times New Roman" w:cs="Times New Roman"/>
        </w:rPr>
        <w:t xml:space="preserve"> </w:t>
      </w:r>
      <w:r w:rsidRPr="009349E4">
        <w:rPr>
          <w:rFonts w:ascii="Times New Roman" w:hAnsi="Times New Roman" w:cs="Times New Roman"/>
        </w:rPr>
        <w:t>Control Technology and Its Development and Application’ (1147 project, Grant No</w:t>
      </w:r>
      <w:r>
        <w:rPr>
          <w:rFonts w:ascii="Times New Roman" w:hAnsi="Times New Roman" w:cs="Times New Roman"/>
        </w:rPr>
        <w:t>.</w:t>
      </w:r>
      <w:r w:rsidRPr="009349E4">
        <w:rPr>
          <w:rFonts w:ascii="Times New Roman" w:hAnsi="Times New Roman" w:cs="Times New Roman"/>
        </w:rPr>
        <w:t>201202010), funded by the research special fund for public welfare industry of health of the Ministry of Health of China. The principal investigator of the 1147 project is Prof. Jun Ma, one of our co-authors and the head of the Institute of Child and Adolescent Health, Peking University.</w:t>
      </w:r>
    </w:p>
    <w:p w14:paraId="1CB698EF" w14:textId="77777777" w:rsidR="005B44E7" w:rsidRPr="009349E4" w:rsidRDefault="005B44E7" w:rsidP="00DA2A19">
      <w:pPr>
        <w:tabs>
          <w:tab w:val="left" w:pos="600"/>
        </w:tabs>
        <w:spacing w:line="480" w:lineRule="auto"/>
        <w:rPr>
          <w:rFonts w:ascii="Times New Roman" w:hAnsi="Times New Roman" w:cs="Times New Roman"/>
          <w:noProof/>
        </w:rPr>
      </w:pPr>
    </w:p>
    <w:p w14:paraId="2415B99B" w14:textId="188EA5A2" w:rsidR="00DA2A19" w:rsidRDefault="001733D2" w:rsidP="001F4B74">
      <w:pPr>
        <w:tabs>
          <w:tab w:val="left" w:pos="600"/>
        </w:tabs>
        <w:spacing w:line="480" w:lineRule="auto"/>
        <w:rPr>
          <w:rFonts w:ascii="Times New Roman" w:hAnsi="Times New Roman" w:cs="Times New Roman"/>
        </w:rPr>
        <w:sectPr w:rsidR="00DA2A19">
          <w:footerReference w:type="default" r:id="rId9"/>
          <w:pgSz w:w="11906" w:h="16838"/>
          <w:pgMar w:top="1440" w:right="1800" w:bottom="1440" w:left="1800" w:header="851" w:footer="992" w:gutter="0"/>
          <w:cols w:space="425"/>
          <w:docGrid w:type="lines" w:linePitch="312"/>
        </w:sectPr>
      </w:pPr>
      <w:r w:rsidRPr="001733D2">
        <w:rPr>
          <w:rFonts w:ascii="Times New Roman" w:hAnsi="Times New Roman" w:cs="Times New Roman"/>
        </w:rPr>
        <w:t>Briefly, s</w:t>
      </w:r>
      <w:r w:rsidR="005B44E7" w:rsidRPr="00C07101">
        <w:rPr>
          <w:rFonts w:ascii="Times New Roman" w:hAnsi="Times New Roman" w:cs="Times New Roman"/>
        </w:rPr>
        <w:t>tudent</w:t>
      </w:r>
      <w:r w:rsidR="005B44E7">
        <w:rPr>
          <w:rFonts w:ascii="Times New Roman" w:hAnsi="Times New Roman" w:cs="Times New Roman"/>
        </w:rPr>
        <w:t>s</w:t>
      </w:r>
      <w:r w:rsidR="005B44E7" w:rsidRPr="00C07101">
        <w:rPr>
          <w:rFonts w:ascii="Times New Roman" w:hAnsi="Times New Roman" w:cs="Times New Roman"/>
        </w:rPr>
        <w:t xml:space="preserve"> at grade 1-8 were recruited from 18 primary and secondary schools in Shenyang by </w:t>
      </w:r>
      <w:r w:rsidR="00B11C92">
        <w:rPr>
          <w:rFonts w:ascii="Times New Roman" w:hAnsi="Times New Roman" w:cs="Times New Roman" w:hint="eastAsia"/>
        </w:rPr>
        <w:t xml:space="preserve">a </w:t>
      </w:r>
      <w:r w:rsidR="005B44E7" w:rsidRPr="00C07101">
        <w:rPr>
          <w:rFonts w:ascii="Times New Roman" w:hAnsi="Times New Roman" w:cs="Times New Roman"/>
        </w:rPr>
        <w:t>multi-sta</w:t>
      </w:r>
      <w:r w:rsidR="005B44E7">
        <w:rPr>
          <w:rFonts w:ascii="Times New Roman" w:hAnsi="Times New Roman" w:cs="Times New Roman"/>
        </w:rPr>
        <w:t>ge</w:t>
      </w:r>
      <w:r w:rsidR="005B44E7" w:rsidRPr="00C07101">
        <w:rPr>
          <w:rFonts w:ascii="Times New Roman" w:hAnsi="Times New Roman" w:cs="Times New Roman"/>
        </w:rPr>
        <w:t xml:space="preserve"> cluster sampling procedure.</w:t>
      </w:r>
      <w:r w:rsidR="005B44E7">
        <w:rPr>
          <w:rFonts w:ascii="Times New Roman" w:hAnsi="Times New Roman" w:cs="Times New Roman"/>
          <w:color w:val="000000"/>
          <w:sz w:val="18"/>
          <w:szCs w:val="18"/>
        </w:rPr>
        <w:t xml:space="preserve"> </w:t>
      </w:r>
      <w:r w:rsidR="005B44E7" w:rsidRPr="00C07101">
        <w:rPr>
          <w:rFonts w:ascii="Times New Roman" w:hAnsi="Times New Roman" w:cs="Times New Roman"/>
        </w:rPr>
        <w:t xml:space="preserve">All </w:t>
      </w:r>
      <w:r w:rsidR="00B11C92">
        <w:rPr>
          <w:rFonts w:ascii="Times New Roman" w:hAnsi="Times New Roman" w:cs="Times New Roman" w:hint="eastAsia"/>
        </w:rPr>
        <w:t>selected</w:t>
      </w:r>
      <w:r w:rsidR="00B11C92" w:rsidRPr="00C07101">
        <w:rPr>
          <w:rFonts w:ascii="Times New Roman" w:hAnsi="Times New Roman" w:cs="Times New Roman"/>
        </w:rPr>
        <w:t xml:space="preserve"> </w:t>
      </w:r>
      <w:r w:rsidR="005B44E7" w:rsidRPr="00C07101">
        <w:rPr>
          <w:rFonts w:ascii="Times New Roman" w:hAnsi="Times New Roman" w:cs="Times New Roman"/>
        </w:rPr>
        <w:t>students and their parents signed the consent form. Students with strabismus, amblyopia</w:t>
      </w:r>
      <w:r w:rsidR="005B44E7">
        <w:rPr>
          <w:rFonts w:ascii="Times New Roman" w:hAnsi="Times New Roman" w:cs="Times New Roman"/>
        </w:rPr>
        <w:t xml:space="preserve"> </w:t>
      </w:r>
      <w:r w:rsidR="00B11C92">
        <w:rPr>
          <w:rFonts w:ascii="Times New Roman" w:hAnsi="Times New Roman" w:cs="Times New Roman" w:hint="eastAsia"/>
        </w:rPr>
        <w:t>or</w:t>
      </w:r>
      <w:r w:rsidR="00B11C92">
        <w:rPr>
          <w:rFonts w:ascii="Times New Roman" w:hAnsi="Times New Roman" w:cs="Times New Roman"/>
        </w:rPr>
        <w:t xml:space="preserve"> </w:t>
      </w:r>
      <w:r w:rsidR="005B44E7">
        <w:rPr>
          <w:rFonts w:ascii="Times New Roman" w:hAnsi="Times New Roman" w:cs="Times New Roman"/>
        </w:rPr>
        <w:t xml:space="preserve">other significant eye diseases were excluded. Finally, a total of 1620 students (50.0% female) with signed consent form were included in the trial. </w:t>
      </w:r>
      <w:r w:rsidR="005B44E7" w:rsidRPr="00C94334">
        <w:rPr>
          <w:rFonts w:ascii="Times New Roman" w:hAnsi="Times New Roman" w:cs="Times New Roman"/>
        </w:rPr>
        <w:t>For all participants</w:t>
      </w:r>
      <w:r w:rsidR="005B44E7">
        <w:rPr>
          <w:rFonts w:ascii="Times New Roman" w:hAnsi="Times New Roman" w:cs="Times New Roman"/>
        </w:rPr>
        <w:t xml:space="preserve"> (both eyes)</w:t>
      </w:r>
      <w:r w:rsidR="005B44E7" w:rsidRPr="00C94334">
        <w:rPr>
          <w:rFonts w:ascii="Times New Roman" w:hAnsi="Times New Roman" w:cs="Times New Roman"/>
        </w:rPr>
        <w:t xml:space="preserve">, </w:t>
      </w:r>
      <w:r w:rsidR="005B44E7">
        <w:rPr>
          <w:rFonts w:ascii="Times New Roman" w:hAnsi="Times New Roman" w:cs="Times New Roman"/>
        </w:rPr>
        <w:t xml:space="preserve">the myopic status was measured by both the method </w:t>
      </w:r>
      <w:r w:rsidR="00B11C92">
        <w:rPr>
          <w:rFonts w:ascii="Times New Roman" w:hAnsi="Times New Roman" w:cs="Times New Roman"/>
        </w:rPr>
        <w:t>descri</w:t>
      </w:r>
      <w:r w:rsidR="00B11C92">
        <w:rPr>
          <w:rFonts w:ascii="Times New Roman" w:hAnsi="Times New Roman" w:cs="Times New Roman" w:hint="eastAsia"/>
        </w:rPr>
        <w:t>bed</w:t>
      </w:r>
      <w:r w:rsidR="00B11C92">
        <w:rPr>
          <w:rFonts w:ascii="Times New Roman" w:hAnsi="Times New Roman" w:cs="Times New Roman"/>
        </w:rPr>
        <w:t xml:space="preserve"> </w:t>
      </w:r>
      <w:r w:rsidR="005B44E7">
        <w:rPr>
          <w:rFonts w:ascii="Times New Roman" w:hAnsi="Times New Roman" w:cs="Times New Roman"/>
        </w:rPr>
        <w:t xml:space="preserve">in our manuscript and </w:t>
      </w:r>
      <w:r w:rsidR="005B44E7" w:rsidRPr="00114194">
        <w:rPr>
          <w:rFonts w:ascii="Times New Roman" w:hAnsi="Times New Roman" w:cs="Times New Roman"/>
        </w:rPr>
        <w:t>cycloplegic</w:t>
      </w:r>
      <w:r w:rsidR="00A37C6F">
        <w:rPr>
          <w:rFonts w:ascii="Times New Roman" w:hAnsi="Times New Roman" w:cs="Times New Roman"/>
        </w:rPr>
        <w:t xml:space="preserve"> </w:t>
      </w:r>
      <w:r w:rsidR="0015750B">
        <w:rPr>
          <w:rFonts w:ascii="Times New Roman" w:hAnsi="Times New Roman" w:cs="Times New Roman"/>
        </w:rPr>
        <w:t>(by eyedrops)</w:t>
      </w:r>
      <w:r w:rsidR="005B44E7" w:rsidRPr="00114194">
        <w:rPr>
          <w:rFonts w:ascii="Times New Roman" w:hAnsi="Times New Roman" w:cs="Times New Roman"/>
        </w:rPr>
        <w:t xml:space="preserve"> refraction</w:t>
      </w:r>
      <w:r w:rsidR="005B44E7">
        <w:rPr>
          <w:rFonts w:ascii="Times New Roman" w:hAnsi="Times New Roman" w:cs="Times New Roman"/>
        </w:rPr>
        <w:t xml:space="preserve">. The gold standard of myopia was defined as </w:t>
      </w:r>
      <w:r w:rsidR="005B44E7" w:rsidRPr="00114194">
        <w:rPr>
          <w:rFonts w:ascii="Times New Roman" w:hAnsi="Times New Roman" w:cs="Times New Roman"/>
        </w:rPr>
        <w:t>spherical equivalent cycloplegic refractive error ≤-0.50 D</w:t>
      </w:r>
      <w:r w:rsidR="005B44E7">
        <w:rPr>
          <w:rFonts w:ascii="Times New Roman" w:hAnsi="Times New Roman" w:cs="Times New Roman"/>
        </w:rPr>
        <w:t xml:space="preserve"> for at least one eye.</w:t>
      </w:r>
      <w:r w:rsidR="00DA2A19">
        <w:rPr>
          <w:rFonts w:ascii="Times New Roman" w:hAnsi="Times New Roman" w:cs="Times New Roman"/>
        </w:rPr>
        <w:t xml:space="preserve"> </w:t>
      </w:r>
      <w:r w:rsidR="00DA2A19">
        <w:rPr>
          <w:rFonts w:ascii="Times New Roman" w:hAnsi="Times New Roman" w:cs="Times New Roman" w:hint="eastAsia"/>
        </w:rPr>
        <w:t>The</w:t>
      </w:r>
      <w:r w:rsidR="00DA2A19">
        <w:rPr>
          <w:rFonts w:ascii="Times New Roman" w:hAnsi="Times New Roman" w:cs="Times New Roman"/>
        </w:rPr>
        <w:t xml:space="preserve"> </w:t>
      </w:r>
      <w:r w:rsidR="00DA2A19">
        <w:rPr>
          <w:rFonts w:ascii="Times New Roman" w:hAnsi="Times New Roman" w:cs="Times New Roman" w:hint="eastAsia"/>
        </w:rPr>
        <w:t>m</w:t>
      </w:r>
      <w:r w:rsidR="005B44E7" w:rsidRPr="00DA2A19">
        <w:rPr>
          <w:rFonts w:ascii="Times New Roman" w:hAnsi="Times New Roman" w:cs="Times New Roman"/>
        </w:rPr>
        <w:t>ain results</w:t>
      </w:r>
      <w:r w:rsidR="00DA2A19" w:rsidRPr="00DA2A19">
        <w:rPr>
          <w:rFonts w:ascii="Times New Roman" w:hAnsi="Times New Roman" w:cs="Times New Roman"/>
        </w:rPr>
        <w:t xml:space="preserve"> of the validation trial are displayed in </w:t>
      </w:r>
      <w:r w:rsidR="00DA2A19" w:rsidRPr="00DA2A19">
        <w:rPr>
          <w:rFonts w:ascii="Times New Roman" w:hAnsi="Times New Roman" w:cs="Times New Roman"/>
          <w:b/>
        </w:rPr>
        <w:t xml:space="preserve">Supplementary </w:t>
      </w:r>
      <w:r w:rsidR="00CF4B7D" w:rsidRPr="00DA2A19">
        <w:rPr>
          <w:rFonts w:ascii="Times New Roman" w:hAnsi="Times New Roman" w:cs="Times New Roman"/>
          <w:b/>
        </w:rPr>
        <w:t>T</w:t>
      </w:r>
      <w:r w:rsidR="005B44E7" w:rsidRPr="00DA2A19">
        <w:rPr>
          <w:rFonts w:ascii="Times New Roman" w:hAnsi="Times New Roman" w:cs="Times New Roman"/>
          <w:b/>
        </w:rPr>
        <w:t>able S</w:t>
      </w:r>
      <w:r w:rsidR="00DA2A19" w:rsidRPr="00DA2A19">
        <w:rPr>
          <w:rFonts w:ascii="Times New Roman" w:hAnsi="Times New Roman" w:cs="Times New Roman"/>
          <w:b/>
        </w:rPr>
        <w:t>1</w:t>
      </w:r>
      <w:r w:rsidR="005B44E7" w:rsidRPr="00DA2A19">
        <w:rPr>
          <w:rFonts w:ascii="Times New Roman" w:hAnsi="Times New Roman" w:cs="Times New Roman"/>
          <w:b/>
        </w:rPr>
        <w:t>.</w:t>
      </w:r>
      <w:r w:rsidR="001F4B74">
        <w:rPr>
          <w:rFonts w:ascii="Times New Roman" w:hAnsi="Times New Roman" w:cs="Times New Roman"/>
        </w:rPr>
        <w:t xml:space="preserve"> More details of the trial could be found in Pei’s masters’ thesis (in Chinese </w:t>
      </w:r>
      <w:r w:rsidR="00A0542B">
        <w:rPr>
          <w:rFonts w:ascii="Times New Roman" w:hAnsi="Times New Roman" w:cs="Times New Roman"/>
        </w:rPr>
        <w:t xml:space="preserve">but </w:t>
      </w:r>
      <w:r w:rsidR="001F4B74">
        <w:rPr>
          <w:rFonts w:ascii="Times New Roman" w:hAnsi="Times New Roman" w:cs="Times New Roman"/>
        </w:rPr>
        <w:t>with E</w:t>
      </w:r>
      <w:r w:rsidR="001F4B74">
        <w:rPr>
          <w:rFonts w:ascii="Times New Roman" w:hAnsi="Times New Roman" w:cs="Times New Roman" w:hint="eastAsia"/>
        </w:rPr>
        <w:t>ng</w:t>
      </w:r>
      <w:r w:rsidR="001F4B74">
        <w:rPr>
          <w:rFonts w:ascii="Times New Roman" w:hAnsi="Times New Roman" w:cs="Times New Roman"/>
        </w:rPr>
        <w:t>lish Abstract)</w:t>
      </w:r>
      <w:r w:rsidR="00643CC6">
        <w:rPr>
          <w:rFonts w:ascii="Times New Roman" w:hAnsi="Times New Roman" w:cs="Times New Roman"/>
        </w:rPr>
        <w:fldChar w:fldCharType="begin"/>
      </w:r>
      <w:r w:rsidR="001F4B74">
        <w:rPr>
          <w:rFonts w:ascii="Times New Roman" w:hAnsi="Times New Roman" w:cs="Times New Roman"/>
        </w:rPr>
        <w:instrText xml:space="preserve"> ADDIN NE.Ref.{04EFBDBB-FBD6-4774-A379-952FAEC007D0}</w:instrText>
      </w:r>
      <w:r w:rsidR="00643CC6">
        <w:rPr>
          <w:rFonts w:ascii="Times New Roman" w:hAnsi="Times New Roman" w:cs="Times New Roman"/>
        </w:rPr>
        <w:fldChar w:fldCharType="separate"/>
      </w:r>
      <w:r w:rsidR="001F4B74">
        <w:rPr>
          <w:rFonts w:ascii="Times New Roman" w:hAnsi="Times New Roman" w:cs="Times New Roman"/>
          <w:color w:val="080000"/>
          <w:kern w:val="0"/>
          <w:szCs w:val="21"/>
          <w:vertAlign w:val="superscript"/>
        </w:rPr>
        <w:t>1</w:t>
      </w:r>
      <w:r w:rsidR="00643CC6">
        <w:rPr>
          <w:rFonts w:ascii="Times New Roman" w:hAnsi="Times New Roman" w:cs="Times New Roman"/>
        </w:rPr>
        <w:fldChar w:fldCharType="end"/>
      </w:r>
      <w:r w:rsidR="001F4B74">
        <w:rPr>
          <w:rFonts w:ascii="Times New Roman" w:hAnsi="Times New Roman" w:cs="Times New Roman"/>
        </w:rPr>
        <w:t>.</w:t>
      </w:r>
    </w:p>
    <w:tbl>
      <w:tblPr>
        <w:tblW w:w="15051" w:type="dxa"/>
        <w:tblInd w:w="108" w:type="dxa"/>
        <w:tblLook w:val="04A0" w:firstRow="1" w:lastRow="0" w:firstColumn="1" w:lastColumn="0" w:noHBand="0" w:noVBand="1"/>
      </w:tblPr>
      <w:tblGrid>
        <w:gridCol w:w="2352"/>
        <w:gridCol w:w="656"/>
        <w:gridCol w:w="925"/>
        <w:gridCol w:w="1011"/>
        <w:gridCol w:w="222"/>
        <w:gridCol w:w="925"/>
        <w:gridCol w:w="1011"/>
        <w:gridCol w:w="222"/>
        <w:gridCol w:w="2163"/>
        <w:gridCol w:w="2243"/>
        <w:gridCol w:w="1640"/>
        <w:gridCol w:w="1681"/>
      </w:tblGrid>
      <w:tr w:rsidR="00DA2A19" w:rsidRPr="00DA2A19" w14:paraId="33765A45" w14:textId="77777777" w:rsidTr="00DA2A19">
        <w:trPr>
          <w:trHeight w:val="290"/>
        </w:trPr>
        <w:tc>
          <w:tcPr>
            <w:tcW w:w="15051" w:type="dxa"/>
            <w:gridSpan w:val="12"/>
            <w:tcBorders>
              <w:top w:val="nil"/>
              <w:left w:val="nil"/>
              <w:bottom w:val="single" w:sz="8" w:space="0" w:color="auto"/>
              <w:right w:val="nil"/>
            </w:tcBorders>
            <w:shd w:val="clear" w:color="000000" w:fill="FFFFFF"/>
            <w:noWrap/>
            <w:vAlign w:val="center"/>
            <w:hideMark/>
          </w:tcPr>
          <w:p w14:paraId="707E2C4C"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b/>
                <w:bCs/>
                <w:color w:val="000000"/>
                <w:kern w:val="0"/>
                <w:sz w:val="22"/>
              </w:rPr>
              <w:lastRenderedPageBreak/>
              <w:t>Supplementary Table S1</w:t>
            </w:r>
            <w:r w:rsidRPr="00DA2A19">
              <w:rPr>
                <w:rFonts w:ascii="Times New Roman" w:eastAsia="等线" w:hAnsi="Times New Roman" w:cs="Times New Roman"/>
                <w:color w:val="000000"/>
                <w:kern w:val="0"/>
                <w:sz w:val="22"/>
              </w:rPr>
              <w:t>. The validation of the definition of myopia in CNSSCH compared to gold standard</w:t>
            </w:r>
          </w:p>
        </w:tc>
      </w:tr>
      <w:tr w:rsidR="00DA2A19" w:rsidRPr="00DA2A19" w14:paraId="6BD9C61E" w14:textId="77777777" w:rsidTr="00DA2A19">
        <w:trPr>
          <w:trHeight w:val="280"/>
        </w:trPr>
        <w:tc>
          <w:tcPr>
            <w:tcW w:w="2352" w:type="dxa"/>
            <w:tcBorders>
              <w:top w:val="nil"/>
              <w:left w:val="nil"/>
              <w:bottom w:val="nil"/>
              <w:right w:val="nil"/>
            </w:tcBorders>
            <w:shd w:val="clear" w:color="000000" w:fill="FFFFFF"/>
            <w:noWrap/>
            <w:vAlign w:val="center"/>
            <w:hideMark/>
          </w:tcPr>
          <w:p w14:paraId="5E71C9E1"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656" w:type="dxa"/>
            <w:tcBorders>
              <w:top w:val="nil"/>
              <w:left w:val="nil"/>
              <w:bottom w:val="nil"/>
              <w:right w:val="nil"/>
            </w:tcBorders>
            <w:shd w:val="clear" w:color="000000" w:fill="FFFFFF"/>
            <w:noWrap/>
            <w:vAlign w:val="center"/>
            <w:hideMark/>
          </w:tcPr>
          <w:p w14:paraId="4E5A9B26"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1936" w:type="dxa"/>
            <w:gridSpan w:val="2"/>
            <w:tcBorders>
              <w:top w:val="nil"/>
              <w:left w:val="nil"/>
              <w:bottom w:val="nil"/>
              <w:right w:val="nil"/>
            </w:tcBorders>
            <w:shd w:val="clear" w:color="000000" w:fill="FFFFFF"/>
            <w:noWrap/>
            <w:vAlign w:val="center"/>
            <w:hideMark/>
          </w:tcPr>
          <w:p w14:paraId="04FED58D"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Myopia*</w:t>
            </w:r>
          </w:p>
        </w:tc>
        <w:tc>
          <w:tcPr>
            <w:tcW w:w="222" w:type="dxa"/>
            <w:tcBorders>
              <w:top w:val="nil"/>
              <w:left w:val="nil"/>
              <w:bottom w:val="nil"/>
              <w:right w:val="nil"/>
            </w:tcBorders>
            <w:shd w:val="clear" w:color="000000" w:fill="FFFFFF"/>
            <w:noWrap/>
            <w:vAlign w:val="center"/>
            <w:hideMark/>
          </w:tcPr>
          <w:p w14:paraId="3F534668"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1936" w:type="dxa"/>
            <w:gridSpan w:val="2"/>
            <w:tcBorders>
              <w:top w:val="nil"/>
              <w:left w:val="nil"/>
              <w:bottom w:val="nil"/>
              <w:right w:val="nil"/>
            </w:tcBorders>
            <w:shd w:val="clear" w:color="000000" w:fill="FFFFFF"/>
            <w:noWrap/>
            <w:vAlign w:val="center"/>
            <w:hideMark/>
          </w:tcPr>
          <w:p w14:paraId="78C0E8DB"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Non-myopia*</w:t>
            </w:r>
          </w:p>
        </w:tc>
        <w:tc>
          <w:tcPr>
            <w:tcW w:w="222" w:type="dxa"/>
            <w:tcBorders>
              <w:top w:val="nil"/>
              <w:left w:val="nil"/>
              <w:bottom w:val="nil"/>
              <w:right w:val="nil"/>
            </w:tcBorders>
            <w:shd w:val="clear" w:color="000000" w:fill="FFFFFF"/>
            <w:noWrap/>
            <w:vAlign w:val="center"/>
            <w:hideMark/>
          </w:tcPr>
          <w:p w14:paraId="1BB21B0A"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7727" w:type="dxa"/>
            <w:gridSpan w:val="4"/>
            <w:tcBorders>
              <w:top w:val="nil"/>
              <w:left w:val="nil"/>
              <w:bottom w:val="nil"/>
              <w:right w:val="nil"/>
            </w:tcBorders>
            <w:shd w:val="clear" w:color="000000" w:fill="FFFFFF"/>
            <w:noWrap/>
            <w:vAlign w:val="center"/>
            <w:hideMark/>
          </w:tcPr>
          <w:p w14:paraId="1AC3FD51"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Validation</w:t>
            </w:r>
          </w:p>
        </w:tc>
      </w:tr>
      <w:tr w:rsidR="00DA2A19" w:rsidRPr="00DA2A19" w14:paraId="29FEA44B" w14:textId="77777777" w:rsidTr="00DA2A19">
        <w:trPr>
          <w:trHeight w:val="280"/>
        </w:trPr>
        <w:tc>
          <w:tcPr>
            <w:tcW w:w="2352" w:type="dxa"/>
            <w:tcBorders>
              <w:top w:val="nil"/>
              <w:left w:val="nil"/>
              <w:bottom w:val="single" w:sz="4" w:space="0" w:color="auto"/>
              <w:right w:val="nil"/>
            </w:tcBorders>
            <w:shd w:val="clear" w:color="000000" w:fill="FFFFFF"/>
            <w:noWrap/>
            <w:vAlign w:val="center"/>
            <w:hideMark/>
          </w:tcPr>
          <w:p w14:paraId="1C9267DC"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656" w:type="dxa"/>
            <w:tcBorders>
              <w:top w:val="nil"/>
              <w:left w:val="nil"/>
              <w:bottom w:val="single" w:sz="4" w:space="0" w:color="auto"/>
              <w:right w:val="nil"/>
            </w:tcBorders>
            <w:shd w:val="clear" w:color="000000" w:fill="FFFFFF"/>
            <w:noWrap/>
            <w:vAlign w:val="center"/>
            <w:hideMark/>
          </w:tcPr>
          <w:p w14:paraId="37A7193F"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N</w:t>
            </w:r>
          </w:p>
        </w:tc>
        <w:tc>
          <w:tcPr>
            <w:tcW w:w="925" w:type="dxa"/>
            <w:tcBorders>
              <w:top w:val="single" w:sz="4" w:space="0" w:color="auto"/>
              <w:left w:val="nil"/>
              <w:bottom w:val="single" w:sz="4" w:space="0" w:color="auto"/>
              <w:right w:val="nil"/>
            </w:tcBorders>
            <w:shd w:val="clear" w:color="000000" w:fill="FFFFFF"/>
            <w:noWrap/>
            <w:vAlign w:val="center"/>
            <w:hideMark/>
          </w:tcPr>
          <w:p w14:paraId="208053D0"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Positive</w:t>
            </w:r>
          </w:p>
        </w:tc>
        <w:tc>
          <w:tcPr>
            <w:tcW w:w="1011" w:type="dxa"/>
            <w:tcBorders>
              <w:top w:val="single" w:sz="4" w:space="0" w:color="auto"/>
              <w:left w:val="nil"/>
              <w:bottom w:val="single" w:sz="4" w:space="0" w:color="auto"/>
              <w:right w:val="nil"/>
            </w:tcBorders>
            <w:shd w:val="clear" w:color="000000" w:fill="FFFFFF"/>
            <w:noWrap/>
            <w:vAlign w:val="center"/>
            <w:hideMark/>
          </w:tcPr>
          <w:p w14:paraId="761C28CD"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Negative</w:t>
            </w:r>
          </w:p>
        </w:tc>
        <w:tc>
          <w:tcPr>
            <w:tcW w:w="222" w:type="dxa"/>
            <w:tcBorders>
              <w:top w:val="nil"/>
              <w:left w:val="nil"/>
              <w:bottom w:val="single" w:sz="4" w:space="0" w:color="auto"/>
              <w:right w:val="nil"/>
            </w:tcBorders>
            <w:shd w:val="clear" w:color="000000" w:fill="FFFFFF"/>
            <w:noWrap/>
            <w:vAlign w:val="center"/>
            <w:hideMark/>
          </w:tcPr>
          <w:p w14:paraId="3156434C"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925" w:type="dxa"/>
            <w:tcBorders>
              <w:top w:val="single" w:sz="4" w:space="0" w:color="auto"/>
              <w:left w:val="nil"/>
              <w:bottom w:val="single" w:sz="4" w:space="0" w:color="auto"/>
              <w:right w:val="nil"/>
            </w:tcBorders>
            <w:shd w:val="clear" w:color="000000" w:fill="FFFFFF"/>
            <w:noWrap/>
            <w:vAlign w:val="center"/>
            <w:hideMark/>
          </w:tcPr>
          <w:p w14:paraId="55609A24"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Positive</w:t>
            </w:r>
          </w:p>
        </w:tc>
        <w:tc>
          <w:tcPr>
            <w:tcW w:w="1011" w:type="dxa"/>
            <w:tcBorders>
              <w:top w:val="single" w:sz="4" w:space="0" w:color="auto"/>
              <w:left w:val="nil"/>
              <w:bottom w:val="single" w:sz="4" w:space="0" w:color="auto"/>
              <w:right w:val="nil"/>
            </w:tcBorders>
            <w:shd w:val="clear" w:color="000000" w:fill="FFFFFF"/>
            <w:noWrap/>
            <w:vAlign w:val="center"/>
            <w:hideMark/>
          </w:tcPr>
          <w:p w14:paraId="7606479E"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Negative</w:t>
            </w:r>
          </w:p>
        </w:tc>
        <w:tc>
          <w:tcPr>
            <w:tcW w:w="222" w:type="dxa"/>
            <w:tcBorders>
              <w:top w:val="nil"/>
              <w:left w:val="nil"/>
              <w:bottom w:val="single" w:sz="4" w:space="0" w:color="auto"/>
              <w:right w:val="nil"/>
            </w:tcBorders>
            <w:shd w:val="clear" w:color="000000" w:fill="FFFFFF"/>
            <w:noWrap/>
            <w:vAlign w:val="center"/>
            <w:hideMark/>
          </w:tcPr>
          <w:p w14:paraId="69F671DB"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2163" w:type="dxa"/>
            <w:tcBorders>
              <w:top w:val="single" w:sz="4" w:space="0" w:color="auto"/>
              <w:left w:val="nil"/>
              <w:bottom w:val="single" w:sz="4" w:space="0" w:color="auto"/>
              <w:right w:val="nil"/>
            </w:tcBorders>
            <w:shd w:val="clear" w:color="000000" w:fill="FFFFFF"/>
            <w:noWrap/>
            <w:vAlign w:val="center"/>
            <w:hideMark/>
          </w:tcPr>
          <w:p w14:paraId="2E7AC955" w14:textId="77777777" w:rsidR="00DA2A19" w:rsidRPr="00DA2A19" w:rsidRDefault="00DA2A19" w:rsidP="0074285A">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Sensitivity (95%CI),</w:t>
            </w:r>
            <w:r>
              <w:rPr>
                <w:rFonts w:ascii="Times New Roman" w:eastAsia="等线" w:hAnsi="Times New Roman" w:cs="Times New Roman"/>
                <w:color w:val="000000"/>
                <w:kern w:val="0"/>
                <w:sz w:val="22"/>
              </w:rPr>
              <w:t xml:space="preserve"> </w:t>
            </w:r>
            <w:r w:rsidRPr="00DA2A19">
              <w:rPr>
                <w:rFonts w:ascii="Times New Roman" w:eastAsia="等线" w:hAnsi="Times New Roman" w:cs="Times New Roman"/>
                <w:color w:val="000000"/>
                <w:kern w:val="0"/>
                <w:sz w:val="22"/>
              </w:rPr>
              <w:t>%</w:t>
            </w:r>
          </w:p>
        </w:tc>
        <w:tc>
          <w:tcPr>
            <w:tcW w:w="2243" w:type="dxa"/>
            <w:tcBorders>
              <w:top w:val="single" w:sz="4" w:space="0" w:color="auto"/>
              <w:left w:val="nil"/>
              <w:bottom w:val="single" w:sz="4" w:space="0" w:color="auto"/>
              <w:right w:val="nil"/>
            </w:tcBorders>
            <w:shd w:val="clear" w:color="000000" w:fill="FFFFFF"/>
            <w:noWrap/>
            <w:vAlign w:val="center"/>
            <w:hideMark/>
          </w:tcPr>
          <w:p w14:paraId="378A9580" w14:textId="77777777" w:rsidR="00DA2A19" w:rsidRDefault="00DA2A19" w:rsidP="0074285A">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Specificity</w:t>
            </w:r>
          </w:p>
          <w:p w14:paraId="5A961E40" w14:textId="77777777" w:rsidR="00DA2A19" w:rsidRPr="00DA2A19" w:rsidRDefault="00DA2A19" w:rsidP="0074285A">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(95%CI),</w:t>
            </w:r>
            <w:r>
              <w:rPr>
                <w:rFonts w:ascii="Times New Roman" w:eastAsia="等线" w:hAnsi="Times New Roman" w:cs="Times New Roman"/>
                <w:color w:val="000000"/>
                <w:kern w:val="0"/>
                <w:sz w:val="22"/>
              </w:rPr>
              <w:t xml:space="preserve"> </w:t>
            </w:r>
            <w:r w:rsidRPr="00DA2A19">
              <w:rPr>
                <w:rFonts w:ascii="Times New Roman" w:eastAsia="等线" w:hAnsi="Times New Roman" w:cs="Times New Roman"/>
                <w:color w:val="000000"/>
                <w:kern w:val="0"/>
                <w:sz w:val="22"/>
              </w:rPr>
              <w:t>%</w:t>
            </w:r>
          </w:p>
        </w:tc>
        <w:tc>
          <w:tcPr>
            <w:tcW w:w="1640" w:type="dxa"/>
            <w:tcBorders>
              <w:top w:val="single" w:sz="4" w:space="0" w:color="auto"/>
              <w:left w:val="nil"/>
              <w:bottom w:val="single" w:sz="4" w:space="0" w:color="auto"/>
              <w:right w:val="nil"/>
            </w:tcBorders>
            <w:shd w:val="clear" w:color="000000" w:fill="FFFFFF"/>
            <w:noWrap/>
            <w:vAlign w:val="center"/>
            <w:hideMark/>
          </w:tcPr>
          <w:p w14:paraId="4C13536B" w14:textId="77777777" w:rsidR="00DA2A19" w:rsidRPr="00DA2A19" w:rsidRDefault="00DA2A19" w:rsidP="0074285A">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PPV (95%CI),</w:t>
            </w:r>
            <w:r>
              <w:rPr>
                <w:rFonts w:ascii="Times New Roman" w:eastAsia="等线" w:hAnsi="Times New Roman" w:cs="Times New Roman"/>
                <w:color w:val="000000"/>
                <w:kern w:val="0"/>
                <w:sz w:val="22"/>
              </w:rPr>
              <w:t xml:space="preserve"> </w:t>
            </w:r>
            <w:r w:rsidRPr="00DA2A19">
              <w:rPr>
                <w:rFonts w:ascii="Times New Roman" w:eastAsia="等线" w:hAnsi="Times New Roman" w:cs="Times New Roman"/>
                <w:color w:val="000000"/>
                <w:kern w:val="0"/>
                <w:sz w:val="22"/>
              </w:rPr>
              <w:t>%</w:t>
            </w:r>
          </w:p>
        </w:tc>
        <w:tc>
          <w:tcPr>
            <w:tcW w:w="1681" w:type="dxa"/>
            <w:tcBorders>
              <w:top w:val="single" w:sz="4" w:space="0" w:color="auto"/>
              <w:left w:val="nil"/>
              <w:bottom w:val="single" w:sz="4" w:space="0" w:color="auto"/>
              <w:right w:val="nil"/>
            </w:tcBorders>
            <w:shd w:val="clear" w:color="000000" w:fill="FFFFFF"/>
            <w:noWrap/>
            <w:vAlign w:val="center"/>
            <w:hideMark/>
          </w:tcPr>
          <w:p w14:paraId="1C74055E" w14:textId="77777777" w:rsidR="00DA2A19" w:rsidRPr="00DA2A19" w:rsidRDefault="00DA2A19" w:rsidP="0074285A">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NPV (95%CI),</w:t>
            </w:r>
            <w:r>
              <w:rPr>
                <w:rFonts w:ascii="Times New Roman" w:eastAsia="等线" w:hAnsi="Times New Roman" w:cs="Times New Roman"/>
                <w:color w:val="000000"/>
                <w:kern w:val="0"/>
                <w:sz w:val="22"/>
              </w:rPr>
              <w:t xml:space="preserve"> </w:t>
            </w:r>
            <w:r w:rsidRPr="00DA2A19">
              <w:rPr>
                <w:rFonts w:ascii="Times New Roman" w:eastAsia="等线" w:hAnsi="Times New Roman" w:cs="Times New Roman"/>
                <w:color w:val="000000"/>
                <w:kern w:val="0"/>
                <w:sz w:val="22"/>
              </w:rPr>
              <w:t>%</w:t>
            </w:r>
          </w:p>
        </w:tc>
      </w:tr>
      <w:tr w:rsidR="00DA2A19" w:rsidRPr="00DA2A19" w14:paraId="17B443B3" w14:textId="77777777" w:rsidTr="00DA2A19">
        <w:trPr>
          <w:trHeight w:val="280"/>
        </w:trPr>
        <w:tc>
          <w:tcPr>
            <w:tcW w:w="2352" w:type="dxa"/>
            <w:tcBorders>
              <w:top w:val="nil"/>
              <w:left w:val="nil"/>
              <w:bottom w:val="nil"/>
              <w:right w:val="nil"/>
            </w:tcBorders>
            <w:shd w:val="clear" w:color="000000" w:fill="FFFFFF"/>
            <w:noWrap/>
            <w:vAlign w:val="center"/>
            <w:hideMark/>
          </w:tcPr>
          <w:p w14:paraId="28F18D1E"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Grade 1-3 (aged 7~9)</w:t>
            </w:r>
          </w:p>
        </w:tc>
        <w:tc>
          <w:tcPr>
            <w:tcW w:w="656" w:type="dxa"/>
            <w:tcBorders>
              <w:top w:val="nil"/>
              <w:left w:val="nil"/>
              <w:bottom w:val="nil"/>
              <w:right w:val="nil"/>
            </w:tcBorders>
            <w:shd w:val="clear" w:color="000000" w:fill="FFFFFF"/>
            <w:noWrap/>
            <w:vAlign w:val="center"/>
            <w:hideMark/>
          </w:tcPr>
          <w:p w14:paraId="55BF7065"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616</w:t>
            </w:r>
          </w:p>
        </w:tc>
        <w:tc>
          <w:tcPr>
            <w:tcW w:w="925" w:type="dxa"/>
            <w:tcBorders>
              <w:top w:val="nil"/>
              <w:left w:val="nil"/>
              <w:bottom w:val="nil"/>
              <w:right w:val="nil"/>
            </w:tcBorders>
            <w:shd w:val="clear" w:color="000000" w:fill="FFFFFF"/>
            <w:noWrap/>
            <w:vAlign w:val="center"/>
            <w:hideMark/>
          </w:tcPr>
          <w:p w14:paraId="2C47AAE2"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93</w:t>
            </w:r>
          </w:p>
        </w:tc>
        <w:tc>
          <w:tcPr>
            <w:tcW w:w="1011" w:type="dxa"/>
            <w:tcBorders>
              <w:top w:val="nil"/>
              <w:left w:val="nil"/>
              <w:bottom w:val="nil"/>
              <w:right w:val="nil"/>
            </w:tcBorders>
            <w:shd w:val="clear" w:color="000000" w:fill="FFFFFF"/>
            <w:noWrap/>
            <w:vAlign w:val="center"/>
            <w:hideMark/>
          </w:tcPr>
          <w:p w14:paraId="547371EC"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19</w:t>
            </w:r>
          </w:p>
        </w:tc>
        <w:tc>
          <w:tcPr>
            <w:tcW w:w="222" w:type="dxa"/>
            <w:tcBorders>
              <w:top w:val="nil"/>
              <w:left w:val="nil"/>
              <w:bottom w:val="nil"/>
              <w:right w:val="nil"/>
            </w:tcBorders>
            <w:shd w:val="clear" w:color="000000" w:fill="FFFFFF"/>
            <w:noWrap/>
            <w:vAlign w:val="center"/>
            <w:hideMark/>
          </w:tcPr>
          <w:p w14:paraId="6BE6520F"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925" w:type="dxa"/>
            <w:tcBorders>
              <w:top w:val="nil"/>
              <w:left w:val="nil"/>
              <w:bottom w:val="nil"/>
              <w:right w:val="nil"/>
            </w:tcBorders>
            <w:shd w:val="clear" w:color="000000" w:fill="FFFFFF"/>
            <w:noWrap/>
            <w:vAlign w:val="center"/>
            <w:hideMark/>
          </w:tcPr>
          <w:p w14:paraId="7DE6F5CB"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67</w:t>
            </w:r>
          </w:p>
        </w:tc>
        <w:tc>
          <w:tcPr>
            <w:tcW w:w="1011" w:type="dxa"/>
            <w:tcBorders>
              <w:top w:val="nil"/>
              <w:left w:val="nil"/>
              <w:bottom w:val="nil"/>
              <w:right w:val="nil"/>
            </w:tcBorders>
            <w:shd w:val="clear" w:color="000000" w:fill="FFFFFF"/>
            <w:noWrap/>
            <w:vAlign w:val="center"/>
            <w:hideMark/>
          </w:tcPr>
          <w:p w14:paraId="20705FC3"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437</w:t>
            </w:r>
          </w:p>
        </w:tc>
        <w:tc>
          <w:tcPr>
            <w:tcW w:w="222" w:type="dxa"/>
            <w:tcBorders>
              <w:top w:val="nil"/>
              <w:left w:val="nil"/>
              <w:bottom w:val="nil"/>
              <w:right w:val="nil"/>
            </w:tcBorders>
            <w:shd w:val="clear" w:color="000000" w:fill="FFFFFF"/>
            <w:noWrap/>
            <w:vAlign w:val="center"/>
            <w:hideMark/>
          </w:tcPr>
          <w:p w14:paraId="12168ECA"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2163" w:type="dxa"/>
            <w:tcBorders>
              <w:top w:val="nil"/>
              <w:left w:val="nil"/>
              <w:bottom w:val="nil"/>
              <w:right w:val="nil"/>
            </w:tcBorders>
            <w:shd w:val="clear" w:color="000000" w:fill="FFFFFF"/>
            <w:noWrap/>
            <w:vAlign w:val="center"/>
            <w:hideMark/>
          </w:tcPr>
          <w:p w14:paraId="067091C9"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83.0(76.0-90.0)</w:t>
            </w:r>
          </w:p>
        </w:tc>
        <w:tc>
          <w:tcPr>
            <w:tcW w:w="2243" w:type="dxa"/>
            <w:tcBorders>
              <w:top w:val="nil"/>
              <w:left w:val="nil"/>
              <w:bottom w:val="nil"/>
              <w:right w:val="nil"/>
            </w:tcBorders>
            <w:shd w:val="clear" w:color="000000" w:fill="FFFFFF"/>
            <w:noWrap/>
            <w:vAlign w:val="center"/>
            <w:hideMark/>
          </w:tcPr>
          <w:p w14:paraId="27957A8D"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86.7(83.7-89.7)</w:t>
            </w:r>
          </w:p>
        </w:tc>
        <w:tc>
          <w:tcPr>
            <w:tcW w:w="1640" w:type="dxa"/>
            <w:tcBorders>
              <w:top w:val="nil"/>
              <w:left w:val="nil"/>
              <w:bottom w:val="nil"/>
              <w:right w:val="nil"/>
            </w:tcBorders>
            <w:shd w:val="clear" w:color="000000" w:fill="FFFFFF"/>
            <w:noWrap/>
            <w:vAlign w:val="center"/>
            <w:hideMark/>
          </w:tcPr>
          <w:p w14:paraId="2C8B4558"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58.1(50.5-65.8)</w:t>
            </w:r>
          </w:p>
        </w:tc>
        <w:tc>
          <w:tcPr>
            <w:tcW w:w="1681" w:type="dxa"/>
            <w:tcBorders>
              <w:top w:val="nil"/>
              <w:left w:val="nil"/>
              <w:bottom w:val="nil"/>
              <w:right w:val="nil"/>
            </w:tcBorders>
            <w:shd w:val="clear" w:color="000000" w:fill="FFFFFF"/>
            <w:noWrap/>
            <w:vAlign w:val="center"/>
            <w:hideMark/>
          </w:tcPr>
          <w:p w14:paraId="75F01DCD"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95.8(94.0-97.7)</w:t>
            </w:r>
          </w:p>
        </w:tc>
      </w:tr>
      <w:tr w:rsidR="00DA2A19" w:rsidRPr="00DA2A19" w14:paraId="7CFF5982" w14:textId="77777777" w:rsidTr="00DA2A19">
        <w:trPr>
          <w:trHeight w:val="280"/>
        </w:trPr>
        <w:tc>
          <w:tcPr>
            <w:tcW w:w="2352" w:type="dxa"/>
            <w:tcBorders>
              <w:top w:val="nil"/>
              <w:left w:val="nil"/>
              <w:bottom w:val="nil"/>
              <w:right w:val="nil"/>
            </w:tcBorders>
            <w:shd w:val="clear" w:color="000000" w:fill="FFFFFF"/>
            <w:noWrap/>
            <w:vAlign w:val="center"/>
            <w:hideMark/>
          </w:tcPr>
          <w:p w14:paraId="7995F82D"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Grade 4-5 (aged 10~11)</w:t>
            </w:r>
          </w:p>
        </w:tc>
        <w:tc>
          <w:tcPr>
            <w:tcW w:w="656" w:type="dxa"/>
            <w:tcBorders>
              <w:top w:val="nil"/>
              <w:left w:val="nil"/>
              <w:bottom w:val="nil"/>
              <w:right w:val="nil"/>
            </w:tcBorders>
            <w:shd w:val="clear" w:color="000000" w:fill="FFFFFF"/>
            <w:noWrap/>
            <w:vAlign w:val="center"/>
            <w:hideMark/>
          </w:tcPr>
          <w:p w14:paraId="095EC180"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438</w:t>
            </w:r>
          </w:p>
        </w:tc>
        <w:tc>
          <w:tcPr>
            <w:tcW w:w="925" w:type="dxa"/>
            <w:tcBorders>
              <w:top w:val="nil"/>
              <w:left w:val="nil"/>
              <w:bottom w:val="nil"/>
              <w:right w:val="nil"/>
            </w:tcBorders>
            <w:shd w:val="clear" w:color="000000" w:fill="FFFFFF"/>
            <w:noWrap/>
            <w:vAlign w:val="center"/>
            <w:hideMark/>
          </w:tcPr>
          <w:p w14:paraId="1331F563"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207</w:t>
            </w:r>
          </w:p>
        </w:tc>
        <w:tc>
          <w:tcPr>
            <w:tcW w:w="1011" w:type="dxa"/>
            <w:tcBorders>
              <w:top w:val="nil"/>
              <w:left w:val="nil"/>
              <w:bottom w:val="nil"/>
              <w:right w:val="nil"/>
            </w:tcBorders>
            <w:shd w:val="clear" w:color="000000" w:fill="FFFFFF"/>
            <w:noWrap/>
            <w:vAlign w:val="center"/>
            <w:hideMark/>
          </w:tcPr>
          <w:p w14:paraId="7E9F9F0B"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21</w:t>
            </w:r>
          </w:p>
        </w:tc>
        <w:tc>
          <w:tcPr>
            <w:tcW w:w="222" w:type="dxa"/>
            <w:tcBorders>
              <w:top w:val="nil"/>
              <w:left w:val="nil"/>
              <w:bottom w:val="nil"/>
              <w:right w:val="nil"/>
            </w:tcBorders>
            <w:shd w:val="clear" w:color="000000" w:fill="FFFFFF"/>
            <w:noWrap/>
            <w:vAlign w:val="center"/>
            <w:hideMark/>
          </w:tcPr>
          <w:p w14:paraId="4CA55F28"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925" w:type="dxa"/>
            <w:tcBorders>
              <w:top w:val="nil"/>
              <w:left w:val="nil"/>
              <w:bottom w:val="nil"/>
              <w:right w:val="nil"/>
            </w:tcBorders>
            <w:shd w:val="clear" w:color="000000" w:fill="FFFFFF"/>
            <w:noWrap/>
            <w:vAlign w:val="center"/>
            <w:hideMark/>
          </w:tcPr>
          <w:p w14:paraId="7F406C9A"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46</w:t>
            </w:r>
          </w:p>
        </w:tc>
        <w:tc>
          <w:tcPr>
            <w:tcW w:w="1011" w:type="dxa"/>
            <w:tcBorders>
              <w:top w:val="nil"/>
              <w:left w:val="nil"/>
              <w:bottom w:val="nil"/>
              <w:right w:val="nil"/>
            </w:tcBorders>
            <w:shd w:val="clear" w:color="000000" w:fill="FFFFFF"/>
            <w:noWrap/>
            <w:vAlign w:val="center"/>
            <w:hideMark/>
          </w:tcPr>
          <w:p w14:paraId="65933F70"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164</w:t>
            </w:r>
          </w:p>
        </w:tc>
        <w:tc>
          <w:tcPr>
            <w:tcW w:w="222" w:type="dxa"/>
            <w:tcBorders>
              <w:top w:val="nil"/>
              <w:left w:val="nil"/>
              <w:bottom w:val="nil"/>
              <w:right w:val="nil"/>
            </w:tcBorders>
            <w:shd w:val="clear" w:color="000000" w:fill="FFFFFF"/>
            <w:noWrap/>
            <w:vAlign w:val="center"/>
            <w:hideMark/>
          </w:tcPr>
          <w:p w14:paraId="5CF59051"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2163" w:type="dxa"/>
            <w:tcBorders>
              <w:top w:val="nil"/>
              <w:left w:val="nil"/>
              <w:bottom w:val="nil"/>
              <w:right w:val="nil"/>
            </w:tcBorders>
            <w:shd w:val="clear" w:color="000000" w:fill="FFFFFF"/>
            <w:noWrap/>
            <w:vAlign w:val="center"/>
            <w:hideMark/>
          </w:tcPr>
          <w:p w14:paraId="53AE4B17"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90.8(87.0-94.5)</w:t>
            </w:r>
          </w:p>
        </w:tc>
        <w:tc>
          <w:tcPr>
            <w:tcW w:w="2243" w:type="dxa"/>
            <w:tcBorders>
              <w:top w:val="nil"/>
              <w:left w:val="nil"/>
              <w:bottom w:val="nil"/>
              <w:right w:val="nil"/>
            </w:tcBorders>
            <w:shd w:val="clear" w:color="000000" w:fill="FFFFFF"/>
            <w:noWrap/>
            <w:vAlign w:val="center"/>
            <w:hideMark/>
          </w:tcPr>
          <w:p w14:paraId="60839F20"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78.1(72.5-83.7)</w:t>
            </w:r>
          </w:p>
        </w:tc>
        <w:tc>
          <w:tcPr>
            <w:tcW w:w="1640" w:type="dxa"/>
            <w:tcBorders>
              <w:top w:val="nil"/>
              <w:left w:val="nil"/>
              <w:bottom w:val="nil"/>
              <w:right w:val="nil"/>
            </w:tcBorders>
            <w:shd w:val="clear" w:color="000000" w:fill="FFFFFF"/>
            <w:noWrap/>
            <w:vAlign w:val="center"/>
            <w:hideMark/>
          </w:tcPr>
          <w:p w14:paraId="347C6C70"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81.8(77.1-86.6)</w:t>
            </w:r>
          </w:p>
        </w:tc>
        <w:tc>
          <w:tcPr>
            <w:tcW w:w="1681" w:type="dxa"/>
            <w:tcBorders>
              <w:top w:val="nil"/>
              <w:left w:val="nil"/>
              <w:bottom w:val="nil"/>
              <w:right w:val="nil"/>
            </w:tcBorders>
            <w:shd w:val="clear" w:color="000000" w:fill="FFFFFF"/>
            <w:noWrap/>
            <w:vAlign w:val="center"/>
            <w:hideMark/>
          </w:tcPr>
          <w:p w14:paraId="2458C80D"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88.6(84.1-93.2)</w:t>
            </w:r>
          </w:p>
        </w:tc>
      </w:tr>
      <w:tr w:rsidR="00DA2A19" w:rsidRPr="00DA2A19" w14:paraId="191DFE1F" w14:textId="77777777" w:rsidTr="00DA2A19">
        <w:trPr>
          <w:trHeight w:val="280"/>
        </w:trPr>
        <w:tc>
          <w:tcPr>
            <w:tcW w:w="2352" w:type="dxa"/>
            <w:tcBorders>
              <w:top w:val="nil"/>
              <w:left w:val="nil"/>
              <w:bottom w:val="nil"/>
              <w:right w:val="nil"/>
            </w:tcBorders>
            <w:shd w:val="clear" w:color="000000" w:fill="FFFFFF"/>
            <w:noWrap/>
            <w:vAlign w:val="center"/>
            <w:hideMark/>
          </w:tcPr>
          <w:p w14:paraId="6B19D8AB"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Grade 7-8 (aged 12~13)</w:t>
            </w:r>
          </w:p>
        </w:tc>
        <w:tc>
          <w:tcPr>
            <w:tcW w:w="656" w:type="dxa"/>
            <w:tcBorders>
              <w:top w:val="nil"/>
              <w:left w:val="nil"/>
              <w:bottom w:val="nil"/>
              <w:right w:val="nil"/>
            </w:tcBorders>
            <w:shd w:val="clear" w:color="000000" w:fill="FFFFFF"/>
            <w:noWrap/>
            <w:vAlign w:val="center"/>
            <w:hideMark/>
          </w:tcPr>
          <w:p w14:paraId="599A0F7B"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566</w:t>
            </w:r>
          </w:p>
        </w:tc>
        <w:tc>
          <w:tcPr>
            <w:tcW w:w="925" w:type="dxa"/>
            <w:tcBorders>
              <w:top w:val="nil"/>
              <w:left w:val="nil"/>
              <w:bottom w:val="nil"/>
              <w:right w:val="nil"/>
            </w:tcBorders>
            <w:shd w:val="clear" w:color="000000" w:fill="FFFFFF"/>
            <w:noWrap/>
            <w:vAlign w:val="center"/>
            <w:hideMark/>
          </w:tcPr>
          <w:p w14:paraId="0650C92A"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382</w:t>
            </w:r>
          </w:p>
        </w:tc>
        <w:tc>
          <w:tcPr>
            <w:tcW w:w="1011" w:type="dxa"/>
            <w:tcBorders>
              <w:top w:val="nil"/>
              <w:left w:val="nil"/>
              <w:bottom w:val="nil"/>
              <w:right w:val="nil"/>
            </w:tcBorders>
            <w:shd w:val="clear" w:color="000000" w:fill="FFFFFF"/>
            <w:noWrap/>
            <w:vAlign w:val="center"/>
            <w:hideMark/>
          </w:tcPr>
          <w:p w14:paraId="6441FDD0"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20</w:t>
            </w:r>
          </w:p>
        </w:tc>
        <w:tc>
          <w:tcPr>
            <w:tcW w:w="222" w:type="dxa"/>
            <w:tcBorders>
              <w:top w:val="nil"/>
              <w:left w:val="nil"/>
              <w:bottom w:val="nil"/>
              <w:right w:val="nil"/>
            </w:tcBorders>
            <w:shd w:val="clear" w:color="000000" w:fill="FFFFFF"/>
            <w:noWrap/>
            <w:vAlign w:val="center"/>
            <w:hideMark/>
          </w:tcPr>
          <w:p w14:paraId="52B2FF2F"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925" w:type="dxa"/>
            <w:tcBorders>
              <w:top w:val="nil"/>
              <w:left w:val="nil"/>
              <w:bottom w:val="nil"/>
              <w:right w:val="nil"/>
            </w:tcBorders>
            <w:shd w:val="clear" w:color="000000" w:fill="FFFFFF"/>
            <w:noWrap/>
            <w:vAlign w:val="center"/>
            <w:hideMark/>
          </w:tcPr>
          <w:p w14:paraId="37F49A1F"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31</w:t>
            </w:r>
          </w:p>
        </w:tc>
        <w:tc>
          <w:tcPr>
            <w:tcW w:w="1011" w:type="dxa"/>
            <w:tcBorders>
              <w:top w:val="nil"/>
              <w:left w:val="nil"/>
              <w:bottom w:val="nil"/>
              <w:right w:val="nil"/>
            </w:tcBorders>
            <w:shd w:val="clear" w:color="000000" w:fill="FFFFFF"/>
            <w:noWrap/>
            <w:vAlign w:val="center"/>
            <w:hideMark/>
          </w:tcPr>
          <w:p w14:paraId="3DC96E41"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133</w:t>
            </w:r>
          </w:p>
        </w:tc>
        <w:tc>
          <w:tcPr>
            <w:tcW w:w="222" w:type="dxa"/>
            <w:tcBorders>
              <w:top w:val="nil"/>
              <w:left w:val="nil"/>
              <w:bottom w:val="nil"/>
              <w:right w:val="nil"/>
            </w:tcBorders>
            <w:shd w:val="clear" w:color="000000" w:fill="FFFFFF"/>
            <w:noWrap/>
            <w:vAlign w:val="center"/>
            <w:hideMark/>
          </w:tcPr>
          <w:p w14:paraId="73978907"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2163" w:type="dxa"/>
            <w:tcBorders>
              <w:top w:val="nil"/>
              <w:left w:val="nil"/>
              <w:bottom w:val="nil"/>
              <w:right w:val="nil"/>
            </w:tcBorders>
            <w:shd w:val="clear" w:color="000000" w:fill="FFFFFF"/>
            <w:noWrap/>
            <w:vAlign w:val="center"/>
            <w:hideMark/>
          </w:tcPr>
          <w:p w14:paraId="1770D472"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95.0(92.9-97.2)</w:t>
            </w:r>
          </w:p>
        </w:tc>
        <w:tc>
          <w:tcPr>
            <w:tcW w:w="2243" w:type="dxa"/>
            <w:tcBorders>
              <w:top w:val="nil"/>
              <w:left w:val="nil"/>
              <w:bottom w:val="nil"/>
              <w:right w:val="nil"/>
            </w:tcBorders>
            <w:shd w:val="clear" w:color="000000" w:fill="FFFFFF"/>
            <w:noWrap/>
            <w:vAlign w:val="center"/>
            <w:hideMark/>
          </w:tcPr>
          <w:p w14:paraId="5E92D97A"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81.1(75.1-87.1)</w:t>
            </w:r>
          </w:p>
        </w:tc>
        <w:tc>
          <w:tcPr>
            <w:tcW w:w="1640" w:type="dxa"/>
            <w:tcBorders>
              <w:top w:val="nil"/>
              <w:left w:val="nil"/>
              <w:bottom w:val="nil"/>
              <w:right w:val="nil"/>
            </w:tcBorders>
            <w:shd w:val="clear" w:color="000000" w:fill="FFFFFF"/>
            <w:noWrap/>
            <w:vAlign w:val="center"/>
            <w:hideMark/>
          </w:tcPr>
          <w:p w14:paraId="42AE02C6"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92.5(90.0-95.0)</w:t>
            </w:r>
          </w:p>
        </w:tc>
        <w:tc>
          <w:tcPr>
            <w:tcW w:w="1681" w:type="dxa"/>
            <w:tcBorders>
              <w:top w:val="nil"/>
              <w:left w:val="nil"/>
              <w:bottom w:val="nil"/>
              <w:right w:val="nil"/>
            </w:tcBorders>
            <w:shd w:val="clear" w:color="000000" w:fill="FFFFFF"/>
            <w:noWrap/>
            <w:vAlign w:val="center"/>
            <w:hideMark/>
          </w:tcPr>
          <w:p w14:paraId="28AD3D86"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86.9(81.6-92.3)</w:t>
            </w:r>
          </w:p>
        </w:tc>
      </w:tr>
      <w:tr w:rsidR="00DA2A19" w:rsidRPr="00DA2A19" w14:paraId="629820AD" w14:textId="77777777" w:rsidTr="00DA2A19">
        <w:trPr>
          <w:trHeight w:val="290"/>
        </w:trPr>
        <w:tc>
          <w:tcPr>
            <w:tcW w:w="2352" w:type="dxa"/>
            <w:tcBorders>
              <w:top w:val="nil"/>
              <w:left w:val="nil"/>
              <w:bottom w:val="single" w:sz="8" w:space="0" w:color="auto"/>
              <w:right w:val="nil"/>
            </w:tcBorders>
            <w:shd w:val="clear" w:color="000000" w:fill="FFFFFF"/>
            <w:noWrap/>
            <w:vAlign w:val="center"/>
            <w:hideMark/>
          </w:tcPr>
          <w:p w14:paraId="2EAAA6D5"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Overall</w:t>
            </w:r>
          </w:p>
        </w:tc>
        <w:tc>
          <w:tcPr>
            <w:tcW w:w="656" w:type="dxa"/>
            <w:tcBorders>
              <w:top w:val="nil"/>
              <w:left w:val="nil"/>
              <w:bottom w:val="single" w:sz="8" w:space="0" w:color="auto"/>
              <w:right w:val="nil"/>
            </w:tcBorders>
            <w:shd w:val="clear" w:color="000000" w:fill="FFFFFF"/>
            <w:noWrap/>
            <w:vAlign w:val="center"/>
            <w:hideMark/>
          </w:tcPr>
          <w:p w14:paraId="63CEFC5D"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1620</w:t>
            </w:r>
          </w:p>
        </w:tc>
        <w:tc>
          <w:tcPr>
            <w:tcW w:w="925" w:type="dxa"/>
            <w:tcBorders>
              <w:top w:val="nil"/>
              <w:left w:val="nil"/>
              <w:bottom w:val="single" w:sz="8" w:space="0" w:color="auto"/>
              <w:right w:val="nil"/>
            </w:tcBorders>
            <w:shd w:val="clear" w:color="000000" w:fill="FFFFFF"/>
            <w:noWrap/>
            <w:vAlign w:val="center"/>
            <w:hideMark/>
          </w:tcPr>
          <w:p w14:paraId="16B46476"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682</w:t>
            </w:r>
          </w:p>
        </w:tc>
        <w:tc>
          <w:tcPr>
            <w:tcW w:w="1011" w:type="dxa"/>
            <w:tcBorders>
              <w:top w:val="nil"/>
              <w:left w:val="nil"/>
              <w:bottom w:val="single" w:sz="8" w:space="0" w:color="auto"/>
              <w:right w:val="nil"/>
            </w:tcBorders>
            <w:shd w:val="clear" w:color="000000" w:fill="FFFFFF"/>
            <w:noWrap/>
            <w:vAlign w:val="center"/>
            <w:hideMark/>
          </w:tcPr>
          <w:p w14:paraId="217ED331"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60</w:t>
            </w:r>
          </w:p>
        </w:tc>
        <w:tc>
          <w:tcPr>
            <w:tcW w:w="222" w:type="dxa"/>
            <w:tcBorders>
              <w:top w:val="nil"/>
              <w:left w:val="nil"/>
              <w:bottom w:val="single" w:sz="8" w:space="0" w:color="auto"/>
              <w:right w:val="nil"/>
            </w:tcBorders>
            <w:shd w:val="clear" w:color="000000" w:fill="FFFFFF"/>
            <w:noWrap/>
            <w:vAlign w:val="center"/>
            <w:hideMark/>
          </w:tcPr>
          <w:p w14:paraId="1978CDDA"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925" w:type="dxa"/>
            <w:tcBorders>
              <w:top w:val="nil"/>
              <w:left w:val="nil"/>
              <w:bottom w:val="single" w:sz="8" w:space="0" w:color="auto"/>
              <w:right w:val="nil"/>
            </w:tcBorders>
            <w:shd w:val="clear" w:color="000000" w:fill="FFFFFF"/>
            <w:noWrap/>
            <w:vAlign w:val="center"/>
            <w:hideMark/>
          </w:tcPr>
          <w:p w14:paraId="4A7DEFDF"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144</w:t>
            </w:r>
          </w:p>
        </w:tc>
        <w:tc>
          <w:tcPr>
            <w:tcW w:w="1011" w:type="dxa"/>
            <w:tcBorders>
              <w:top w:val="nil"/>
              <w:left w:val="nil"/>
              <w:bottom w:val="single" w:sz="8" w:space="0" w:color="auto"/>
              <w:right w:val="nil"/>
            </w:tcBorders>
            <w:shd w:val="clear" w:color="000000" w:fill="FFFFFF"/>
            <w:noWrap/>
            <w:vAlign w:val="center"/>
            <w:hideMark/>
          </w:tcPr>
          <w:p w14:paraId="5C682962" w14:textId="77777777" w:rsidR="00DA2A19" w:rsidRPr="00DA2A19" w:rsidRDefault="00DA2A19" w:rsidP="00831201">
            <w:pPr>
              <w:widowControl/>
              <w:jc w:val="righ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734</w:t>
            </w:r>
          </w:p>
        </w:tc>
        <w:tc>
          <w:tcPr>
            <w:tcW w:w="222" w:type="dxa"/>
            <w:tcBorders>
              <w:top w:val="nil"/>
              <w:left w:val="nil"/>
              <w:bottom w:val="single" w:sz="8" w:space="0" w:color="auto"/>
              <w:right w:val="nil"/>
            </w:tcBorders>
            <w:shd w:val="clear" w:color="000000" w:fill="FFFFFF"/>
            <w:noWrap/>
            <w:vAlign w:val="center"/>
            <w:hideMark/>
          </w:tcPr>
          <w:p w14:paraId="2308799B"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 xml:space="preserve">　</w:t>
            </w:r>
          </w:p>
        </w:tc>
        <w:tc>
          <w:tcPr>
            <w:tcW w:w="2163" w:type="dxa"/>
            <w:tcBorders>
              <w:top w:val="nil"/>
              <w:left w:val="nil"/>
              <w:bottom w:val="single" w:sz="8" w:space="0" w:color="auto"/>
              <w:right w:val="nil"/>
            </w:tcBorders>
            <w:shd w:val="clear" w:color="000000" w:fill="FFFFFF"/>
            <w:noWrap/>
            <w:vAlign w:val="center"/>
            <w:hideMark/>
          </w:tcPr>
          <w:p w14:paraId="172E0375"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91.9(90.0-93.9)</w:t>
            </w:r>
          </w:p>
        </w:tc>
        <w:tc>
          <w:tcPr>
            <w:tcW w:w="2243" w:type="dxa"/>
            <w:tcBorders>
              <w:top w:val="nil"/>
              <w:left w:val="nil"/>
              <w:bottom w:val="single" w:sz="8" w:space="0" w:color="auto"/>
              <w:right w:val="nil"/>
            </w:tcBorders>
            <w:shd w:val="clear" w:color="000000" w:fill="FFFFFF"/>
            <w:noWrap/>
            <w:vAlign w:val="center"/>
            <w:hideMark/>
          </w:tcPr>
          <w:p w14:paraId="5B47524E"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83.6(81.2-86.0)</w:t>
            </w:r>
          </w:p>
        </w:tc>
        <w:tc>
          <w:tcPr>
            <w:tcW w:w="1640" w:type="dxa"/>
            <w:tcBorders>
              <w:top w:val="nil"/>
              <w:left w:val="nil"/>
              <w:bottom w:val="single" w:sz="8" w:space="0" w:color="auto"/>
              <w:right w:val="nil"/>
            </w:tcBorders>
            <w:shd w:val="clear" w:color="000000" w:fill="FFFFFF"/>
            <w:noWrap/>
            <w:vAlign w:val="center"/>
            <w:hideMark/>
          </w:tcPr>
          <w:p w14:paraId="5A2D5A05"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82.6(80.0-85.2)</w:t>
            </w:r>
          </w:p>
        </w:tc>
        <w:tc>
          <w:tcPr>
            <w:tcW w:w="1681" w:type="dxa"/>
            <w:tcBorders>
              <w:top w:val="nil"/>
              <w:left w:val="nil"/>
              <w:bottom w:val="single" w:sz="8" w:space="0" w:color="auto"/>
              <w:right w:val="nil"/>
            </w:tcBorders>
            <w:shd w:val="clear" w:color="000000" w:fill="FFFFFF"/>
            <w:noWrap/>
            <w:vAlign w:val="center"/>
            <w:hideMark/>
          </w:tcPr>
          <w:p w14:paraId="18E349EF" w14:textId="77777777" w:rsidR="00DA2A19" w:rsidRPr="00DA2A19" w:rsidRDefault="00DA2A19" w:rsidP="00831201">
            <w:pPr>
              <w:widowControl/>
              <w:jc w:val="center"/>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sz w:val="22"/>
              </w:rPr>
              <w:t>92.4(90.6-94.3)</w:t>
            </w:r>
          </w:p>
        </w:tc>
      </w:tr>
      <w:tr w:rsidR="00DA2A19" w:rsidRPr="00DA2A19" w14:paraId="5555C137" w14:textId="77777777" w:rsidTr="00DA2A19">
        <w:trPr>
          <w:trHeight w:val="280"/>
        </w:trPr>
        <w:tc>
          <w:tcPr>
            <w:tcW w:w="15051" w:type="dxa"/>
            <w:gridSpan w:val="12"/>
            <w:tcBorders>
              <w:top w:val="nil"/>
              <w:left w:val="nil"/>
              <w:bottom w:val="nil"/>
              <w:right w:val="nil"/>
            </w:tcBorders>
            <w:shd w:val="clear" w:color="000000" w:fill="FFFFFF"/>
            <w:noWrap/>
            <w:vAlign w:val="center"/>
            <w:hideMark/>
          </w:tcPr>
          <w:p w14:paraId="012A784D" w14:textId="77777777" w:rsidR="00DA2A19" w:rsidRPr="00DA2A19" w:rsidRDefault="00DA2A19" w:rsidP="00831201">
            <w:pPr>
              <w:widowControl/>
              <w:jc w:val="left"/>
              <w:rPr>
                <w:rFonts w:ascii="Times New Roman" w:eastAsia="等线" w:hAnsi="Times New Roman" w:cs="Times New Roman"/>
                <w:color w:val="000000"/>
                <w:kern w:val="0"/>
                <w:sz w:val="22"/>
              </w:rPr>
            </w:pPr>
            <w:r w:rsidRPr="00DA2A19">
              <w:rPr>
                <w:rFonts w:ascii="Times New Roman" w:eastAsia="等线" w:hAnsi="Times New Roman" w:cs="Times New Roman"/>
                <w:color w:val="000000"/>
                <w:kern w:val="0"/>
              </w:rPr>
              <w:t>Note:*defined by gold standard; PPV=Positive predictive value; NPV=Negative predictive value; CI, confidence interval.</w:t>
            </w:r>
            <w:r w:rsidR="00775208" w:rsidRPr="00775208">
              <w:rPr>
                <w:rFonts w:ascii="Times New Roman" w:hAnsi="Times New Roman" w:cs="Times New Roman"/>
              </w:rPr>
              <w:t xml:space="preserve"> CNSSCH, Chinese National Survey on Students’ Constitute and Health</w:t>
            </w:r>
          </w:p>
        </w:tc>
      </w:tr>
    </w:tbl>
    <w:p w14:paraId="55E2515E" w14:textId="77777777" w:rsidR="00DA2A19" w:rsidRPr="00DA2A19" w:rsidRDefault="00DA2A19" w:rsidP="00DA2A19">
      <w:pPr>
        <w:rPr>
          <w:rFonts w:ascii="Times New Roman" w:hAnsi="Times New Roman" w:cs="Times New Roman"/>
        </w:rPr>
        <w:sectPr w:rsidR="00DA2A19" w:rsidRPr="00DA2A19" w:rsidSect="00DA2A19">
          <w:pgSz w:w="16838" w:h="11906" w:orient="landscape"/>
          <w:pgMar w:top="1800" w:right="1440" w:bottom="1800" w:left="1440" w:header="851" w:footer="992" w:gutter="0"/>
          <w:cols w:space="425"/>
          <w:docGrid w:type="lines" w:linePitch="312"/>
        </w:sectPr>
      </w:pPr>
    </w:p>
    <w:p w14:paraId="66586826" w14:textId="77777777" w:rsidR="007E02B9" w:rsidRDefault="007E02B9" w:rsidP="007E02B9">
      <w:pPr>
        <w:widowControl/>
        <w:jc w:val="left"/>
        <w:rPr>
          <w:rFonts w:ascii="Times New Roman" w:hAnsi="Times New Roman" w:cs="Times New Roman"/>
          <w:sz w:val="20"/>
        </w:rPr>
      </w:pPr>
      <w:r w:rsidRPr="00D22C7A">
        <w:rPr>
          <w:rFonts w:ascii="Times New Roman" w:hAnsi="Times New Roman" w:cs="Times New Roman"/>
          <w:b/>
          <w:bCs/>
          <w:sz w:val="20"/>
        </w:rPr>
        <w:lastRenderedPageBreak/>
        <w:t>Supplementary Table S2</w:t>
      </w:r>
      <w:r w:rsidRPr="00D22C7A">
        <w:rPr>
          <w:rFonts w:ascii="Times New Roman" w:hAnsi="Times New Roman" w:cs="Times New Roman"/>
          <w:sz w:val="20"/>
        </w:rPr>
        <w:t xml:space="preserve">. The univariate Spearman correlation coefficients matrix of variables included in analysis </w:t>
      </w:r>
    </w:p>
    <w:tbl>
      <w:tblPr>
        <w:tblW w:w="8986" w:type="dxa"/>
        <w:jc w:val="center"/>
        <w:tblLook w:val="04A0" w:firstRow="1" w:lastRow="0" w:firstColumn="1" w:lastColumn="0" w:noHBand="0" w:noVBand="1"/>
      </w:tblPr>
      <w:tblGrid>
        <w:gridCol w:w="2457"/>
        <w:gridCol w:w="1281"/>
        <w:gridCol w:w="933"/>
        <w:gridCol w:w="1388"/>
        <w:gridCol w:w="1244"/>
        <w:gridCol w:w="1683"/>
      </w:tblGrid>
      <w:tr w:rsidR="007E02B9" w:rsidRPr="004B3A35" w14:paraId="05BA4EF0" w14:textId="77777777" w:rsidTr="009E28A4">
        <w:trPr>
          <w:trHeight w:val="581"/>
          <w:jc w:val="center"/>
        </w:trPr>
        <w:tc>
          <w:tcPr>
            <w:tcW w:w="2457" w:type="dxa"/>
            <w:tcBorders>
              <w:top w:val="single" w:sz="8" w:space="0" w:color="auto"/>
              <w:left w:val="nil"/>
              <w:bottom w:val="nil"/>
              <w:right w:val="nil"/>
            </w:tcBorders>
            <w:shd w:val="clear" w:color="auto" w:fill="auto"/>
            <w:noWrap/>
            <w:vAlign w:val="center"/>
            <w:hideMark/>
          </w:tcPr>
          <w:p w14:paraId="68A0744F" w14:textId="77777777" w:rsidR="007E02B9" w:rsidRDefault="007E02B9" w:rsidP="009E28A4">
            <w:pPr>
              <w:widowControl/>
              <w:jc w:val="left"/>
              <w:rPr>
                <w:rFonts w:ascii="Times New Roman" w:eastAsia="等线" w:hAnsi="Times New Roman" w:cs="Times New Roman"/>
                <w:b/>
                <w:bCs/>
                <w:kern w:val="0"/>
                <w:sz w:val="20"/>
                <w:szCs w:val="20"/>
              </w:rPr>
            </w:pPr>
          </w:p>
          <w:p w14:paraId="6E9AFA3A" w14:textId="77777777" w:rsidR="007E02B9" w:rsidRPr="004B3A35" w:rsidRDefault="007E02B9" w:rsidP="009E28A4">
            <w:pPr>
              <w:widowControl/>
              <w:jc w:val="left"/>
              <w:rPr>
                <w:rFonts w:ascii="Times New Roman" w:eastAsia="等线" w:hAnsi="Times New Roman" w:cs="Times New Roman"/>
                <w:b/>
                <w:bCs/>
                <w:kern w:val="0"/>
                <w:sz w:val="20"/>
                <w:szCs w:val="20"/>
              </w:rPr>
            </w:pPr>
          </w:p>
        </w:tc>
        <w:tc>
          <w:tcPr>
            <w:tcW w:w="1281" w:type="dxa"/>
            <w:tcBorders>
              <w:top w:val="single" w:sz="8" w:space="0" w:color="auto"/>
              <w:left w:val="nil"/>
              <w:bottom w:val="nil"/>
              <w:right w:val="nil"/>
            </w:tcBorders>
            <w:shd w:val="clear" w:color="auto" w:fill="auto"/>
            <w:vAlign w:val="center"/>
            <w:hideMark/>
          </w:tcPr>
          <w:p w14:paraId="4A7E62C1" w14:textId="77777777" w:rsidR="007E02B9" w:rsidRPr="004B3A35" w:rsidRDefault="007E02B9" w:rsidP="0074285A">
            <w:pPr>
              <w:widowControl/>
              <w:jc w:val="center"/>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menarche status</w:t>
            </w:r>
          </w:p>
        </w:tc>
        <w:tc>
          <w:tcPr>
            <w:tcW w:w="933" w:type="dxa"/>
            <w:tcBorders>
              <w:top w:val="single" w:sz="8" w:space="0" w:color="auto"/>
              <w:left w:val="nil"/>
              <w:bottom w:val="nil"/>
              <w:right w:val="nil"/>
            </w:tcBorders>
            <w:shd w:val="clear" w:color="auto" w:fill="auto"/>
            <w:vAlign w:val="center"/>
            <w:hideMark/>
          </w:tcPr>
          <w:p w14:paraId="6D9F5E4D" w14:textId="77777777" w:rsidR="007E02B9" w:rsidRPr="004B3A35" w:rsidRDefault="007E02B9" w:rsidP="0074285A">
            <w:pPr>
              <w:widowControl/>
              <w:jc w:val="center"/>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age by day</w:t>
            </w:r>
          </w:p>
        </w:tc>
        <w:tc>
          <w:tcPr>
            <w:tcW w:w="1388" w:type="dxa"/>
            <w:tcBorders>
              <w:top w:val="single" w:sz="8" w:space="0" w:color="auto"/>
              <w:left w:val="nil"/>
              <w:bottom w:val="nil"/>
              <w:right w:val="nil"/>
            </w:tcBorders>
            <w:shd w:val="clear" w:color="auto" w:fill="auto"/>
            <w:vAlign w:val="center"/>
            <w:hideMark/>
          </w:tcPr>
          <w:p w14:paraId="15F1A829" w14:textId="77777777" w:rsidR="007E02B9" w:rsidRPr="004B3A35" w:rsidRDefault="007E02B9" w:rsidP="0074285A">
            <w:pPr>
              <w:widowControl/>
              <w:jc w:val="center"/>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urban rural location</w:t>
            </w:r>
          </w:p>
        </w:tc>
        <w:tc>
          <w:tcPr>
            <w:tcW w:w="1244" w:type="dxa"/>
            <w:tcBorders>
              <w:top w:val="single" w:sz="8" w:space="0" w:color="auto"/>
              <w:left w:val="nil"/>
              <w:bottom w:val="nil"/>
              <w:right w:val="nil"/>
            </w:tcBorders>
            <w:shd w:val="clear" w:color="auto" w:fill="auto"/>
            <w:vAlign w:val="center"/>
            <w:hideMark/>
          </w:tcPr>
          <w:p w14:paraId="72CCEDDB" w14:textId="77777777" w:rsidR="007E02B9" w:rsidRPr="004B3A35" w:rsidRDefault="007E02B9" w:rsidP="0074285A">
            <w:pPr>
              <w:widowControl/>
              <w:jc w:val="center"/>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sleep duration</w:t>
            </w:r>
          </w:p>
        </w:tc>
        <w:tc>
          <w:tcPr>
            <w:tcW w:w="1683" w:type="dxa"/>
            <w:tcBorders>
              <w:top w:val="single" w:sz="8" w:space="0" w:color="auto"/>
              <w:left w:val="nil"/>
              <w:bottom w:val="nil"/>
              <w:right w:val="nil"/>
            </w:tcBorders>
            <w:shd w:val="clear" w:color="auto" w:fill="auto"/>
            <w:vAlign w:val="center"/>
            <w:hideMark/>
          </w:tcPr>
          <w:p w14:paraId="3ACDD6E8" w14:textId="77777777" w:rsidR="007E02B9" w:rsidRPr="004B3A35" w:rsidRDefault="007E02B9" w:rsidP="0074285A">
            <w:pPr>
              <w:widowControl/>
              <w:jc w:val="center"/>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homework time</w:t>
            </w:r>
          </w:p>
        </w:tc>
      </w:tr>
      <w:tr w:rsidR="007E02B9" w:rsidRPr="004B3A35" w14:paraId="40606A7C" w14:textId="77777777" w:rsidTr="009E28A4">
        <w:trPr>
          <w:trHeight w:val="145"/>
          <w:jc w:val="center"/>
        </w:trPr>
        <w:tc>
          <w:tcPr>
            <w:tcW w:w="2457" w:type="dxa"/>
            <w:tcBorders>
              <w:top w:val="single" w:sz="4" w:space="0" w:color="auto"/>
              <w:left w:val="nil"/>
              <w:bottom w:val="nil"/>
              <w:right w:val="nil"/>
            </w:tcBorders>
            <w:shd w:val="clear" w:color="auto" w:fill="auto"/>
            <w:vAlign w:val="center"/>
            <w:hideMark/>
          </w:tcPr>
          <w:p w14:paraId="5772F9B2" w14:textId="77777777" w:rsidR="007E02B9" w:rsidRPr="004B3A35" w:rsidRDefault="007E02B9" w:rsidP="009E28A4">
            <w:pPr>
              <w:widowControl/>
              <w:jc w:val="lef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age by day</w:t>
            </w:r>
          </w:p>
        </w:tc>
        <w:tc>
          <w:tcPr>
            <w:tcW w:w="1281" w:type="dxa"/>
            <w:tcBorders>
              <w:top w:val="single" w:sz="4" w:space="0" w:color="auto"/>
              <w:left w:val="nil"/>
              <w:bottom w:val="nil"/>
              <w:right w:val="nil"/>
            </w:tcBorders>
            <w:shd w:val="clear" w:color="auto" w:fill="auto"/>
            <w:noWrap/>
            <w:vAlign w:val="center"/>
            <w:hideMark/>
          </w:tcPr>
          <w:p w14:paraId="70E1F774"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0.72 </w:t>
            </w:r>
          </w:p>
        </w:tc>
        <w:tc>
          <w:tcPr>
            <w:tcW w:w="933" w:type="dxa"/>
            <w:tcBorders>
              <w:top w:val="single" w:sz="4" w:space="0" w:color="auto"/>
              <w:left w:val="nil"/>
              <w:bottom w:val="nil"/>
              <w:right w:val="nil"/>
            </w:tcBorders>
            <w:shd w:val="clear" w:color="auto" w:fill="auto"/>
            <w:noWrap/>
            <w:vAlign w:val="center"/>
            <w:hideMark/>
          </w:tcPr>
          <w:p w14:paraId="27DF1C85" w14:textId="77777777" w:rsidR="007E02B9" w:rsidRPr="004B3A35" w:rsidRDefault="007E02B9" w:rsidP="009E28A4">
            <w:pPr>
              <w:jc w:val="lef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　</w:t>
            </w:r>
          </w:p>
        </w:tc>
        <w:tc>
          <w:tcPr>
            <w:tcW w:w="1388" w:type="dxa"/>
            <w:tcBorders>
              <w:top w:val="single" w:sz="4" w:space="0" w:color="auto"/>
              <w:left w:val="nil"/>
              <w:bottom w:val="nil"/>
              <w:right w:val="nil"/>
            </w:tcBorders>
            <w:shd w:val="clear" w:color="auto" w:fill="auto"/>
            <w:noWrap/>
            <w:vAlign w:val="center"/>
            <w:hideMark/>
          </w:tcPr>
          <w:p w14:paraId="3555EC10" w14:textId="77777777" w:rsidR="007E02B9" w:rsidRPr="004B3A35" w:rsidRDefault="007E02B9" w:rsidP="009E28A4">
            <w:pPr>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　</w:t>
            </w:r>
          </w:p>
        </w:tc>
        <w:tc>
          <w:tcPr>
            <w:tcW w:w="1244" w:type="dxa"/>
            <w:tcBorders>
              <w:top w:val="single" w:sz="4" w:space="0" w:color="auto"/>
              <w:left w:val="nil"/>
              <w:bottom w:val="nil"/>
              <w:right w:val="nil"/>
            </w:tcBorders>
            <w:shd w:val="clear" w:color="auto" w:fill="auto"/>
            <w:noWrap/>
            <w:vAlign w:val="center"/>
            <w:hideMark/>
          </w:tcPr>
          <w:p w14:paraId="3C4E022C" w14:textId="77777777" w:rsidR="007E02B9" w:rsidRPr="004B3A35" w:rsidRDefault="007E02B9" w:rsidP="009E28A4">
            <w:pPr>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　</w:t>
            </w:r>
          </w:p>
        </w:tc>
        <w:tc>
          <w:tcPr>
            <w:tcW w:w="1683" w:type="dxa"/>
            <w:tcBorders>
              <w:top w:val="single" w:sz="4" w:space="0" w:color="auto"/>
              <w:left w:val="nil"/>
              <w:bottom w:val="nil"/>
              <w:right w:val="nil"/>
            </w:tcBorders>
            <w:shd w:val="clear" w:color="auto" w:fill="auto"/>
            <w:noWrap/>
            <w:vAlign w:val="center"/>
            <w:hideMark/>
          </w:tcPr>
          <w:p w14:paraId="17B61C17" w14:textId="77777777" w:rsidR="007E02B9" w:rsidRPr="004B3A35" w:rsidRDefault="007E02B9" w:rsidP="009E28A4">
            <w:pPr>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　</w:t>
            </w:r>
          </w:p>
        </w:tc>
      </w:tr>
      <w:tr w:rsidR="007E02B9" w:rsidRPr="004B3A35" w14:paraId="5D092ADB" w14:textId="77777777" w:rsidTr="009E28A4">
        <w:trPr>
          <w:trHeight w:val="145"/>
          <w:jc w:val="center"/>
        </w:trPr>
        <w:tc>
          <w:tcPr>
            <w:tcW w:w="2457" w:type="dxa"/>
            <w:tcBorders>
              <w:top w:val="nil"/>
              <w:left w:val="nil"/>
              <w:bottom w:val="nil"/>
              <w:right w:val="nil"/>
            </w:tcBorders>
            <w:shd w:val="clear" w:color="auto" w:fill="auto"/>
            <w:vAlign w:val="center"/>
            <w:hideMark/>
          </w:tcPr>
          <w:p w14:paraId="4DE1DF81" w14:textId="77777777" w:rsidR="007E02B9" w:rsidRPr="004B3A35" w:rsidRDefault="007E02B9" w:rsidP="009E28A4">
            <w:pPr>
              <w:widowControl/>
              <w:jc w:val="lef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urban-rural location</w:t>
            </w:r>
          </w:p>
        </w:tc>
        <w:tc>
          <w:tcPr>
            <w:tcW w:w="1281" w:type="dxa"/>
            <w:tcBorders>
              <w:top w:val="nil"/>
              <w:left w:val="nil"/>
              <w:bottom w:val="nil"/>
              <w:right w:val="nil"/>
            </w:tcBorders>
            <w:shd w:val="clear" w:color="auto" w:fill="auto"/>
            <w:noWrap/>
            <w:vAlign w:val="center"/>
            <w:hideMark/>
          </w:tcPr>
          <w:p w14:paraId="6D482423"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-0.03 </w:t>
            </w:r>
          </w:p>
        </w:tc>
        <w:tc>
          <w:tcPr>
            <w:tcW w:w="933" w:type="dxa"/>
            <w:tcBorders>
              <w:top w:val="nil"/>
              <w:left w:val="nil"/>
              <w:bottom w:val="nil"/>
              <w:right w:val="nil"/>
            </w:tcBorders>
            <w:shd w:val="clear" w:color="auto" w:fill="auto"/>
            <w:noWrap/>
            <w:vAlign w:val="center"/>
            <w:hideMark/>
          </w:tcPr>
          <w:p w14:paraId="039F4F79"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0.01 </w:t>
            </w:r>
          </w:p>
        </w:tc>
        <w:tc>
          <w:tcPr>
            <w:tcW w:w="1388" w:type="dxa"/>
            <w:tcBorders>
              <w:top w:val="nil"/>
              <w:left w:val="nil"/>
              <w:bottom w:val="nil"/>
              <w:right w:val="nil"/>
            </w:tcBorders>
            <w:shd w:val="clear" w:color="auto" w:fill="auto"/>
            <w:noWrap/>
            <w:vAlign w:val="center"/>
            <w:hideMark/>
          </w:tcPr>
          <w:p w14:paraId="11B89912" w14:textId="77777777" w:rsidR="007E02B9" w:rsidRPr="004B3A35" w:rsidRDefault="007E02B9" w:rsidP="009E28A4">
            <w:pPr>
              <w:widowControl/>
              <w:jc w:val="right"/>
              <w:rPr>
                <w:rFonts w:ascii="Times New Roman" w:eastAsia="等线" w:hAnsi="Times New Roman" w:cs="Times New Roman"/>
                <w:kern w:val="0"/>
                <w:sz w:val="20"/>
                <w:szCs w:val="20"/>
              </w:rPr>
            </w:pPr>
          </w:p>
        </w:tc>
        <w:tc>
          <w:tcPr>
            <w:tcW w:w="1244" w:type="dxa"/>
            <w:tcBorders>
              <w:top w:val="nil"/>
              <w:left w:val="nil"/>
              <w:bottom w:val="nil"/>
              <w:right w:val="nil"/>
            </w:tcBorders>
            <w:shd w:val="clear" w:color="auto" w:fill="auto"/>
            <w:noWrap/>
            <w:vAlign w:val="center"/>
            <w:hideMark/>
          </w:tcPr>
          <w:p w14:paraId="71D4FF48" w14:textId="77777777" w:rsidR="007E02B9" w:rsidRPr="004B3A35" w:rsidRDefault="007E02B9" w:rsidP="009E28A4">
            <w:pPr>
              <w:widowControl/>
              <w:rPr>
                <w:rFonts w:ascii="Times New Roman" w:eastAsia="等线" w:hAnsi="Times New Roman" w:cs="Times New Roman"/>
                <w:kern w:val="0"/>
                <w:sz w:val="20"/>
                <w:szCs w:val="20"/>
              </w:rPr>
            </w:pPr>
          </w:p>
        </w:tc>
        <w:tc>
          <w:tcPr>
            <w:tcW w:w="1683" w:type="dxa"/>
            <w:tcBorders>
              <w:top w:val="nil"/>
              <w:left w:val="nil"/>
              <w:bottom w:val="nil"/>
              <w:right w:val="nil"/>
            </w:tcBorders>
            <w:shd w:val="clear" w:color="auto" w:fill="auto"/>
            <w:noWrap/>
            <w:vAlign w:val="center"/>
            <w:hideMark/>
          </w:tcPr>
          <w:p w14:paraId="135272C2" w14:textId="77777777" w:rsidR="007E02B9" w:rsidRPr="004B3A35" w:rsidRDefault="007E02B9" w:rsidP="009E28A4">
            <w:pPr>
              <w:widowControl/>
              <w:rPr>
                <w:rFonts w:ascii="Times New Roman" w:eastAsia="等线" w:hAnsi="Times New Roman" w:cs="Times New Roman"/>
                <w:kern w:val="0"/>
                <w:sz w:val="20"/>
                <w:szCs w:val="20"/>
              </w:rPr>
            </w:pPr>
          </w:p>
        </w:tc>
      </w:tr>
      <w:tr w:rsidR="007E02B9" w:rsidRPr="004B3A35" w14:paraId="6F5379A6" w14:textId="77777777" w:rsidTr="009E28A4">
        <w:trPr>
          <w:trHeight w:val="145"/>
          <w:jc w:val="center"/>
        </w:trPr>
        <w:tc>
          <w:tcPr>
            <w:tcW w:w="2457" w:type="dxa"/>
            <w:tcBorders>
              <w:top w:val="nil"/>
              <w:left w:val="nil"/>
              <w:bottom w:val="nil"/>
              <w:right w:val="nil"/>
            </w:tcBorders>
            <w:shd w:val="clear" w:color="auto" w:fill="auto"/>
            <w:vAlign w:val="center"/>
            <w:hideMark/>
          </w:tcPr>
          <w:p w14:paraId="43BDFE1B" w14:textId="77777777" w:rsidR="007E02B9" w:rsidRPr="004B3A35" w:rsidRDefault="007E02B9" w:rsidP="009E28A4">
            <w:pPr>
              <w:widowControl/>
              <w:jc w:val="lef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sleep duration</w:t>
            </w:r>
          </w:p>
        </w:tc>
        <w:tc>
          <w:tcPr>
            <w:tcW w:w="1281" w:type="dxa"/>
            <w:tcBorders>
              <w:top w:val="nil"/>
              <w:left w:val="nil"/>
              <w:bottom w:val="nil"/>
              <w:right w:val="nil"/>
            </w:tcBorders>
            <w:shd w:val="clear" w:color="auto" w:fill="auto"/>
            <w:noWrap/>
            <w:vAlign w:val="center"/>
            <w:hideMark/>
          </w:tcPr>
          <w:p w14:paraId="6ACA36E2"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-0.39 </w:t>
            </w:r>
          </w:p>
        </w:tc>
        <w:tc>
          <w:tcPr>
            <w:tcW w:w="933" w:type="dxa"/>
            <w:tcBorders>
              <w:top w:val="nil"/>
              <w:left w:val="nil"/>
              <w:bottom w:val="nil"/>
              <w:right w:val="nil"/>
            </w:tcBorders>
            <w:shd w:val="clear" w:color="auto" w:fill="auto"/>
            <w:noWrap/>
            <w:vAlign w:val="center"/>
            <w:hideMark/>
          </w:tcPr>
          <w:p w14:paraId="6AA87D93"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-0.49 </w:t>
            </w:r>
          </w:p>
        </w:tc>
        <w:tc>
          <w:tcPr>
            <w:tcW w:w="1388" w:type="dxa"/>
            <w:tcBorders>
              <w:top w:val="nil"/>
              <w:left w:val="nil"/>
              <w:bottom w:val="nil"/>
              <w:right w:val="nil"/>
            </w:tcBorders>
            <w:shd w:val="clear" w:color="auto" w:fill="auto"/>
            <w:noWrap/>
            <w:vAlign w:val="center"/>
            <w:hideMark/>
          </w:tcPr>
          <w:p w14:paraId="5CE66BCF"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0.06 </w:t>
            </w:r>
          </w:p>
        </w:tc>
        <w:tc>
          <w:tcPr>
            <w:tcW w:w="1244" w:type="dxa"/>
            <w:tcBorders>
              <w:top w:val="nil"/>
              <w:left w:val="nil"/>
              <w:bottom w:val="nil"/>
              <w:right w:val="nil"/>
            </w:tcBorders>
            <w:shd w:val="clear" w:color="auto" w:fill="auto"/>
            <w:noWrap/>
            <w:vAlign w:val="center"/>
            <w:hideMark/>
          </w:tcPr>
          <w:p w14:paraId="0EC2C443" w14:textId="77777777" w:rsidR="007E02B9" w:rsidRPr="004B3A35" w:rsidRDefault="007E02B9" w:rsidP="009E28A4">
            <w:pPr>
              <w:widowControl/>
              <w:jc w:val="right"/>
              <w:rPr>
                <w:rFonts w:ascii="Times New Roman" w:eastAsia="等线" w:hAnsi="Times New Roman" w:cs="Times New Roman"/>
                <w:kern w:val="0"/>
                <w:sz w:val="20"/>
                <w:szCs w:val="20"/>
              </w:rPr>
            </w:pPr>
          </w:p>
        </w:tc>
        <w:tc>
          <w:tcPr>
            <w:tcW w:w="1683" w:type="dxa"/>
            <w:tcBorders>
              <w:top w:val="nil"/>
              <w:left w:val="nil"/>
              <w:bottom w:val="nil"/>
              <w:right w:val="nil"/>
            </w:tcBorders>
            <w:shd w:val="clear" w:color="auto" w:fill="auto"/>
            <w:noWrap/>
            <w:vAlign w:val="center"/>
            <w:hideMark/>
          </w:tcPr>
          <w:p w14:paraId="60EFEC92" w14:textId="77777777" w:rsidR="007E02B9" w:rsidRPr="004B3A35" w:rsidRDefault="007E02B9" w:rsidP="009E28A4">
            <w:pPr>
              <w:widowControl/>
              <w:rPr>
                <w:rFonts w:ascii="Times New Roman" w:eastAsia="等线" w:hAnsi="Times New Roman" w:cs="Times New Roman"/>
                <w:kern w:val="0"/>
                <w:sz w:val="20"/>
                <w:szCs w:val="20"/>
              </w:rPr>
            </w:pPr>
          </w:p>
        </w:tc>
      </w:tr>
      <w:tr w:rsidR="007E02B9" w:rsidRPr="004B3A35" w14:paraId="5F43754B" w14:textId="77777777" w:rsidTr="009E28A4">
        <w:trPr>
          <w:trHeight w:val="145"/>
          <w:jc w:val="center"/>
        </w:trPr>
        <w:tc>
          <w:tcPr>
            <w:tcW w:w="2457" w:type="dxa"/>
            <w:tcBorders>
              <w:top w:val="nil"/>
              <w:left w:val="nil"/>
              <w:right w:val="nil"/>
            </w:tcBorders>
            <w:shd w:val="clear" w:color="auto" w:fill="auto"/>
            <w:vAlign w:val="center"/>
            <w:hideMark/>
          </w:tcPr>
          <w:p w14:paraId="706EC29F" w14:textId="77777777" w:rsidR="007E02B9" w:rsidRPr="004B3A35" w:rsidRDefault="007E02B9" w:rsidP="009E28A4">
            <w:pPr>
              <w:widowControl/>
              <w:jc w:val="lef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homework time </w:t>
            </w:r>
          </w:p>
        </w:tc>
        <w:tc>
          <w:tcPr>
            <w:tcW w:w="1281" w:type="dxa"/>
            <w:tcBorders>
              <w:top w:val="nil"/>
              <w:left w:val="nil"/>
              <w:right w:val="nil"/>
            </w:tcBorders>
            <w:shd w:val="clear" w:color="auto" w:fill="auto"/>
            <w:noWrap/>
            <w:vAlign w:val="center"/>
            <w:hideMark/>
          </w:tcPr>
          <w:p w14:paraId="642D4E90"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0.31 </w:t>
            </w:r>
          </w:p>
        </w:tc>
        <w:tc>
          <w:tcPr>
            <w:tcW w:w="933" w:type="dxa"/>
            <w:tcBorders>
              <w:top w:val="nil"/>
              <w:left w:val="nil"/>
              <w:right w:val="nil"/>
            </w:tcBorders>
            <w:shd w:val="clear" w:color="auto" w:fill="auto"/>
            <w:noWrap/>
            <w:vAlign w:val="center"/>
            <w:hideMark/>
          </w:tcPr>
          <w:p w14:paraId="392BCD72"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0.39 </w:t>
            </w:r>
          </w:p>
        </w:tc>
        <w:tc>
          <w:tcPr>
            <w:tcW w:w="1388" w:type="dxa"/>
            <w:tcBorders>
              <w:top w:val="nil"/>
              <w:left w:val="nil"/>
              <w:right w:val="nil"/>
            </w:tcBorders>
            <w:shd w:val="clear" w:color="auto" w:fill="auto"/>
            <w:noWrap/>
            <w:vAlign w:val="center"/>
            <w:hideMark/>
          </w:tcPr>
          <w:p w14:paraId="60754DCD"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-0.09 </w:t>
            </w:r>
          </w:p>
        </w:tc>
        <w:tc>
          <w:tcPr>
            <w:tcW w:w="1244" w:type="dxa"/>
            <w:tcBorders>
              <w:top w:val="nil"/>
              <w:left w:val="nil"/>
              <w:right w:val="nil"/>
            </w:tcBorders>
            <w:shd w:val="clear" w:color="auto" w:fill="auto"/>
            <w:noWrap/>
            <w:vAlign w:val="center"/>
            <w:hideMark/>
          </w:tcPr>
          <w:p w14:paraId="0F36A4F1"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-0.28 </w:t>
            </w:r>
          </w:p>
        </w:tc>
        <w:tc>
          <w:tcPr>
            <w:tcW w:w="1683" w:type="dxa"/>
            <w:tcBorders>
              <w:top w:val="nil"/>
              <w:left w:val="nil"/>
              <w:right w:val="nil"/>
            </w:tcBorders>
            <w:shd w:val="clear" w:color="auto" w:fill="auto"/>
            <w:noWrap/>
            <w:vAlign w:val="center"/>
            <w:hideMark/>
          </w:tcPr>
          <w:p w14:paraId="3E626181" w14:textId="77777777" w:rsidR="007E02B9" w:rsidRPr="004B3A35" w:rsidRDefault="007E02B9" w:rsidP="009E28A4">
            <w:pPr>
              <w:widowControl/>
              <w:jc w:val="right"/>
              <w:rPr>
                <w:rFonts w:ascii="Times New Roman" w:eastAsia="等线" w:hAnsi="Times New Roman" w:cs="Times New Roman"/>
                <w:kern w:val="0"/>
                <w:sz w:val="20"/>
                <w:szCs w:val="20"/>
              </w:rPr>
            </w:pPr>
          </w:p>
        </w:tc>
      </w:tr>
      <w:tr w:rsidR="007E02B9" w:rsidRPr="004B3A35" w14:paraId="2E8B0554" w14:textId="77777777" w:rsidTr="009E28A4">
        <w:trPr>
          <w:trHeight w:val="290"/>
          <w:jc w:val="center"/>
        </w:trPr>
        <w:tc>
          <w:tcPr>
            <w:tcW w:w="2457" w:type="dxa"/>
            <w:tcBorders>
              <w:top w:val="nil"/>
              <w:left w:val="nil"/>
              <w:bottom w:val="single" w:sz="8" w:space="0" w:color="auto"/>
              <w:right w:val="nil"/>
            </w:tcBorders>
            <w:shd w:val="clear" w:color="auto" w:fill="auto"/>
            <w:vAlign w:val="center"/>
            <w:hideMark/>
          </w:tcPr>
          <w:p w14:paraId="39F79982" w14:textId="77777777" w:rsidR="007E02B9" w:rsidRPr="004B3A35" w:rsidRDefault="007E02B9" w:rsidP="009E28A4">
            <w:pPr>
              <w:widowControl/>
              <w:jc w:val="lef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weekend outdoor activity frequency</w:t>
            </w:r>
          </w:p>
        </w:tc>
        <w:tc>
          <w:tcPr>
            <w:tcW w:w="1281" w:type="dxa"/>
            <w:tcBorders>
              <w:top w:val="nil"/>
              <w:left w:val="nil"/>
              <w:bottom w:val="single" w:sz="8" w:space="0" w:color="auto"/>
              <w:right w:val="nil"/>
            </w:tcBorders>
            <w:shd w:val="clear" w:color="auto" w:fill="auto"/>
            <w:noWrap/>
            <w:vAlign w:val="center"/>
            <w:hideMark/>
          </w:tcPr>
          <w:p w14:paraId="6AC8F334"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-0.06 </w:t>
            </w:r>
          </w:p>
        </w:tc>
        <w:tc>
          <w:tcPr>
            <w:tcW w:w="933" w:type="dxa"/>
            <w:tcBorders>
              <w:top w:val="nil"/>
              <w:left w:val="nil"/>
              <w:bottom w:val="single" w:sz="8" w:space="0" w:color="auto"/>
              <w:right w:val="nil"/>
            </w:tcBorders>
            <w:shd w:val="clear" w:color="auto" w:fill="auto"/>
            <w:noWrap/>
            <w:vAlign w:val="center"/>
            <w:hideMark/>
          </w:tcPr>
          <w:p w14:paraId="3A271012"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-0.06 </w:t>
            </w:r>
          </w:p>
        </w:tc>
        <w:tc>
          <w:tcPr>
            <w:tcW w:w="1388" w:type="dxa"/>
            <w:tcBorders>
              <w:top w:val="nil"/>
              <w:left w:val="nil"/>
              <w:bottom w:val="single" w:sz="8" w:space="0" w:color="auto"/>
              <w:right w:val="nil"/>
            </w:tcBorders>
            <w:shd w:val="clear" w:color="auto" w:fill="auto"/>
            <w:noWrap/>
            <w:vAlign w:val="center"/>
            <w:hideMark/>
          </w:tcPr>
          <w:p w14:paraId="07A057E3"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0.06 </w:t>
            </w:r>
          </w:p>
        </w:tc>
        <w:tc>
          <w:tcPr>
            <w:tcW w:w="1244" w:type="dxa"/>
            <w:tcBorders>
              <w:top w:val="nil"/>
              <w:left w:val="nil"/>
              <w:bottom w:val="single" w:sz="8" w:space="0" w:color="auto"/>
              <w:right w:val="nil"/>
            </w:tcBorders>
            <w:shd w:val="clear" w:color="auto" w:fill="auto"/>
            <w:noWrap/>
            <w:vAlign w:val="center"/>
            <w:hideMark/>
          </w:tcPr>
          <w:p w14:paraId="2D584EAC"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0.07 </w:t>
            </w:r>
          </w:p>
        </w:tc>
        <w:tc>
          <w:tcPr>
            <w:tcW w:w="1683" w:type="dxa"/>
            <w:tcBorders>
              <w:top w:val="nil"/>
              <w:left w:val="nil"/>
              <w:bottom w:val="single" w:sz="8" w:space="0" w:color="auto"/>
              <w:right w:val="nil"/>
            </w:tcBorders>
            <w:shd w:val="clear" w:color="auto" w:fill="auto"/>
            <w:noWrap/>
            <w:vAlign w:val="center"/>
            <w:hideMark/>
          </w:tcPr>
          <w:p w14:paraId="2FCEE098" w14:textId="77777777" w:rsidR="007E02B9" w:rsidRPr="004B3A35" w:rsidRDefault="007E02B9" w:rsidP="009E28A4">
            <w:pPr>
              <w:widowControl/>
              <w:jc w:val="right"/>
              <w:rPr>
                <w:rFonts w:ascii="Times New Roman" w:eastAsia="等线" w:hAnsi="Times New Roman" w:cs="Times New Roman"/>
                <w:kern w:val="0"/>
                <w:sz w:val="20"/>
                <w:szCs w:val="20"/>
              </w:rPr>
            </w:pPr>
            <w:r w:rsidRPr="004B3A35">
              <w:rPr>
                <w:rFonts w:ascii="Times New Roman" w:eastAsia="等线" w:hAnsi="Times New Roman" w:cs="Times New Roman"/>
                <w:kern w:val="0"/>
                <w:sz w:val="20"/>
                <w:szCs w:val="20"/>
              </w:rPr>
              <w:t xml:space="preserve">-0.12 </w:t>
            </w:r>
          </w:p>
        </w:tc>
      </w:tr>
    </w:tbl>
    <w:p w14:paraId="265846C0" w14:textId="77777777" w:rsidR="007E02B9" w:rsidRPr="007E02B9" w:rsidRDefault="007E02B9" w:rsidP="007E02B9">
      <w:pPr>
        <w:widowControl/>
        <w:jc w:val="left"/>
        <w:rPr>
          <w:rFonts w:ascii="Times New Roman" w:eastAsia="等线" w:hAnsi="Times New Roman" w:cs="Times New Roman"/>
          <w:kern w:val="0"/>
          <w:sz w:val="20"/>
          <w:szCs w:val="20"/>
        </w:rPr>
      </w:pPr>
    </w:p>
    <w:p w14:paraId="239F086C" w14:textId="77777777" w:rsidR="0066509A" w:rsidRPr="007E02B9" w:rsidRDefault="0066509A" w:rsidP="0066509A">
      <w:pPr>
        <w:widowControl/>
        <w:jc w:val="left"/>
        <w:rPr>
          <w:rFonts w:ascii="Times New Roman" w:hAnsi="Times New Roman" w:cs="Times New Roman"/>
          <w:sz w:val="20"/>
        </w:rPr>
      </w:pPr>
    </w:p>
    <w:p w14:paraId="2712D474" w14:textId="77777777" w:rsidR="00E473FB" w:rsidRPr="00D22C7A" w:rsidRDefault="0066509A">
      <w:pPr>
        <w:widowControl/>
        <w:jc w:val="left"/>
        <w:rPr>
          <w:rFonts w:ascii="Times New Roman" w:hAnsi="Times New Roman" w:cs="Times New Roman"/>
          <w:sz w:val="20"/>
        </w:rPr>
        <w:sectPr w:rsidR="00E473FB" w:rsidRPr="00D22C7A" w:rsidSect="00E473FB">
          <w:pgSz w:w="11906" w:h="16838"/>
          <w:pgMar w:top="1440" w:right="1800" w:bottom="1440" w:left="1800" w:header="851" w:footer="992" w:gutter="0"/>
          <w:cols w:space="425"/>
          <w:docGrid w:type="lines" w:linePitch="312"/>
        </w:sectPr>
      </w:pPr>
      <w:r w:rsidRPr="00E72516">
        <w:rPr>
          <w:rFonts w:ascii="Times New Roman" w:hAnsi="Times New Roman" w:cs="Times New Roman"/>
          <w:sz w:val="20"/>
        </w:rPr>
        <w:br w:type="page"/>
      </w:r>
    </w:p>
    <w:tbl>
      <w:tblPr>
        <w:tblpPr w:leftFromText="180" w:rightFromText="180" w:vertAnchor="page" w:horzAnchor="margin" w:tblpXSpec="center" w:tblpY="1916"/>
        <w:tblW w:w="13037" w:type="dxa"/>
        <w:tblLook w:val="04A0" w:firstRow="1" w:lastRow="0" w:firstColumn="1" w:lastColumn="0" w:noHBand="0" w:noVBand="1"/>
      </w:tblPr>
      <w:tblGrid>
        <w:gridCol w:w="2130"/>
        <w:gridCol w:w="581"/>
        <w:gridCol w:w="852"/>
        <w:gridCol w:w="1310"/>
        <w:gridCol w:w="297"/>
        <w:gridCol w:w="852"/>
        <w:gridCol w:w="1376"/>
        <w:gridCol w:w="315"/>
        <w:gridCol w:w="885"/>
        <w:gridCol w:w="1596"/>
        <w:gridCol w:w="293"/>
        <w:gridCol w:w="943"/>
        <w:gridCol w:w="1596"/>
        <w:gridCol w:w="11"/>
      </w:tblGrid>
      <w:tr w:rsidR="00E473FB" w:rsidRPr="00E72516" w14:paraId="2EC9D98F" w14:textId="77777777" w:rsidTr="00E473FB">
        <w:trPr>
          <w:trHeight w:val="231"/>
        </w:trPr>
        <w:tc>
          <w:tcPr>
            <w:tcW w:w="13037" w:type="dxa"/>
            <w:gridSpan w:val="14"/>
            <w:tcBorders>
              <w:top w:val="nil"/>
              <w:left w:val="nil"/>
              <w:bottom w:val="single" w:sz="8" w:space="0" w:color="auto"/>
              <w:right w:val="nil"/>
            </w:tcBorders>
            <w:shd w:val="clear" w:color="auto" w:fill="auto"/>
            <w:noWrap/>
            <w:vAlign w:val="center"/>
            <w:hideMark/>
          </w:tcPr>
          <w:p w14:paraId="186D28FB" w14:textId="77777777" w:rsidR="00E473FB" w:rsidRPr="00E72516" w:rsidRDefault="00DB383B" w:rsidP="000F4DDA">
            <w:pPr>
              <w:widowControl/>
              <w:jc w:val="left"/>
              <w:rPr>
                <w:rFonts w:ascii="Times New Roman" w:eastAsia="等线" w:hAnsi="Times New Roman" w:cs="Times New Roman"/>
                <w:b/>
                <w:bCs/>
                <w:color w:val="000000"/>
                <w:kern w:val="0"/>
                <w:sz w:val="20"/>
                <w:szCs w:val="20"/>
              </w:rPr>
            </w:pPr>
            <w:r w:rsidRPr="00DB383B">
              <w:rPr>
                <w:rStyle w:val="fontstyle01"/>
                <w:b/>
              </w:rPr>
              <w:lastRenderedPageBreak/>
              <w:t>Supplementary</w:t>
            </w:r>
            <w:r w:rsidRPr="00DB383B">
              <w:rPr>
                <w:b/>
              </w:rPr>
              <w:t xml:space="preserve"> </w:t>
            </w:r>
            <w:r w:rsidR="00E473FB" w:rsidRPr="00E72516">
              <w:rPr>
                <w:rFonts w:ascii="Times New Roman" w:eastAsia="等线" w:hAnsi="Times New Roman" w:cs="Times New Roman"/>
                <w:b/>
                <w:bCs/>
                <w:color w:val="000000"/>
                <w:kern w:val="0"/>
                <w:sz w:val="20"/>
                <w:szCs w:val="20"/>
              </w:rPr>
              <w:t>Table S</w:t>
            </w:r>
            <w:r w:rsidR="000F4DDA">
              <w:rPr>
                <w:rFonts w:ascii="Times New Roman" w:eastAsia="等线" w:hAnsi="Times New Roman" w:cs="Times New Roman"/>
                <w:b/>
                <w:bCs/>
                <w:color w:val="000000"/>
                <w:kern w:val="0"/>
                <w:sz w:val="20"/>
                <w:szCs w:val="20"/>
              </w:rPr>
              <w:t>3</w:t>
            </w:r>
            <w:r w:rsidR="00E473FB" w:rsidRPr="00E72516">
              <w:rPr>
                <w:rFonts w:ascii="Times New Roman" w:eastAsia="等线" w:hAnsi="Times New Roman" w:cs="Times New Roman"/>
                <w:b/>
                <w:bCs/>
                <w:color w:val="000000"/>
                <w:kern w:val="0"/>
                <w:sz w:val="20"/>
                <w:szCs w:val="20"/>
              </w:rPr>
              <w:t xml:space="preserve">. </w:t>
            </w:r>
            <w:r w:rsidR="00E473FB" w:rsidRPr="00775208">
              <w:rPr>
                <w:rFonts w:ascii="Times New Roman" w:eastAsia="等线" w:hAnsi="Times New Roman" w:cs="Times New Roman"/>
                <w:bCs/>
                <w:color w:val="000000"/>
                <w:kern w:val="0"/>
                <w:sz w:val="20"/>
                <w:szCs w:val="20"/>
              </w:rPr>
              <w:t>The diagnose of multi-collinearity in several models</w:t>
            </w:r>
            <w:r w:rsidR="00E473FB" w:rsidRPr="00775208">
              <w:rPr>
                <w:rFonts w:ascii="Times New Roman" w:eastAsia="等线" w:hAnsi="Times New Roman" w:cs="Times New Roman"/>
                <w:color w:val="000000"/>
                <w:kern w:val="0"/>
                <w:sz w:val="20"/>
                <w:szCs w:val="20"/>
              </w:rPr>
              <w:t xml:space="preserve"> </w:t>
            </w:r>
          </w:p>
        </w:tc>
      </w:tr>
      <w:tr w:rsidR="00E473FB" w:rsidRPr="00E72516" w14:paraId="73220F6D" w14:textId="77777777" w:rsidTr="00E473FB">
        <w:trPr>
          <w:gridAfter w:val="1"/>
          <w:wAfter w:w="11" w:type="dxa"/>
          <w:trHeight w:val="223"/>
        </w:trPr>
        <w:tc>
          <w:tcPr>
            <w:tcW w:w="2130" w:type="dxa"/>
            <w:vMerge w:val="restart"/>
            <w:tcBorders>
              <w:top w:val="nil"/>
              <w:left w:val="nil"/>
              <w:right w:val="nil"/>
            </w:tcBorders>
            <w:shd w:val="clear" w:color="auto" w:fill="auto"/>
            <w:noWrap/>
            <w:vAlign w:val="center"/>
            <w:hideMark/>
          </w:tcPr>
          <w:p w14:paraId="10AC1B85" w14:textId="77777777" w:rsidR="00E473FB" w:rsidRPr="00E72516" w:rsidRDefault="00E473FB" w:rsidP="00E473FB">
            <w:pPr>
              <w:widowControl/>
              <w:jc w:val="left"/>
              <w:rPr>
                <w:rFonts w:ascii="Times New Roman" w:eastAsia="等线" w:hAnsi="Times New Roman" w:cs="Times New Roman"/>
                <w:b/>
                <w:bCs/>
                <w:color w:val="000000"/>
                <w:kern w:val="0"/>
                <w:sz w:val="20"/>
                <w:szCs w:val="20"/>
              </w:rPr>
            </w:pPr>
          </w:p>
        </w:tc>
        <w:tc>
          <w:tcPr>
            <w:tcW w:w="581" w:type="dxa"/>
            <w:vMerge w:val="restart"/>
            <w:tcBorders>
              <w:top w:val="nil"/>
              <w:left w:val="nil"/>
              <w:bottom w:val="single" w:sz="4" w:space="0" w:color="000000"/>
              <w:right w:val="nil"/>
            </w:tcBorders>
            <w:shd w:val="clear" w:color="auto" w:fill="auto"/>
            <w:noWrap/>
            <w:vAlign w:val="center"/>
            <w:hideMark/>
          </w:tcPr>
          <w:p w14:paraId="35A86541"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df</w:t>
            </w:r>
          </w:p>
        </w:tc>
        <w:tc>
          <w:tcPr>
            <w:tcW w:w="2162" w:type="dxa"/>
            <w:gridSpan w:val="2"/>
            <w:tcBorders>
              <w:top w:val="nil"/>
              <w:left w:val="nil"/>
              <w:bottom w:val="nil"/>
              <w:right w:val="nil"/>
            </w:tcBorders>
            <w:shd w:val="clear" w:color="auto" w:fill="auto"/>
            <w:noWrap/>
            <w:vAlign w:val="center"/>
            <w:hideMark/>
          </w:tcPr>
          <w:p w14:paraId="18414156"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Model 2</w:t>
            </w:r>
          </w:p>
        </w:tc>
        <w:tc>
          <w:tcPr>
            <w:tcW w:w="297" w:type="dxa"/>
            <w:tcBorders>
              <w:top w:val="nil"/>
              <w:left w:val="nil"/>
              <w:bottom w:val="nil"/>
              <w:right w:val="nil"/>
            </w:tcBorders>
            <w:shd w:val="clear" w:color="auto" w:fill="auto"/>
            <w:noWrap/>
            <w:vAlign w:val="center"/>
            <w:hideMark/>
          </w:tcPr>
          <w:p w14:paraId="1A74481A"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2228" w:type="dxa"/>
            <w:gridSpan w:val="2"/>
            <w:tcBorders>
              <w:top w:val="nil"/>
              <w:left w:val="nil"/>
              <w:bottom w:val="nil"/>
              <w:right w:val="nil"/>
            </w:tcBorders>
            <w:shd w:val="clear" w:color="auto" w:fill="auto"/>
            <w:noWrap/>
            <w:vAlign w:val="center"/>
            <w:hideMark/>
          </w:tcPr>
          <w:p w14:paraId="79FEC856"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Model 3</w:t>
            </w:r>
          </w:p>
        </w:tc>
        <w:tc>
          <w:tcPr>
            <w:tcW w:w="315" w:type="dxa"/>
            <w:tcBorders>
              <w:top w:val="nil"/>
              <w:left w:val="nil"/>
              <w:bottom w:val="nil"/>
              <w:right w:val="nil"/>
            </w:tcBorders>
            <w:shd w:val="clear" w:color="auto" w:fill="auto"/>
            <w:noWrap/>
            <w:vAlign w:val="center"/>
            <w:hideMark/>
          </w:tcPr>
          <w:p w14:paraId="3E58829A"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2481" w:type="dxa"/>
            <w:gridSpan w:val="2"/>
            <w:tcBorders>
              <w:top w:val="nil"/>
              <w:left w:val="nil"/>
              <w:bottom w:val="nil"/>
              <w:right w:val="nil"/>
            </w:tcBorders>
            <w:shd w:val="clear" w:color="auto" w:fill="auto"/>
            <w:noWrap/>
            <w:vAlign w:val="center"/>
            <w:hideMark/>
          </w:tcPr>
          <w:p w14:paraId="6497356B"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Pre-menarche model</w:t>
            </w:r>
          </w:p>
        </w:tc>
        <w:tc>
          <w:tcPr>
            <w:tcW w:w="293" w:type="dxa"/>
            <w:tcBorders>
              <w:top w:val="nil"/>
              <w:left w:val="nil"/>
              <w:bottom w:val="nil"/>
              <w:right w:val="nil"/>
            </w:tcBorders>
            <w:shd w:val="clear" w:color="auto" w:fill="auto"/>
            <w:noWrap/>
            <w:vAlign w:val="center"/>
            <w:hideMark/>
          </w:tcPr>
          <w:p w14:paraId="17E94428"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2539" w:type="dxa"/>
            <w:gridSpan w:val="2"/>
            <w:tcBorders>
              <w:top w:val="nil"/>
              <w:left w:val="nil"/>
              <w:bottom w:val="nil"/>
              <w:right w:val="nil"/>
            </w:tcBorders>
            <w:shd w:val="clear" w:color="auto" w:fill="auto"/>
            <w:noWrap/>
            <w:vAlign w:val="center"/>
            <w:hideMark/>
          </w:tcPr>
          <w:p w14:paraId="6AE876CA"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Post-menarche model</w:t>
            </w:r>
          </w:p>
        </w:tc>
      </w:tr>
      <w:tr w:rsidR="00E473FB" w:rsidRPr="00E72516" w14:paraId="160C168A" w14:textId="77777777" w:rsidTr="00E473FB">
        <w:trPr>
          <w:gridAfter w:val="1"/>
          <w:wAfter w:w="11" w:type="dxa"/>
          <w:trHeight w:val="223"/>
        </w:trPr>
        <w:tc>
          <w:tcPr>
            <w:tcW w:w="2130" w:type="dxa"/>
            <w:vMerge/>
            <w:tcBorders>
              <w:left w:val="nil"/>
              <w:bottom w:val="nil"/>
              <w:right w:val="nil"/>
            </w:tcBorders>
            <w:shd w:val="clear" w:color="auto" w:fill="auto"/>
            <w:noWrap/>
            <w:vAlign w:val="center"/>
            <w:hideMark/>
          </w:tcPr>
          <w:p w14:paraId="7CB6C619"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581" w:type="dxa"/>
            <w:vMerge/>
            <w:tcBorders>
              <w:top w:val="nil"/>
              <w:left w:val="nil"/>
              <w:bottom w:val="single" w:sz="4" w:space="0" w:color="000000"/>
              <w:right w:val="nil"/>
            </w:tcBorders>
            <w:vAlign w:val="center"/>
            <w:hideMark/>
          </w:tcPr>
          <w:p w14:paraId="0ADAB6E1" w14:textId="77777777" w:rsidR="00E473FB" w:rsidRPr="00E72516" w:rsidRDefault="00E473FB" w:rsidP="00E473FB">
            <w:pPr>
              <w:widowControl/>
              <w:jc w:val="left"/>
              <w:rPr>
                <w:rFonts w:ascii="Times New Roman" w:eastAsia="等线" w:hAnsi="Times New Roman" w:cs="Times New Roman"/>
                <w:color w:val="000000"/>
                <w:kern w:val="0"/>
                <w:sz w:val="20"/>
                <w:szCs w:val="20"/>
              </w:rPr>
            </w:pPr>
          </w:p>
        </w:tc>
        <w:tc>
          <w:tcPr>
            <w:tcW w:w="852" w:type="dxa"/>
            <w:tcBorders>
              <w:top w:val="single" w:sz="4" w:space="0" w:color="auto"/>
              <w:left w:val="nil"/>
              <w:bottom w:val="single" w:sz="4" w:space="0" w:color="auto"/>
              <w:right w:val="nil"/>
            </w:tcBorders>
            <w:shd w:val="clear" w:color="auto" w:fill="auto"/>
            <w:noWrap/>
            <w:vAlign w:val="center"/>
            <w:hideMark/>
          </w:tcPr>
          <w:p w14:paraId="03A68AB7"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GVIF</w:t>
            </w:r>
          </w:p>
        </w:tc>
        <w:tc>
          <w:tcPr>
            <w:tcW w:w="1310" w:type="dxa"/>
            <w:tcBorders>
              <w:top w:val="single" w:sz="4" w:space="0" w:color="auto"/>
              <w:left w:val="nil"/>
              <w:bottom w:val="single" w:sz="4" w:space="0" w:color="auto"/>
              <w:right w:val="nil"/>
            </w:tcBorders>
            <w:shd w:val="clear" w:color="auto" w:fill="auto"/>
            <w:noWrap/>
            <w:vAlign w:val="center"/>
            <w:hideMark/>
          </w:tcPr>
          <w:p w14:paraId="27245211"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GVIF</w:t>
            </w:r>
            <w:r w:rsidRPr="00E72516">
              <w:rPr>
                <w:rFonts w:ascii="Times New Roman" w:eastAsia="等线" w:hAnsi="Times New Roman" w:cs="Times New Roman"/>
                <w:color w:val="000000"/>
                <w:kern w:val="0"/>
                <w:sz w:val="20"/>
                <w:szCs w:val="20"/>
                <w:vertAlign w:val="superscript"/>
              </w:rPr>
              <w:t>^1/2df</w:t>
            </w:r>
          </w:p>
        </w:tc>
        <w:tc>
          <w:tcPr>
            <w:tcW w:w="297" w:type="dxa"/>
            <w:tcBorders>
              <w:top w:val="nil"/>
              <w:left w:val="nil"/>
              <w:bottom w:val="nil"/>
              <w:right w:val="nil"/>
            </w:tcBorders>
            <w:shd w:val="clear" w:color="auto" w:fill="auto"/>
            <w:noWrap/>
            <w:vAlign w:val="center"/>
            <w:hideMark/>
          </w:tcPr>
          <w:p w14:paraId="376D29DF" w14:textId="77777777" w:rsidR="00E473FB" w:rsidRPr="00E72516" w:rsidRDefault="00E473FB" w:rsidP="00E473FB">
            <w:pPr>
              <w:widowControl/>
              <w:jc w:val="left"/>
              <w:rPr>
                <w:rFonts w:ascii="Times New Roman" w:eastAsia="等线" w:hAnsi="Times New Roman" w:cs="Times New Roman"/>
                <w:color w:val="000000"/>
                <w:kern w:val="0"/>
                <w:sz w:val="20"/>
                <w:szCs w:val="20"/>
              </w:rPr>
            </w:pPr>
          </w:p>
        </w:tc>
        <w:tc>
          <w:tcPr>
            <w:tcW w:w="852" w:type="dxa"/>
            <w:tcBorders>
              <w:top w:val="single" w:sz="4" w:space="0" w:color="auto"/>
              <w:left w:val="nil"/>
              <w:bottom w:val="single" w:sz="4" w:space="0" w:color="auto"/>
              <w:right w:val="nil"/>
            </w:tcBorders>
            <w:shd w:val="clear" w:color="auto" w:fill="auto"/>
            <w:noWrap/>
            <w:vAlign w:val="center"/>
            <w:hideMark/>
          </w:tcPr>
          <w:p w14:paraId="71EC25BA"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GVIF</w:t>
            </w:r>
          </w:p>
        </w:tc>
        <w:tc>
          <w:tcPr>
            <w:tcW w:w="1376" w:type="dxa"/>
            <w:tcBorders>
              <w:top w:val="single" w:sz="4" w:space="0" w:color="auto"/>
              <w:left w:val="nil"/>
              <w:bottom w:val="single" w:sz="4" w:space="0" w:color="auto"/>
              <w:right w:val="nil"/>
            </w:tcBorders>
            <w:shd w:val="clear" w:color="auto" w:fill="auto"/>
            <w:noWrap/>
            <w:vAlign w:val="center"/>
            <w:hideMark/>
          </w:tcPr>
          <w:p w14:paraId="0B7048FC"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GVIF</w:t>
            </w:r>
            <w:r w:rsidRPr="00E72516">
              <w:rPr>
                <w:rFonts w:ascii="Times New Roman" w:eastAsia="等线" w:hAnsi="Times New Roman" w:cs="Times New Roman"/>
                <w:color w:val="000000"/>
                <w:kern w:val="0"/>
                <w:sz w:val="20"/>
                <w:szCs w:val="20"/>
                <w:vertAlign w:val="superscript"/>
              </w:rPr>
              <w:t>^1/2df</w:t>
            </w:r>
          </w:p>
        </w:tc>
        <w:tc>
          <w:tcPr>
            <w:tcW w:w="315" w:type="dxa"/>
            <w:tcBorders>
              <w:top w:val="nil"/>
              <w:left w:val="nil"/>
              <w:bottom w:val="nil"/>
              <w:right w:val="nil"/>
            </w:tcBorders>
            <w:shd w:val="clear" w:color="auto" w:fill="auto"/>
            <w:noWrap/>
            <w:vAlign w:val="center"/>
            <w:hideMark/>
          </w:tcPr>
          <w:p w14:paraId="6DAC9B20" w14:textId="77777777" w:rsidR="00E473FB" w:rsidRPr="00E72516" w:rsidRDefault="00E473FB" w:rsidP="00E473FB">
            <w:pPr>
              <w:widowControl/>
              <w:jc w:val="left"/>
              <w:rPr>
                <w:rFonts w:ascii="Times New Roman" w:eastAsia="等线" w:hAnsi="Times New Roman" w:cs="Times New Roman"/>
                <w:color w:val="000000"/>
                <w:kern w:val="0"/>
                <w:sz w:val="20"/>
                <w:szCs w:val="20"/>
              </w:rPr>
            </w:pPr>
          </w:p>
        </w:tc>
        <w:tc>
          <w:tcPr>
            <w:tcW w:w="885" w:type="dxa"/>
            <w:tcBorders>
              <w:top w:val="single" w:sz="4" w:space="0" w:color="auto"/>
              <w:left w:val="nil"/>
              <w:bottom w:val="single" w:sz="4" w:space="0" w:color="auto"/>
              <w:right w:val="nil"/>
            </w:tcBorders>
            <w:shd w:val="clear" w:color="auto" w:fill="auto"/>
            <w:noWrap/>
            <w:vAlign w:val="center"/>
            <w:hideMark/>
          </w:tcPr>
          <w:p w14:paraId="11C80194"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GVIF</w:t>
            </w:r>
          </w:p>
        </w:tc>
        <w:tc>
          <w:tcPr>
            <w:tcW w:w="1596" w:type="dxa"/>
            <w:tcBorders>
              <w:top w:val="single" w:sz="4" w:space="0" w:color="auto"/>
              <w:left w:val="nil"/>
              <w:bottom w:val="single" w:sz="4" w:space="0" w:color="auto"/>
              <w:right w:val="nil"/>
            </w:tcBorders>
            <w:shd w:val="clear" w:color="auto" w:fill="auto"/>
            <w:noWrap/>
            <w:vAlign w:val="center"/>
            <w:hideMark/>
          </w:tcPr>
          <w:p w14:paraId="40F1546C"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GVIF</w:t>
            </w:r>
            <w:r w:rsidRPr="00E72516">
              <w:rPr>
                <w:rFonts w:ascii="Times New Roman" w:eastAsia="等线" w:hAnsi="Times New Roman" w:cs="Times New Roman"/>
                <w:color w:val="000000"/>
                <w:kern w:val="0"/>
                <w:sz w:val="20"/>
                <w:szCs w:val="20"/>
                <w:vertAlign w:val="superscript"/>
              </w:rPr>
              <w:t>^1/2df</w:t>
            </w:r>
          </w:p>
        </w:tc>
        <w:tc>
          <w:tcPr>
            <w:tcW w:w="293" w:type="dxa"/>
            <w:tcBorders>
              <w:top w:val="nil"/>
              <w:left w:val="nil"/>
              <w:bottom w:val="nil"/>
              <w:right w:val="nil"/>
            </w:tcBorders>
            <w:shd w:val="clear" w:color="auto" w:fill="auto"/>
            <w:noWrap/>
            <w:vAlign w:val="center"/>
            <w:hideMark/>
          </w:tcPr>
          <w:p w14:paraId="05407BEB" w14:textId="77777777" w:rsidR="00E473FB" w:rsidRPr="00E72516" w:rsidRDefault="00E473FB" w:rsidP="00E473FB">
            <w:pPr>
              <w:widowControl/>
              <w:jc w:val="left"/>
              <w:rPr>
                <w:rFonts w:ascii="Times New Roman" w:eastAsia="等线" w:hAnsi="Times New Roman" w:cs="Times New Roman"/>
                <w:color w:val="000000"/>
                <w:kern w:val="0"/>
                <w:sz w:val="20"/>
                <w:szCs w:val="20"/>
              </w:rPr>
            </w:pPr>
          </w:p>
        </w:tc>
        <w:tc>
          <w:tcPr>
            <w:tcW w:w="943" w:type="dxa"/>
            <w:tcBorders>
              <w:top w:val="single" w:sz="4" w:space="0" w:color="auto"/>
              <w:left w:val="nil"/>
              <w:bottom w:val="single" w:sz="4" w:space="0" w:color="auto"/>
              <w:right w:val="nil"/>
            </w:tcBorders>
            <w:shd w:val="clear" w:color="auto" w:fill="auto"/>
            <w:noWrap/>
            <w:vAlign w:val="center"/>
            <w:hideMark/>
          </w:tcPr>
          <w:p w14:paraId="15DEA131"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GVIF</w:t>
            </w:r>
          </w:p>
        </w:tc>
        <w:tc>
          <w:tcPr>
            <w:tcW w:w="1596" w:type="dxa"/>
            <w:tcBorders>
              <w:top w:val="single" w:sz="4" w:space="0" w:color="auto"/>
              <w:left w:val="nil"/>
              <w:bottom w:val="single" w:sz="4" w:space="0" w:color="auto"/>
              <w:right w:val="nil"/>
            </w:tcBorders>
            <w:shd w:val="clear" w:color="auto" w:fill="auto"/>
            <w:noWrap/>
            <w:vAlign w:val="center"/>
            <w:hideMark/>
          </w:tcPr>
          <w:p w14:paraId="18DA9ED5"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GVIF</w:t>
            </w:r>
            <w:r w:rsidRPr="00E72516">
              <w:rPr>
                <w:rFonts w:ascii="Times New Roman" w:eastAsia="等线" w:hAnsi="Times New Roman" w:cs="Times New Roman"/>
                <w:color w:val="000000"/>
                <w:kern w:val="0"/>
                <w:sz w:val="20"/>
                <w:szCs w:val="20"/>
                <w:vertAlign w:val="superscript"/>
              </w:rPr>
              <w:t>^1/2df</w:t>
            </w:r>
          </w:p>
        </w:tc>
      </w:tr>
      <w:tr w:rsidR="00E473FB" w:rsidRPr="00E72516" w14:paraId="0E4F6881" w14:textId="77777777" w:rsidTr="00E473FB">
        <w:trPr>
          <w:gridAfter w:val="1"/>
          <w:wAfter w:w="11" w:type="dxa"/>
          <w:trHeight w:val="223"/>
        </w:trPr>
        <w:tc>
          <w:tcPr>
            <w:tcW w:w="2130" w:type="dxa"/>
            <w:tcBorders>
              <w:top w:val="single" w:sz="4" w:space="0" w:color="auto"/>
              <w:left w:val="nil"/>
              <w:bottom w:val="nil"/>
              <w:right w:val="nil"/>
            </w:tcBorders>
            <w:shd w:val="clear" w:color="auto" w:fill="auto"/>
            <w:noWrap/>
            <w:vAlign w:val="center"/>
            <w:hideMark/>
          </w:tcPr>
          <w:p w14:paraId="68C978B5"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menarche status</w:t>
            </w:r>
          </w:p>
        </w:tc>
        <w:tc>
          <w:tcPr>
            <w:tcW w:w="581" w:type="dxa"/>
            <w:tcBorders>
              <w:top w:val="nil"/>
              <w:left w:val="nil"/>
              <w:bottom w:val="nil"/>
              <w:right w:val="nil"/>
            </w:tcBorders>
            <w:shd w:val="clear" w:color="auto" w:fill="auto"/>
            <w:noWrap/>
            <w:vAlign w:val="center"/>
            <w:hideMark/>
          </w:tcPr>
          <w:p w14:paraId="1428AA06"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w:t>
            </w:r>
          </w:p>
        </w:tc>
        <w:tc>
          <w:tcPr>
            <w:tcW w:w="852" w:type="dxa"/>
            <w:tcBorders>
              <w:top w:val="nil"/>
              <w:left w:val="nil"/>
              <w:bottom w:val="nil"/>
              <w:right w:val="nil"/>
            </w:tcBorders>
            <w:shd w:val="clear" w:color="auto" w:fill="auto"/>
            <w:noWrap/>
            <w:vAlign w:val="center"/>
            <w:hideMark/>
          </w:tcPr>
          <w:p w14:paraId="770F5BBA"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2.1</w:t>
            </w:r>
          </w:p>
        </w:tc>
        <w:tc>
          <w:tcPr>
            <w:tcW w:w="1310" w:type="dxa"/>
            <w:tcBorders>
              <w:top w:val="nil"/>
              <w:left w:val="nil"/>
              <w:bottom w:val="nil"/>
              <w:right w:val="nil"/>
            </w:tcBorders>
            <w:shd w:val="clear" w:color="auto" w:fill="auto"/>
            <w:noWrap/>
            <w:vAlign w:val="center"/>
            <w:hideMark/>
          </w:tcPr>
          <w:p w14:paraId="233EED93"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1.5</w:t>
            </w:r>
          </w:p>
        </w:tc>
        <w:tc>
          <w:tcPr>
            <w:tcW w:w="297" w:type="dxa"/>
            <w:tcBorders>
              <w:top w:val="single" w:sz="4" w:space="0" w:color="auto"/>
              <w:left w:val="nil"/>
              <w:bottom w:val="nil"/>
              <w:right w:val="nil"/>
            </w:tcBorders>
            <w:shd w:val="clear" w:color="auto" w:fill="auto"/>
            <w:noWrap/>
            <w:vAlign w:val="center"/>
            <w:hideMark/>
          </w:tcPr>
          <w:p w14:paraId="402CF5BF"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 xml:space="preserve">　</w:t>
            </w:r>
          </w:p>
        </w:tc>
        <w:tc>
          <w:tcPr>
            <w:tcW w:w="852" w:type="dxa"/>
            <w:tcBorders>
              <w:top w:val="nil"/>
              <w:left w:val="nil"/>
              <w:bottom w:val="nil"/>
              <w:right w:val="nil"/>
            </w:tcBorders>
            <w:shd w:val="clear" w:color="auto" w:fill="auto"/>
            <w:noWrap/>
            <w:hideMark/>
          </w:tcPr>
          <w:p w14:paraId="17DC75F5"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2.1</w:t>
            </w:r>
          </w:p>
        </w:tc>
        <w:tc>
          <w:tcPr>
            <w:tcW w:w="1376" w:type="dxa"/>
            <w:tcBorders>
              <w:top w:val="nil"/>
              <w:left w:val="nil"/>
              <w:bottom w:val="nil"/>
              <w:right w:val="nil"/>
            </w:tcBorders>
            <w:shd w:val="clear" w:color="auto" w:fill="auto"/>
            <w:noWrap/>
            <w:hideMark/>
          </w:tcPr>
          <w:p w14:paraId="7FA5FC1C"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1.4</w:t>
            </w:r>
          </w:p>
        </w:tc>
        <w:tc>
          <w:tcPr>
            <w:tcW w:w="315" w:type="dxa"/>
            <w:tcBorders>
              <w:top w:val="single" w:sz="4" w:space="0" w:color="auto"/>
              <w:left w:val="nil"/>
              <w:bottom w:val="nil"/>
              <w:right w:val="nil"/>
            </w:tcBorders>
            <w:shd w:val="clear" w:color="auto" w:fill="auto"/>
            <w:noWrap/>
            <w:vAlign w:val="center"/>
            <w:hideMark/>
          </w:tcPr>
          <w:p w14:paraId="1DC5C2A6"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 xml:space="preserve">　</w:t>
            </w:r>
          </w:p>
        </w:tc>
        <w:tc>
          <w:tcPr>
            <w:tcW w:w="885" w:type="dxa"/>
            <w:tcBorders>
              <w:top w:val="nil"/>
              <w:left w:val="nil"/>
              <w:bottom w:val="nil"/>
              <w:right w:val="nil"/>
            </w:tcBorders>
            <w:shd w:val="clear" w:color="auto" w:fill="auto"/>
            <w:noWrap/>
            <w:vAlign w:val="center"/>
            <w:hideMark/>
          </w:tcPr>
          <w:p w14:paraId="46C9132D"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 xml:space="preserve">　</w:t>
            </w:r>
          </w:p>
        </w:tc>
        <w:tc>
          <w:tcPr>
            <w:tcW w:w="1596" w:type="dxa"/>
            <w:tcBorders>
              <w:top w:val="nil"/>
              <w:left w:val="nil"/>
              <w:bottom w:val="nil"/>
              <w:right w:val="nil"/>
            </w:tcBorders>
            <w:shd w:val="clear" w:color="auto" w:fill="auto"/>
            <w:noWrap/>
            <w:vAlign w:val="center"/>
            <w:hideMark/>
          </w:tcPr>
          <w:p w14:paraId="2AF17A05"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 xml:space="preserve">　</w:t>
            </w:r>
          </w:p>
        </w:tc>
        <w:tc>
          <w:tcPr>
            <w:tcW w:w="293" w:type="dxa"/>
            <w:tcBorders>
              <w:top w:val="single" w:sz="4" w:space="0" w:color="auto"/>
              <w:left w:val="nil"/>
              <w:bottom w:val="nil"/>
              <w:right w:val="nil"/>
            </w:tcBorders>
            <w:shd w:val="clear" w:color="auto" w:fill="auto"/>
            <w:noWrap/>
            <w:vAlign w:val="center"/>
            <w:hideMark/>
          </w:tcPr>
          <w:p w14:paraId="0CE2CF09"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 xml:space="preserve">　</w:t>
            </w:r>
          </w:p>
        </w:tc>
        <w:tc>
          <w:tcPr>
            <w:tcW w:w="943" w:type="dxa"/>
            <w:tcBorders>
              <w:top w:val="nil"/>
              <w:left w:val="nil"/>
              <w:bottom w:val="nil"/>
              <w:right w:val="nil"/>
            </w:tcBorders>
            <w:shd w:val="clear" w:color="auto" w:fill="auto"/>
            <w:noWrap/>
            <w:vAlign w:val="center"/>
            <w:hideMark/>
          </w:tcPr>
          <w:p w14:paraId="742D4F1A"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 xml:space="preserve">　</w:t>
            </w:r>
          </w:p>
        </w:tc>
        <w:tc>
          <w:tcPr>
            <w:tcW w:w="1596" w:type="dxa"/>
            <w:tcBorders>
              <w:top w:val="nil"/>
              <w:left w:val="nil"/>
              <w:bottom w:val="nil"/>
              <w:right w:val="nil"/>
            </w:tcBorders>
            <w:shd w:val="clear" w:color="auto" w:fill="auto"/>
            <w:noWrap/>
            <w:vAlign w:val="center"/>
            <w:hideMark/>
          </w:tcPr>
          <w:p w14:paraId="0940998D"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 xml:space="preserve">　</w:t>
            </w:r>
          </w:p>
        </w:tc>
      </w:tr>
      <w:tr w:rsidR="00E473FB" w:rsidRPr="00E72516" w14:paraId="404BB5DD" w14:textId="77777777" w:rsidTr="00E473FB">
        <w:trPr>
          <w:gridAfter w:val="1"/>
          <w:wAfter w:w="11" w:type="dxa"/>
          <w:trHeight w:val="223"/>
        </w:trPr>
        <w:tc>
          <w:tcPr>
            <w:tcW w:w="2130" w:type="dxa"/>
            <w:tcBorders>
              <w:top w:val="nil"/>
              <w:left w:val="nil"/>
              <w:bottom w:val="nil"/>
              <w:right w:val="nil"/>
            </w:tcBorders>
            <w:shd w:val="clear" w:color="auto" w:fill="auto"/>
            <w:noWrap/>
            <w:vAlign w:val="center"/>
            <w:hideMark/>
          </w:tcPr>
          <w:p w14:paraId="1768CBC5"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age by day</w:t>
            </w:r>
          </w:p>
        </w:tc>
        <w:tc>
          <w:tcPr>
            <w:tcW w:w="581" w:type="dxa"/>
            <w:tcBorders>
              <w:top w:val="nil"/>
              <w:left w:val="nil"/>
              <w:bottom w:val="nil"/>
              <w:right w:val="nil"/>
            </w:tcBorders>
            <w:shd w:val="clear" w:color="auto" w:fill="auto"/>
            <w:noWrap/>
            <w:vAlign w:val="center"/>
            <w:hideMark/>
          </w:tcPr>
          <w:p w14:paraId="2A5E132B"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w:t>
            </w:r>
          </w:p>
        </w:tc>
        <w:tc>
          <w:tcPr>
            <w:tcW w:w="852" w:type="dxa"/>
            <w:tcBorders>
              <w:top w:val="nil"/>
              <w:left w:val="nil"/>
              <w:bottom w:val="nil"/>
              <w:right w:val="nil"/>
            </w:tcBorders>
            <w:shd w:val="clear" w:color="auto" w:fill="auto"/>
            <w:noWrap/>
            <w:vAlign w:val="center"/>
            <w:hideMark/>
          </w:tcPr>
          <w:p w14:paraId="761220D9"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2.1</w:t>
            </w:r>
          </w:p>
        </w:tc>
        <w:tc>
          <w:tcPr>
            <w:tcW w:w="1310" w:type="dxa"/>
            <w:tcBorders>
              <w:top w:val="nil"/>
              <w:left w:val="nil"/>
              <w:bottom w:val="nil"/>
              <w:right w:val="nil"/>
            </w:tcBorders>
            <w:shd w:val="clear" w:color="auto" w:fill="auto"/>
            <w:noWrap/>
            <w:vAlign w:val="center"/>
            <w:hideMark/>
          </w:tcPr>
          <w:p w14:paraId="308328EF"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1.5</w:t>
            </w:r>
          </w:p>
        </w:tc>
        <w:tc>
          <w:tcPr>
            <w:tcW w:w="297" w:type="dxa"/>
            <w:tcBorders>
              <w:top w:val="nil"/>
              <w:left w:val="nil"/>
              <w:bottom w:val="nil"/>
              <w:right w:val="nil"/>
            </w:tcBorders>
            <w:shd w:val="clear" w:color="auto" w:fill="auto"/>
            <w:noWrap/>
            <w:vAlign w:val="center"/>
            <w:hideMark/>
          </w:tcPr>
          <w:p w14:paraId="32C6154B"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852" w:type="dxa"/>
            <w:tcBorders>
              <w:top w:val="nil"/>
              <w:left w:val="nil"/>
              <w:bottom w:val="nil"/>
              <w:right w:val="nil"/>
            </w:tcBorders>
            <w:shd w:val="clear" w:color="auto" w:fill="auto"/>
            <w:noWrap/>
            <w:hideMark/>
          </w:tcPr>
          <w:p w14:paraId="742BA81F"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2.5</w:t>
            </w:r>
          </w:p>
        </w:tc>
        <w:tc>
          <w:tcPr>
            <w:tcW w:w="1376" w:type="dxa"/>
            <w:tcBorders>
              <w:top w:val="nil"/>
              <w:left w:val="nil"/>
              <w:bottom w:val="nil"/>
              <w:right w:val="nil"/>
            </w:tcBorders>
            <w:shd w:val="clear" w:color="auto" w:fill="auto"/>
            <w:noWrap/>
            <w:hideMark/>
          </w:tcPr>
          <w:p w14:paraId="49DDB136"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1.6</w:t>
            </w:r>
          </w:p>
        </w:tc>
        <w:tc>
          <w:tcPr>
            <w:tcW w:w="315" w:type="dxa"/>
            <w:tcBorders>
              <w:top w:val="nil"/>
              <w:left w:val="nil"/>
              <w:bottom w:val="nil"/>
              <w:right w:val="nil"/>
            </w:tcBorders>
            <w:shd w:val="clear" w:color="auto" w:fill="auto"/>
            <w:noWrap/>
            <w:vAlign w:val="center"/>
            <w:hideMark/>
          </w:tcPr>
          <w:p w14:paraId="58E43982"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885" w:type="dxa"/>
            <w:tcBorders>
              <w:top w:val="nil"/>
              <w:left w:val="nil"/>
              <w:bottom w:val="nil"/>
              <w:right w:val="nil"/>
            </w:tcBorders>
            <w:shd w:val="clear" w:color="auto" w:fill="auto"/>
            <w:noWrap/>
            <w:vAlign w:val="center"/>
            <w:hideMark/>
          </w:tcPr>
          <w:p w14:paraId="467F28B6"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1.1</w:t>
            </w:r>
          </w:p>
        </w:tc>
        <w:tc>
          <w:tcPr>
            <w:tcW w:w="1596" w:type="dxa"/>
            <w:tcBorders>
              <w:top w:val="nil"/>
              <w:left w:val="nil"/>
              <w:bottom w:val="nil"/>
              <w:right w:val="nil"/>
            </w:tcBorders>
            <w:shd w:val="clear" w:color="auto" w:fill="auto"/>
            <w:noWrap/>
            <w:vAlign w:val="center"/>
            <w:hideMark/>
          </w:tcPr>
          <w:p w14:paraId="1749AAF5" w14:textId="77777777" w:rsidR="00E473FB" w:rsidRPr="00E72516" w:rsidRDefault="00E473FB" w:rsidP="00E473FB">
            <w:pPr>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1.1</w:t>
            </w:r>
          </w:p>
        </w:tc>
        <w:tc>
          <w:tcPr>
            <w:tcW w:w="293" w:type="dxa"/>
            <w:tcBorders>
              <w:top w:val="nil"/>
              <w:left w:val="nil"/>
              <w:bottom w:val="nil"/>
              <w:right w:val="nil"/>
            </w:tcBorders>
            <w:shd w:val="clear" w:color="auto" w:fill="auto"/>
            <w:noWrap/>
            <w:vAlign w:val="center"/>
            <w:hideMark/>
          </w:tcPr>
          <w:p w14:paraId="00302E82"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943" w:type="dxa"/>
            <w:tcBorders>
              <w:top w:val="nil"/>
              <w:left w:val="nil"/>
              <w:bottom w:val="nil"/>
              <w:right w:val="nil"/>
            </w:tcBorders>
            <w:shd w:val="clear" w:color="auto" w:fill="auto"/>
            <w:noWrap/>
            <w:vAlign w:val="center"/>
            <w:hideMark/>
          </w:tcPr>
          <w:p w14:paraId="5374D8DD"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1.3</w:t>
            </w:r>
          </w:p>
        </w:tc>
        <w:tc>
          <w:tcPr>
            <w:tcW w:w="1596" w:type="dxa"/>
            <w:tcBorders>
              <w:top w:val="nil"/>
              <w:left w:val="nil"/>
              <w:bottom w:val="nil"/>
              <w:right w:val="nil"/>
            </w:tcBorders>
            <w:shd w:val="clear" w:color="auto" w:fill="auto"/>
            <w:noWrap/>
            <w:vAlign w:val="center"/>
            <w:hideMark/>
          </w:tcPr>
          <w:p w14:paraId="44B0737F" w14:textId="77777777" w:rsidR="00E473FB" w:rsidRPr="00E72516" w:rsidRDefault="00E473FB" w:rsidP="00E473FB">
            <w:pPr>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1.1</w:t>
            </w:r>
          </w:p>
        </w:tc>
      </w:tr>
      <w:tr w:rsidR="00E473FB" w:rsidRPr="00E72516" w14:paraId="409D27A4" w14:textId="77777777" w:rsidTr="00E473FB">
        <w:trPr>
          <w:gridAfter w:val="1"/>
          <w:wAfter w:w="11" w:type="dxa"/>
          <w:trHeight w:val="419"/>
        </w:trPr>
        <w:tc>
          <w:tcPr>
            <w:tcW w:w="2130" w:type="dxa"/>
            <w:tcBorders>
              <w:top w:val="nil"/>
              <w:left w:val="nil"/>
              <w:bottom w:val="nil"/>
              <w:right w:val="nil"/>
            </w:tcBorders>
            <w:shd w:val="clear" w:color="auto" w:fill="auto"/>
            <w:noWrap/>
            <w:vAlign w:val="center"/>
            <w:hideMark/>
          </w:tcPr>
          <w:p w14:paraId="338CBA40"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urban rural location</w:t>
            </w:r>
          </w:p>
        </w:tc>
        <w:tc>
          <w:tcPr>
            <w:tcW w:w="581" w:type="dxa"/>
            <w:tcBorders>
              <w:top w:val="nil"/>
              <w:left w:val="nil"/>
              <w:bottom w:val="nil"/>
              <w:right w:val="nil"/>
            </w:tcBorders>
            <w:shd w:val="clear" w:color="auto" w:fill="auto"/>
            <w:noWrap/>
            <w:vAlign w:val="center"/>
            <w:hideMark/>
          </w:tcPr>
          <w:p w14:paraId="38D1F05C"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w:t>
            </w:r>
          </w:p>
        </w:tc>
        <w:tc>
          <w:tcPr>
            <w:tcW w:w="852" w:type="dxa"/>
            <w:tcBorders>
              <w:top w:val="nil"/>
              <w:left w:val="nil"/>
              <w:bottom w:val="nil"/>
              <w:right w:val="nil"/>
            </w:tcBorders>
            <w:shd w:val="clear" w:color="auto" w:fill="auto"/>
            <w:noWrap/>
            <w:vAlign w:val="center"/>
            <w:hideMark/>
          </w:tcPr>
          <w:p w14:paraId="68FEBB5B" w14:textId="77777777" w:rsidR="00E473FB" w:rsidRPr="00E72516" w:rsidRDefault="00E473FB" w:rsidP="000E4D1D">
            <w:pPr>
              <w:widowControl/>
              <w:rPr>
                <w:rFonts w:ascii="Times New Roman" w:eastAsia="等线" w:hAnsi="Times New Roman" w:cs="Times New Roman"/>
                <w:color w:val="000000"/>
                <w:kern w:val="0"/>
                <w:sz w:val="20"/>
                <w:szCs w:val="20"/>
              </w:rPr>
            </w:pPr>
          </w:p>
        </w:tc>
        <w:tc>
          <w:tcPr>
            <w:tcW w:w="1310" w:type="dxa"/>
            <w:tcBorders>
              <w:top w:val="nil"/>
              <w:left w:val="nil"/>
              <w:bottom w:val="nil"/>
              <w:right w:val="nil"/>
            </w:tcBorders>
            <w:shd w:val="clear" w:color="auto" w:fill="auto"/>
            <w:noWrap/>
            <w:vAlign w:val="center"/>
            <w:hideMark/>
          </w:tcPr>
          <w:p w14:paraId="0F668C45"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297" w:type="dxa"/>
            <w:tcBorders>
              <w:top w:val="nil"/>
              <w:left w:val="nil"/>
              <w:bottom w:val="nil"/>
              <w:right w:val="nil"/>
            </w:tcBorders>
            <w:shd w:val="clear" w:color="auto" w:fill="auto"/>
            <w:noWrap/>
            <w:vAlign w:val="center"/>
            <w:hideMark/>
          </w:tcPr>
          <w:p w14:paraId="6C1FF05B"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852" w:type="dxa"/>
            <w:tcBorders>
              <w:top w:val="nil"/>
              <w:left w:val="nil"/>
              <w:bottom w:val="nil"/>
              <w:right w:val="nil"/>
            </w:tcBorders>
            <w:shd w:val="clear" w:color="auto" w:fill="auto"/>
            <w:noWrap/>
            <w:hideMark/>
          </w:tcPr>
          <w:p w14:paraId="2054C33A"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1.0</w:t>
            </w:r>
          </w:p>
        </w:tc>
        <w:tc>
          <w:tcPr>
            <w:tcW w:w="1376" w:type="dxa"/>
            <w:tcBorders>
              <w:top w:val="nil"/>
              <w:left w:val="nil"/>
              <w:bottom w:val="nil"/>
              <w:right w:val="nil"/>
            </w:tcBorders>
            <w:shd w:val="clear" w:color="auto" w:fill="auto"/>
            <w:noWrap/>
            <w:hideMark/>
          </w:tcPr>
          <w:p w14:paraId="6ED25EC3"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1.0</w:t>
            </w:r>
          </w:p>
        </w:tc>
        <w:tc>
          <w:tcPr>
            <w:tcW w:w="315" w:type="dxa"/>
            <w:tcBorders>
              <w:top w:val="nil"/>
              <w:left w:val="nil"/>
              <w:bottom w:val="nil"/>
              <w:right w:val="nil"/>
            </w:tcBorders>
            <w:shd w:val="clear" w:color="auto" w:fill="auto"/>
            <w:noWrap/>
            <w:vAlign w:val="center"/>
            <w:hideMark/>
          </w:tcPr>
          <w:p w14:paraId="178A3EC0"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885" w:type="dxa"/>
            <w:tcBorders>
              <w:top w:val="nil"/>
              <w:left w:val="nil"/>
              <w:bottom w:val="nil"/>
              <w:right w:val="nil"/>
            </w:tcBorders>
            <w:shd w:val="clear" w:color="auto" w:fill="auto"/>
            <w:noWrap/>
            <w:vAlign w:val="center"/>
            <w:hideMark/>
          </w:tcPr>
          <w:p w14:paraId="2D961269"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c>
          <w:tcPr>
            <w:tcW w:w="1596" w:type="dxa"/>
            <w:tcBorders>
              <w:top w:val="nil"/>
              <w:left w:val="nil"/>
              <w:bottom w:val="nil"/>
              <w:right w:val="nil"/>
            </w:tcBorders>
            <w:shd w:val="clear" w:color="auto" w:fill="auto"/>
            <w:noWrap/>
            <w:vAlign w:val="center"/>
            <w:hideMark/>
          </w:tcPr>
          <w:p w14:paraId="714D04A2"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c>
          <w:tcPr>
            <w:tcW w:w="293" w:type="dxa"/>
            <w:tcBorders>
              <w:top w:val="nil"/>
              <w:left w:val="nil"/>
              <w:bottom w:val="nil"/>
              <w:right w:val="nil"/>
            </w:tcBorders>
            <w:shd w:val="clear" w:color="auto" w:fill="auto"/>
            <w:noWrap/>
            <w:vAlign w:val="center"/>
            <w:hideMark/>
          </w:tcPr>
          <w:p w14:paraId="32B7A76C"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943" w:type="dxa"/>
            <w:tcBorders>
              <w:top w:val="nil"/>
              <w:left w:val="nil"/>
              <w:bottom w:val="nil"/>
              <w:right w:val="nil"/>
            </w:tcBorders>
            <w:shd w:val="clear" w:color="auto" w:fill="auto"/>
            <w:noWrap/>
            <w:vAlign w:val="center"/>
            <w:hideMark/>
          </w:tcPr>
          <w:p w14:paraId="4A9EBBB7"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c>
          <w:tcPr>
            <w:tcW w:w="1596" w:type="dxa"/>
            <w:tcBorders>
              <w:top w:val="nil"/>
              <w:left w:val="nil"/>
              <w:bottom w:val="nil"/>
              <w:right w:val="nil"/>
            </w:tcBorders>
            <w:shd w:val="clear" w:color="auto" w:fill="auto"/>
            <w:noWrap/>
            <w:vAlign w:val="center"/>
            <w:hideMark/>
          </w:tcPr>
          <w:p w14:paraId="46944162"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r>
      <w:tr w:rsidR="00E473FB" w:rsidRPr="00E72516" w14:paraId="2CF50657" w14:textId="77777777" w:rsidTr="00E473FB">
        <w:trPr>
          <w:gridAfter w:val="1"/>
          <w:wAfter w:w="11" w:type="dxa"/>
          <w:trHeight w:val="223"/>
        </w:trPr>
        <w:tc>
          <w:tcPr>
            <w:tcW w:w="2130" w:type="dxa"/>
            <w:tcBorders>
              <w:top w:val="nil"/>
              <w:left w:val="nil"/>
              <w:bottom w:val="nil"/>
              <w:right w:val="nil"/>
            </w:tcBorders>
            <w:shd w:val="clear" w:color="auto" w:fill="auto"/>
            <w:noWrap/>
            <w:vAlign w:val="center"/>
            <w:hideMark/>
          </w:tcPr>
          <w:p w14:paraId="68068CA7"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sleep duration</w:t>
            </w:r>
          </w:p>
        </w:tc>
        <w:tc>
          <w:tcPr>
            <w:tcW w:w="581" w:type="dxa"/>
            <w:tcBorders>
              <w:top w:val="nil"/>
              <w:left w:val="nil"/>
              <w:bottom w:val="nil"/>
              <w:right w:val="nil"/>
            </w:tcBorders>
            <w:shd w:val="clear" w:color="auto" w:fill="auto"/>
            <w:noWrap/>
            <w:vAlign w:val="center"/>
            <w:hideMark/>
          </w:tcPr>
          <w:p w14:paraId="5E4EC6D8"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5</w:t>
            </w:r>
          </w:p>
        </w:tc>
        <w:tc>
          <w:tcPr>
            <w:tcW w:w="852" w:type="dxa"/>
            <w:tcBorders>
              <w:top w:val="nil"/>
              <w:left w:val="nil"/>
              <w:bottom w:val="nil"/>
              <w:right w:val="nil"/>
            </w:tcBorders>
            <w:shd w:val="clear" w:color="auto" w:fill="auto"/>
            <w:noWrap/>
            <w:vAlign w:val="center"/>
            <w:hideMark/>
          </w:tcPr>
          <w:p w14:paraId="0F2F470E"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1310" w:type="dxa"/>
            <w:tcBorders>
              <w:top w:val="nil"/>
              <w:left w:val="nil"/>
              <w:bottom w:val="nil"/>
              <w:right w:val="nil"/>
            </w:tcBorders>
            <w:shd w:val="clear" w:color="auto" w:fill="auto"/>
            <w:noWrap/>
            <w:vAlign w:val="center"/>
            <w:hideMark/>
          </w:tcPr>
          <w:p w14:paraId="23C59DDC" w14:textId="77777777" w:rsidR="00E473FB" w:rsidRPr="00E72516" w:rsidRDefault="00E473FB" w:rsidP="00E473FB">
            <w:pPr>
              <w:widowControl/>
              <w:jc w:val="center"/>
              <w:rPr>
                <w:rFonts w:ascii="Times New Roman" w:eastAsia="Times New Roman" w:hAnsi="Times New Roman" w:cs="Times New Roman"/>
                <w:kern w:val="0"/>
                <w:sz w:val="20"/>
                <w:szCs w:val="20"/>
              </w:rPr>
            </w:pPr>
          </w:p>
        </w:tc>
        <w:tc>
          <w:tcPr>
            <w:tcW w:w="297" w:type="dxa"/>
            <w:tcBorders>
              <w:top w:val="nil"/>
              <w:left w:val="nil"/>
              <w:bottom w:val="nil"/>
              <w:right w:val="nil"/>
            </w:tcBorders>
            <w:shd w:val="clear" w:color="auto" w:fill="auto"/>
            <w:noWrap/>
            <w:vAlign w:val="center"/>
            <w:hideMark/>
          </w:tcPr>
          <w:p w14:paraId="6F45B61E" w14:textId="77777777" w:rsidR="00E473FB" w:rsidRPr="00E72516" w:rsidRDefault="00E473FB" w:rsidP="00E473FB">
            <w:pPr>
              <w:widowControl/>
              <w:jc w:val="center"/>
              <w:rPr>
                <w:rFonts w:ascii="Times New Roman" w:eastAsia="Times New Roman" w:hAnsi="Times New Roman" w:cs="Times New Roman"/>
                <w:kern w:val="0"/>
                <w:sz w:val="20"/>
                <w:szCs w:val="20"/>
              </w:rPr>
            </w:pPr>
          </w:p>
        </w:tc>
        <w:tc>
          <w:tcPr>
            <w:tcW w:w="852" w:type="dxa"/>
            <w:tcBorders>
              <w:top w:val="nil"/>
              <w:left w:val="nil"/>
              <w:bottom w:val="nil"/>
              <w:right w:val="nil"/>
            </w:tcBorders>
            <w:shd w:val="clear" w:color="auto" w:fill="auto"/>
            <w:noWrap/>
            <w:hideMark/>
          </w:tcPr>
          <w:p w14:paraId="60689BC0"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1.4</w:t>
            </w:r>
          </w:p>
        </w:tc>
        <w:tc>
          <w:tcPr>
            <w:tcW w:w="1376" w:type="dxa"/>
            <w:tcBorders>
              <w:top w:val="nil"/>
              <w:left w:val="nil"/>
              <w:bottom w:val="nil"/>
              <w:right w:val="nil"/>
            </w:tcBorders>
            <w:shd w:val="clear" w:color="auto" w:fill="auto"/>
            <w:noWrap/>
            <w:hideMark/>
          </w:tcPr>
          <w:p w14:paraId="282C0286"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1.1</w:t>
            </w:r>
          </w:p>
        </w:tc>
        <w:tc>
          <w:tcPr>
            <w:tcW w:w="315" w:type="dxa"/>
            <w:tcBorders>
              <w:top w:val="nil"/>
              <w:left w:val="nil"/>
              <w:bottom w:val="nil"/>
              <w:right w:val="nil"/>
            </w:tcBorders>
            <w:shd w:val="clear" w:color="auto" w:fill="auto"/>
            <w:noWrap/>
            <w:vAlign w:val="center"/>
            <w:hideMark/>
          </w:tcPr>
          <w:p w14:paraId="3B698621"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885" w:type="dxa"/>
            <w:tcBorders>
              <w:top w:val="nil"/>
              <w:left w:val="nil"/>
              <w:bottom w:val="nil"/>
              <w:right w:val="nil"/>
            </w:tcBorders>
            <w:shd w:val="clear" w:color="auto" w:fill="auto"/>
            <w:noWrap/>
            <w:vAlign w:val="center"/>
            <w:hideMark/>
          </w:tcPr>
          <w:p w14:paraId="5A4B6359"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1.1</w:t>
            </w:r>
          </w:p>
        </w:tc>
        <w:tc>
          <w:tcPr>
            <w:tcW w:w="1596" w:type="dxa"/>
            <w:tcBorders>
              <w:top w:val="nil"/>
              <w:left w:val="nil"/>
              <w:bottom w:val="nil"/>
              <w:right w:val="nil"/>
            </w:tcBorders>
            <w:shd w:val="clear" w:color="auto" w:fill="auto"/>
            <w:noWrap/>
            <w:vAlign w:val="center"/>
            <w:hideMark/>
          </w:tcPr>
          <w:p w14:paraId="192F327D"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c>
          <w:tcPr>
            <w:tcW w:w="293" w:type="dxa"/>
            <w:tcBorders>
              <w:top w:val="nil"/>
              <w:left w:val="nil"/>
              <w:bottom w:val="nil"/>
              <w:right w:val="nil"/>
            </w:tcBorders>
            <w:shd w:val="clear" w:color="auto" w:fill="auto"/>
            <w:noWrap/>
            <w:vAlign w:val="center"/>
            <w:hideMark/>
          </w:tcPr>
          <w:p w14:paraId="42B0A121"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943" w:type="dxa"/>
            <w:tcBorders>
              <w:top w:val="nil"/>
              <w:left w:val="nil"/>
              <w:bottom w:val="nil"/>
              <w:right w:val="nil"/>
            </w:tcBorders>
            <w:shd w:val="clear" w:color="auto" w:fill="auto"/>
            <w:noWrap/>
            <w:vAlign w:val="center"/>
            <w:hideMark/>
          </w:tcPr>
          <w:p w14:paraId="0D223FEA"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1.2</w:t>
            </w:r>
          </w:p>
        </w:tc>
        <w:tc>
          <w:tcPr>
            <w:tcW w:w="1596" w:type="dxa"/>
            <w:tcBorders>
              <w:top w:val="nil"/>
              <w:left w:val="nil"/>
              <w:bottom w:val="nil"/>
              <w:right w:val="nil"/>
            </w:tcBorders>
            <w:shd w:val="clear" w:color="auto" w:fill="auto"/>
            <w:noWrap/>
            <w:vAlign w:val="center"/>
            <w:hideMark/>
          </w:tcPr>
          <w:p w14:paraId="75FAAE13"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r>
      <w:tr w:rsidR="00E473FB" w:rsidRPr="00E72516" w14:paraId="7778DF0D" w14:textId="77777777" w:rsidTr="00E473FB">
        <w:trPr>
          <w:gridAfter w:val="1"/>
          <w:wAfter w:w="11" w:type="dxa"/>
          <w:trHeight w:val="223"/>
        </w:trPr>
        <w:tc>
          <w:tcPr>
            <w:tcW w:w="2130" w:type="dxa"/>
            <w:tcBorders>
              <w:top w:val="nil"/>
              <w:left w:val="nil"/>
              <w:bottom w:val="nil"/>
              <w:right w:val="nil"/>
            </w:tcBorders>
            <w:shd w:val="clear" w:color="auto" w:fill="auto"/>
            <w:noWrap/>
            <w:vAlign w:val="center"/>
            <w:hideMark/>
          </w:tcPr>
          <w:p w14:paraId="4F00FFC3"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 xml:space="preserve">homework time </w:t>
            </w:r>
          </w:p>
        </w:tc>
        <w:tc>
          <w:tcPr>
            <w:tcW w:w="581" w:type="dxa"/>
            <w:tcBorders>
              <w:top w:val="nil"/>
              <w:left w:val="nil"/>
              <w:bottom w:val="nil"/>
              <w:right w:val="nil"/>
            </w:tcBorders>
            <w:shd w:val="clear" w:color="auto" w:fill="auto"/>
            <w:noWrap/>
            <w:vAlign w:val="center"/>
            <w:hideMark/>
          </w:tcPr>
          <w:p w14:paraId="7460B29B"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4</w:t>
            </w:r>
          </w:p>
        </w:tc>
        <w:tc>
          <w:tcPr>
            <w:tcW w:w="852" w:type="dxa"/>
            <w:tcBorders>
              <w:top w:val="nil"/>
              <w:left w:val="nil"/>
              <w:bottom w:val="nil"/>
              <w:right w:val="nil"/>
            </w:tcBorders>
            <w:shd w:val="clear" w:color="auto" w:fill="auto"/>
            <w:noWrap/>
            <w:vAlign w:val="center"/>
            <w:hideMark/>
          </w:tcPr>
          <w:p w14:paraId="3CB0CB30"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1310" w:type="dxa"/>
            <w:tcBorders>
              <w:top w:val="nil"/>
              <w:left w:val="nil"/>
              <w:bottom w:val="nil"/>
              <w:right w:val="nil"/>
            </w:tcBorders>
            <w:shd w:val="clear" w:color="auto" w:fill="auto"/>
            <w:noWrap/>
            <w:vAlign w:val="center"/>
            <w:hideMark/>
          </w:tcPr>
          <w:p w14:paraId="656FB30C" w14:textId="77777777" w:rsidR="00E473FB" w:rsidRPr="00E72516" w:rsidRDefault="00E473FB" w:rsidP="00E473FB">
            <w:pPr>
              <w:widowControl/>
              <w:jc w:val="center"/>
              <w:rPr>
                <w:rFonts w:ascii="Times New Roman" w:eastAsia="Times New Roman" w:hAnsi="Times New Roman" w:cs="Times New Roman"/>
                <w:kern w:val="0"/>
                <w:sz w:val="20"/>
                <w:szCs w:val="20"/>
              </w:rPr>
            </w:pPr>
          </w:p>
        </w:tc>
        <w:tc>
          <w:tcPr>
            <w:tcW w:w="297" w:type="dxa"/>
            <w:tcBorders>
              <w:top w:val="nil"/>
              <w:left w:val="nil"/>
              <w:bottom w:val="nil"/>
              <w:right w:val="nil"/>
            </w:tcBorders>
            <w:shd w:val="clear" w:color="auto" w:fill="auto"/>
            <w:noWrap/>
            <w:vAlign w:val="center"/>
            <w:hideMark/>
          </w:tcPr>
          <w:p w14:paraId="0934BF8F" w14:textId="77777777" w:rsidR="00E473FB" w:rsidRPr="00E72516" w:rsidRDefault="00E473FB" w:rsidP="00E473FB">
            <w:pPr>
              <w:widowControl/>
              <w:jc w:val="center"/>
              <w:rPr>
                <w:rFonts w:ascii="Times New Roman" w:eastAsia="Times New Roman" w:hAnsi="Times New Roman" w:cs="Times New Roman"/>
                <w:kern w:val="0"/>
                <w:sz w:val="20"/>
                <w:szCs w:val="20"/>
              </w:rPr>
            </w:pPr>
          </w:p>
        </w:tc>
        <w:tc>
          <w:tcPr>
            <w:tcW w:w="852" w:type="dxa"/>
            <w:tcBorders>
              <w:top w:val="nil"/>
              <w:left w:val="nil"/>
              <w:bottom w:val="nil"/>
              <w:right w:val="nil"/>
            </w:tcBorders>
            <w:shd w:val="clear" w:color="auto" w:fill="auto"/>
            <w:noWrap/>
            <w:hideMark/>
          </w:tcPr>
          <w:p w14:paraId="47A58F84"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1.3</w:t>
            </w:r>
          </w:p>
        </w:tc>
        <w:tc>
          <w:tcPr>
            <w:tcW w:w="1376" w:type="dxa"/>
            <w:tcBorders>
              <w:top w:val="nil"/>
              <w:left w:val="nil"/>
              <w:bottom w:val="nil"/>
              <w:right w:val="nil"/>
            </w:tcBorders>
            <w:shd w:val="clear" w:color="auto" w:fill="auto"/>
            <w:noWrap/>
            <w:hideMark/>
          </w:tcPr>
          <w:p w14:paraId="357F8821"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1.0</w:t>
            </w:r>
          </w:p>
        </w:tc>
        <w:tc>
          <w:tcPr>
            <w:tcW w:w="315" w:type="dxa"/>
            <w:tcBorders>
              <w:top w:val="nil"/>
              <w:left w:val="nil"/>
              <w:bottom w:val="nil"/>
              <w:right w:val="nil"/>
            </w:tcBorders>
            <w:shd w:val="clear" w:color="auto" w:fill="auto"/>
            <w:noWrap/>
            <w:vAlign w:val="center"/>
            <w:hideMark/>
          </w:tcPr>
          <w:p w14:paraId="78963745"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885" w:type="dxa"/>
            <w:tcBorders>
              <w:top w:val="nil"/>
              <w:left w:val="nil"/>
              <w:bottom w:val="nil"/>
              <w:right w:val="nil"/>
            </w:tcBorders>
            <w:shd w:val="clear" w:color="auto" w:fill="auto"/>
            <w:noWrap/>
            <w:vAlign w:val="center"/>
            <w:hideMark/>
          </w:tcPr>
          <w:p w14:paraId="35D357BD"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1.1</w:t>
            </w:r>
          </w:p>
        </w:tc>
        <w:tc>
          <w:tcPr>
            <w:tcW w:w="1596" w:type="dxa"/>
            <w:tcBorders>
              <w:top w:val="nil"/>
              <w:left w:val="nil"/>
              <w:bottom w:val="nil"/>
              <w:right w:val="nil"/>
            </w:tcBorders>
            <w:shd w:val="clear" w:color="auto" w:fill="auto"/>
            <w:noWrap/>
            <w:vAlign w:val="center"/>
            <w:hideMark/>
          </w:tcPr>
          <w:p w14:paraId="07D9C94D"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c>
          <w:tcPr>
            <w:tcW w:w="293" w:type="dxa"/>
            <w:tcBorders>
              <w:top w:val="nil"/>
              <w:left w:val="nil"/>
              <w:bottom w:val="nil"/>
              <w:right w:val="nil"/>
            </w:tcBorders>
            <w:shd w:val="clear" w:color="auto" w:fill="auto"/>
            <w:noWrap/>
            <w:vAlign w:val="center"/>
            <w:hideMark/>
          </w:tcPr>
          <w:p w14:paraId="490C4811"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943" w:type="dxa"/>
            <w:tcBorders>
              <w:top w:val="nil"/>
              <w:left w:val="nil"/>
              <w:bottom w:val="nil"/>
              <w:right w:val="nil"/>
            </w:tcBorders>
            <w:shd w:val="clear" w:color="auto" w:fill="auto"/>
            <w:noWrap/>
            <w:vAlign w:val="center"/>
            <w:hideMark/>
          </w:tcPr>
          <w:p w14:paraId="77359DBF"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1.1</w:t>
            </w:r>
          </w:p>
        </w:tc>
        <w:tc>
          <w:tcPr>
            <w:tcW w:w="1596" w:type="dxa"/>
            <w:tcBorders>
              <w:top w:val="nil"/>
              <w:left w:val="nil"/>
              <w:bottom w:val="nil"/>
              <w:right w:val="nil"/>
            </w:tcBorders>
            <w:shd w:val="clear" w:color="auto" w:fill="auto"/>
            <w:noWrap/>
            <w:vAlign w:val="center"/>
            <w:hideMark/>
          </w:tcPr>
          <w:p w14:paraId="5EF1A5F7"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r>
      <w:tr w:rsidR="00E473FB" w:rsidRPr="00E72516" w14:paraId="24841AFA" w14:textId="77777777" w:rsidTr="00E473FB">
        <w:trPr>
          <w:gridAfter w:val="1"/>
          <w:wAfter w:w="11" w:type="dxa"/>
          <w:trHeight w:val="223"/>
        </w:trPr>
        <w:tc>
          <w:tcPr>
            <w:tcW w:w="2130" w:type="dxa"/>
            <w:tcBorders>
              <w:top w:val="nil"/>
              <w:left w:val="nil"/>
              <w:bottom w:val="nil"/>
              <w:right w:val="nil"/>
            </w:tcBorders>
            <w:shd w:val="clear" w:color="auto" w:fill="auto"/>
            <w:noWrap/>
            <w:vAlign w:val="center"/>
            <w:hideMark/>
          </w:tcPr>
          <w:p w14:paraId="7311EC42" w14:textId="77777777" w:rsidR="00E473FB" w:rsidRPr="00E72516" w:rsidRDefault="00E473FB" w:rsidP="00E473FB">
            <w:pPr>
              <w:widowControl/>
              <w:jc w:val="left"/>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weekend outdoor activity frequency</w:t>
            </w:r>
          </w:p>
        </w:tc>
        <w:tc>
          <w:tcPr>
            <w:tcW w:w="581" w:type="dxa"/>
            <w:tcBorders>
              <w:top w:val="nil"/>
              <w:left w:val="nil"/>
              <w:bottom w:val="nil"/>
              <w:right w:val="nil"/>
            </w:tcBorders>
            <w:shd w:val="clear" w:color="auto" w:fill="auto"/>
            <w:noWrap/>
            <w:vAlign w:val="center"/>
            <w:hideMark/>
          </w:tcPr>
          <w:p w14:paraId="11A1879B"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3</w:t>
            </w:r>
          </w:p>
        </w:tc>
        <w:tc>
          <w:tcPr>
            <w:tcW w:w="852" w:type="dxa"/>
            <w:tcBorders>
              <w:top w:val="nil"/>
              <w:left w:val="nil"/>
              <w:bottom w:val="nil"/>
              <w:right w:val="nil"/>
            </w:tcBorders>
            <w:shd w:val="clear" w:color="auto" w:fill="auto"/>
            <w:noWrap/>
            <w:vAlign w:val="center"/>
            <w:hideMark/>
          </w:tcPr>
          <w:p w14:paraId="7CDC00E0"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1310" w:type="dxa"/>
            <w:tcBorders>
              <w:top w:val="nil"/>
              <w:left w:val="nil"/>
              <w:bottom w:val="nil"/>
              <w:right w:val="nil"/>
            </w:tcBorders>
            <w:shd w:val="clear" w:color="auto" w:fill="auto"/>
            <w:noWrap/>
            <w:vAlign w:val="center"/>
            <w:hideMark/>
          </w:tcPr>
          <w:p w14:paraId="1F1A7ABA" w14:textId="77777777" w:rsidR="00E473FB" w:rsidRPr="00E72516" w:rsidRDefault="00E473FB" w:rsidP="00E473FB">
            <w:pPr>
              <w:widowControl/>
              <w:jc w:val="center"/>
              <w:rPr>
                <w:rFonts w:ascii="Times New Roman" w:eastAsia="Times New Roman" w:hAnsi="Times New Roman" w:cs="Times New Roman"/>
                <w:kern w:val="0"/>
                <w:sz w:val="20"/>
                <w:szCs w:val="20"/>
              </w:rPr>
            </w:pPr>
          </w:p>
        </w:tc>
        <w:tc>
          <w:tcPr>
            <w:tcW w:w="297" w:type="dxa"/>
            <w:tcBorders>
              <w:top w:val="nil"/>
              <w:left w:val="nil"/>
              <w:bottom w:val="nil"/>
              <w:right w:val="nil"/>
            </w:tcBorders>
            <w:shd w:val="clear" w:color="auto" w:fill="auto"/>
            <w:noWrap/>
            <w:vAlign w:val="center"/>
            <w:hideMark/>
          </w:tcPr>
          <w:p w14:paraId="55E2F408" w14:textId="77777777" w:rsidR="00E473FB" w:rsidRPr="00E72516" w:rsidRDefault="00E473FB" w:rsidP="00E473FB">
            <w:pPr>
              <w:widowControl/>
              <w:jc w:val="center"/>
              <w:rPr>
                <w:rFonts w:ascii="Times New Roman" w:eastAsia="Times New Roman" w:hAnsi="Times New Roman" w:cs="Times New Roman"/>
                <w:kern w:val="0"/>
                <w:sz w:val="20"/>
                <w:szCs w:val="20"/>
              </w:rPr>
            </w:pPr>
          </w:p>
        </w:tc>
        <w:tc>
          <w:tcPr>
            <w:tcW w:w="852" w:type="dxa"/>
            <w:tcBorders>
              <w:top w:val="nil"/>
              <w:left w:val="nil"/>
              <w:bottom w:val="nil"/>
              <w:right w:val="nil"/>
            </w:tcBorders>
            <w:shd w:val="clear" w:color="auto" w:fill="auto"/>
            <w:noWrap/>
            <w:hideMark/>
          </w:tcPr>
          <w:p w14:paraId="7EB8B52A"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1.0</w:t>
            </w:r>
          </w:p>
        </w:tc>
        <w:tc>
          <w:tcPr>
            <w:tcW w:w="1376" w:type="dxa"/>
            <w:tcBorders>
              <w:top w:val="nil"/>
              <w:left w:val="nil"/>
              <w:bottom w:val="nil"/>
              <w:right w:val="nil"/>
            </w:tcBorders>
            <w:shd w:val="clear" w:color="auto" w:fill="auto"/>
            <w:noWrap/>
            <w:hideMark/>
          </w:tcPr>
          <w:p w14:paraId="0F0AF96F"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color w:val="000000"/>
                <w:kern w:val="0"/>
                <w:sz w:val="20"/>
                <w:szCs w:val="20"/>
              </w:rPr>
              <w:t>1.0</w:t>
            </w:r>
          </w:p>
        </w:tc>
        <w:tc>
          <w:tcPr>
            <w:tcW w:w="315" w:type="dxa"/>
            <w:tcBorders>
              <w:top w:val="nil"/>
              <w:left w:val="nil"/>
              <w:bottom w:val="nil"/>
              <w:right w:val="nil"/>
            </w:tcBorders>
            <w:shd w:val="clear" w:color="auto" w:fill="auto"/>
            <w:noWrap/>
            <w:vAlign w:val="center"/>
            <w:hideMark/>
          </w:tcPr>
          <w:p w14:paraId="330FBD77"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885" w:type="dxa"/>
            <w:tcBorders>
              <w:top w:val="nil"/>
              <w:left w:val="nil"/>
              <w:bottom w:val="nil"/>
              <w:right w:val="nil"/>
            </w:tcBorders>
            <w:shd w:val="clear" w:color="auto" w:fill="auto"/>
            <w:noWrap/>
            <w:vAlign w:val="center"/>
            <w:hideMark/>
          </w:tcPr>
          <w:p w14:paraId="7DE44329"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c>
          <w:tcPr>
            <w:tcW w:w="1596" w:type="dxa"/>
            <w:tcBorders>
              <w:top w:val="nil"/>
              <w:left w:val="nil"/>
              <w:bottom w:val="nil"/>
              <w:right w:val="nil"/>
            </w:tcBorders>
            <w:shd w:val="clear" w:color="auto" w:fill="auto"/>
            <w:noWrap/>
            <w:vAlign w:val="center"/>
            <w:hideMark/>
          </w:tcPr>
          <w:p w14:paraId="38F1804B"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c>
          <w:tcPr>
            <w:tcW w:w="293" w:type="dxa"/>
            <w:tcBorders>
              <w:top w:val="nil"/>
              <w:left w:val="nil"/>
              <w:bottom w:val="nil"/>
              <w:right w:val="nil"/>
            </w:tcBorders>
            <w:shd w:val="clear" w:color="auto" w:fill="auto"/>
            <w:noWrap/>
            <w:vAlign w:val="center"/>
            <w:hideMark/>
          </w:tcPr>
          <w:p w14:paraId="23D39597" w14:textId="77777777" w:rsidR="00E473FB" w:rsidRPr="00E72516" w:rsidRDefault="00E473FB" w:rsidP="00E473FB">
            <w:pPr>
              <w:widowControl/>
              <w:jc w:val="center"/>
              <w:rPr>
                <w:rFonts w:ascii="Times New Roman" w:eastAsia="等线" w:hAnsi="Times New Roman" w:cs="Times New Roman"/>
                <w:color w:val="000000"/>
                <w:kern w:val="0"/>
                <w:sz w:val="20"/>
                <w:szCs w:val="20"/>
              </w:rPr>
            </w:pPr>
          </w:p>
        </w:tc>
        <w:tc>
          <w:tcPr>
            <w:tcW w:w="943" w:type="dxa"/>
            <w:tcBorders>
              <w:top w:val="nil"/>
              <w:left w:val="nil"/>
              <w:bottom w:val="nil"/>
              <w:right w:val="nil"/>
            </w:tcBorders>
            <w:shd w:val="clear" w:color="auto" w:fill="auto"/>
            <w:noWrap/>
            <w:vAlign w:val="center"/>
            <w:hideMark/>
          </w:tcPr>
          <w:p w14:paraId="071E7B41"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c>
          <w:tcPr>
            <w:tcW w:w="1596" w:type="dxa"/>
            <w:tcBorders>
              <w:top w:val="nil"/>
              <w:left w:val="nil"/>
              <w:bottom w:val="nil"/>
              <w:right w:val="nil"/>
            </w:tcBorders>
            <w:shd w:val="clear" w:color="auto" w:fill="auto"/>
            <w:noWrap/>
            <w:vAlign w:val="center"/>
            <w:hideMark/>
          </w:tcPr>
          <w:p w14:paraId="376B2556" w14:textId="77777777" w:rsidR="00E473FB" w:rsidRPr="00E72516" w:rsidRDefault="00E473FB" w:rsidP="00E473FB">
            <w:pPr>
              <w:widowControl/>
              <w:jc w:val="center"/>
              <w:rPr>
                <w:rFonts w:ascii="Times New Roman" w:eastAsia="等线" w:hAnsi="Times New Roman" w:cs="Times New Roman"/>
                <w:color w:val="000000"/>
                <w:kern w:val="0"/>
                <w:sz w:val="20"/>
                <w:szCs w:val="20"/>
              </w:rPr>
            </w:pPr>
            <w:r w:rsidRPr="00E72516">
              <w:rPr>
                <w:rFonts w:ascii="Times New Roman" w:eastAsia="等线" w:hAnsi="Times New Roman" w:cs="Times New Roman" w:hint="eastAsia"/>
                <w:color w:val="000000"/>
                <w:kern w:val="0"/>
                <w:sz w:val="20"/>
                <w:szCs w:val="20"/>
              </w:rPr>
              <w:t>1.0</w:t>
            </w:r>
          </w:p>
        </w:tc>
      </w:tr>
      <w:tr w:rsidR="002A578A" w:rsidRPr="00E72516" w14:paraId="0D3DFE48" w14:textId="77777777" w:rsidTr="00E473FB">
        <w:trPr>
          <w:gridAfter w:val="1"/>
          <w:wAfter w:w="11" w:type="dxa"/>
          <w:trHeight w:val="223"/>
        </w:trPr>
        <w:tc>
          <w:tcPr>
            <w:tcW w:w="2130" w:type="dxa"/>
            <w:tcBorders>
              <w:top w:val="nil"/>
              <w:left w:val="nil"/>
              <w:bottom w:val="nil"/>
              <w:right w:val="nil"/>
            </w:tcBorders>
            <w:shd w:val="clear" w:color="auto" w:fill="auto"/>
            <w:noWrap/>
            <w:vAlign w:val="center"/>
          </w:tcPr>
          <w:p w14:paraId="7B0BAE47" w14:textId="77777777" w:rsidR="002A578A" w:rsidRPr="00E72516" w:rsidRDefault="002A578A" w:rsidP="00E473FB">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survey year</w:t>
            </w:r>
          </w:p>
        </w:tc>
        <w:tc>
          <w:tcPr>
            <w:tcW w:w="581" w:type="dxa"/>
            <w:tcBorders>
              <w:top w:val="nil"/>
              <w:left w:val="nil"/>
              <w:bottom w:val="nil"/>
              <w:right w:val="nil"/>
            </w:tcBorders>
            <w:shd w:val="clear" w:color="auto" w:fill="auto"/>
            <w:noWrap/>
            <w:vAlign w:val="center"/>
          </w:tcPr>
          <w:p w14:paraId="0A29C23F" w14:textId="77777777" w:rsidR="002A578A" w:rsidRPr="00E72516" w:rsidRDefault="002A578A" w:rsidP="00E473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p>
        </w:tc>
        <w:tc>
          <w:tcPr>
            <w:tcW w:w="852" w:type="dxa"/>
            <w:tcBorders>
              <w:top w:val="nil"/>
              <w:left w:val="nil"/>
              <w:bottom w:val="nil"/>
              <w:right w:val="nil"/>
            </w:tcBorders>
            <w:shd w:val="clear" w:color="auto" w:fill="auto"/>
            <w:noWrap/>
            <w:vAlign w:val="center"/>
          </w:tcPr>
          <w:p w14:paraId="7F0DA674" w14:textId="77777777" w:rsidR="002A578A" w:rsidRPr="00E72516" w:rsidRDefault="002A578A" w:rsidP="00E473FB">
            <w:pPr>
              <w:widowControl/>
              <w:jc w:val="center"/>
              <w:rPr>
                <w:rFonts w:ascii="Times New Roman" w:eastAsia="等线" w:hAnsi="Times New Roman" w:cs="Times New Roman"/>
                <w:color w:val="000000"/>
                <w:kern w:val="0"/>
                <w:sz w:val="20"/>
                <w:szCs w:val="20"/>
              </w:rPr>
            </w:pPr>
          </w:p>
        </w:tc>
        <w:tc>
          <w:tcPr>
            <w:tcW w:w="1310" w:type="dxa"/>
            <w:tcBorders>
              <w:top w:val="nil"/>
              <w:left w:val="nil"/>
              <w:bottom w:val="nil"/>
              <w:right w:val="nil"/>
            </w:tcBorders>
            <w:shd w:val="clear" w:color="auto" w:fill="auto"/>
            <w:noWrap/>
            <w:vAlign w:val="center"/>
          </w:tcPr>
          <w:p w14:paraId="49B7997D" w14:textId="77777777" w:rsidR="002A578A" w:rsidRPr="00E72516" w:rsidRDefault="002A578A" w:rsidP="00E473FB">
            <w:pPr>
              <w:widowControl/>
              <w:jc w:val="center"/>
              <w:rPr>
                <w:rFonts w:ascii="Times New Roman" w:eastAsia="Times New Roman" w:hAnsi="Times New Roman" w:cs="Times New Roman"/>
                <w:kern w:val="0"/>
                <w:sz w:val="20"/>
                <w:szCs w:val="20"/>
              </w:rPr>
            </w:pPr>
          </w:p>
        </w:tc>
        <w:tc>
          <w:tcPr>
            <w:tcW w:w="297" w:type="dxa"/>
            <w:tcBorders>
              <w:top w:val="nil"/>
              <w:left w:val="nil"/>
              <w:bottom w:val="nil"/>
              <w:right w:val="nil"/>
            </w:tcBorders>
            <w:shd w:val="clear" w:color="auto" w:fill="auto"/>
            <w:noWrap/>
            <w:vAlign w:val="center"/>
          </w:tcPr>
          <w:p w14:paraId="2388393D" w14:textId="77777777" w:rsidR="002A578A" w:rsidRPr="00E72516" w:rsidRDefault="002A578A" w:rsidP="00E473FB">
            <w:pPr>
              <w:widowControl/>
              <w:jc w:val="center"/>
              <w:rPr>
                <w:rFonts w:ascii="Times New Roman" w:eastAsia="Times New Roman" w:hAnsi="Times New Roman" w:cs="Times New Roman"/>
                <w:kern w:val="0"/>
                <w:sz w:val="20"/>
                <w:szCs w:val="20"/>
              </w:rPr>
            </w:pPr>
          </w:p>
        </w:tc>
        <w:tc>
          <w:tcPr>
            <w:tcW w:w="852" w:type="dxa"/>
            <w:tcBorders>
              <w:top w:val="nil"/>
              <w:left w:val="nil"/>
              <w:bottom w:val="nil"/>
              <w:right w:val="nil"/>
            </w:tcBorders>
            <w:shd w:val="clear" w:color="auto" w:fill="auto"/>
            <w:noWrap/>
          </w:tcPr>
          <w:p w14:paraId="3C08910F" w14:textId="77777777" w:rsidR="002A578A" w:rsidRPr="00E72516" w:rsidRDefault="002A578A" w:rsidP="00E473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.0</w:t>
            </w:r>
          </w:p>
        </w:tc>
        <w:tc>
          <w:tcPr>
            <w:tcW w:w="1376" w:type="dxa"/>
            <w:tcBorders>
              <w:top w:val="nil"/>
              <w:left w:val="nil"/>
              <w:bottom w:val="nil"/>
              <w:right w:val="nil"/>
            </w:tcBorders>
            <w:shd w:val="clear" w:color="auto" w:fill="auto"/>
            <w:noWrap/>
          </w:tcPr>
          <w:p w14:paraId="2FB1B342" w14:textId="77777777" w:rsidR="002A578A" w:rsidRPr="00E72516" w:rsidRDefault="007E712B" w:rsidP="00E473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.0</w:t>
            </w:r>
          </w:p>
        </w:tc>
        <w:tc>
          <w:tcPr>
            <w:tcW w:w="315" w:type="dxa"/>
            <w:tcBorders>
              <w:top w:val="nil"/>
              <w:left w:val="nil"/>
              <w:bottom w:val="nil"/>
              <w:right w:val="nil"/>
            </w:tcBorders>
            <w:shd w:val="clear" w:color="auto" w:fill="auto"/>
            <w:noWrap/>
            <w:vAlign w:val="center"/>
          </w:tcPr>
          <w:p w14:paraId="4F36B767" w14:textId="77777777" w:rsidR="002A578A" w:rsidRPr="00E72516" w:rsidRDefault="002A578A" w:rsidP="00E473FB">
            <w:pPr>
              <w:widowControl/>
              <w:jc w:val="center"/>
              <w:rPr>
                <w:rFonts w:ascii="Times New Roman" w:eastAsia="等线" w:hAnsi="Times New Roman" w:cs="Times New Roman"/>
                <w:color w:val="000000"/>
                <w:kern w:val="0"/>
                <w:sz w:val="20"/>
                <w:szCs w:val="20"/>
              </w:rPr>
            </w:pPr>
          </w:p>
        </w:tc>
        <w:tc>
          <w:tcPr>
            <w:tcW w:w="885" w:type="dxa"/>
            <w:tcBorders>
              <w:top w:val="nil"/>
              <w:left w:val="nil"/>
              <w:bottom w:val="nil"/>
              <w:right w:val="nil"/>
            </w:tcBorders>
            <w:shd w:val="clear" w:color="auto" w:fill="auto"/>
            <w:noWrap/>
            <w:vAlign w:val="center"/>
          </w:tcPr>
          <w:p w14:paraId="0126CEC0" w14:textId="77777777" w:rsidR="002A578A" w:rsidRPr="00E72516" w:rsidRDefault="007E712B" w:rsidP="00E473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.0</w:t>
            </w:r>
          </w:p>
        </w:tc>
        <w:tc>
          <w:tcPr>
            <w:tcW w:w="1596" w:type="dxa"/>
            <w:tcBorders>
              <w:top w:val="nil"/>
              <w:left w:val="nil"/>
              <w:bottom w:val="nil"/>
              <w:right w:val="nil"/>
            </w:tcBorders>
            <w:shd w:val="clear" w:color="auto" w:fill="auto"/>
            <w:noWrap/>
            <w:vAlign w:val="center"/>
          </w:tcPr>
          <w:p w14:paraId="48D6578B" w14:textId="77777777" w:rsidR="002A578A" w:rsidRPr="00E72516" w:rsidRDefault="007E712B" w:rsidP="00E473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.0</w:t>
            </w:r>
          </w:p>
        </w:tc>
        <w:tc>
          <w:tcPr>
            <w:tcW w:w="293" w:type="dxa"/>
            <w:tcBorders>
              <w:top w:val="nil"/>
              <w:left w:val="nil"/>
              <w:bottom w:val="nil"/>
              <w:right w:val="nil"/>
            </w:tcBorders>
            <w:shd w:val="clear" w:color="auto" w:fill="auto"/>
            <w:noWrap/>
            <w:vAlign w:val="center"/>
          </w:tcPr>
          <w:p w14:paraId="61E94763" w14:textId="77777777" w:rsidR="002A578A" w:rsidRPr="00E72516" w:rsidRDefault="002A578A" w:rsidP="00E473FB">
            <w:pPr>
              <w:widowControl/>
              <w:jc w:val="center"/>
              <w:rPr>
                <w:rFonts w:ascii="Times New Roman" w:eastAsia="等线" w:hAnsi="Times New Roman" w:cs="Times New Roman"/>
                <w:color w:val="000000"/>
                <w:kern w:val="0"/>
                <w:sz w:val="20"/>
                <w:szCs w:val="20"/>
              </w:rPr>
            </w:pPr>
          </w:p>
        </w:tc>
        <w:tc>
          <w:tcPr>
            <w:tcW w:w="943" w:type="dxa"/>
            <w:tcBorders>
              <w:top w:val="nil"/>
              <w:left w:val="nil"/>
              <w:bottom w:val="nil"/>
              <w:right w:val="nil"/>
            </w:tcBorders>
            <w:shd w:val="clear" w:color="auto" w:fill="auto"/>
            <w:noWrap/>
            <w:vAlign w:val="center"/>
          </w:tcPr>
          <w:p w14:paraId="4D6488BD" w14:textId="77777777" w:rsidR="002A578A" w:rsidRPr="00E72516" w:rsidRDefault="007E712B" w:rsidP="00E473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.0</w:t>
            </w:r>
          </w:p>
        </w:tc>
        <w:tc>
          <w:tcPr>
            <w:tcW w:w="1596" w:type="dxa"/>
            <w:tcBorders>
              <w:top w:val="nil"/>
              <w:left w:val="nil"/>
              <w:bottom w:val="nil"/>
              <w:right w:val="nil"/>
            </w:tcBorders>
            <w:shd w:val="clear" w:color="auto" w:fill="auto"/>
            <w:noWrap/>
            <w:vAlign w:val="center"/>
          </w:tcPr>
          <w:p w14:paraId="24DEAA75" w14:textId="77777777" w:rsidR="002A578A" w:rsidRPr="00E72516" w:rsidRDefault="007E712B" w:rsidP="00E473FB">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.0</w:t>
            </w:r>
          </w:p>
        </w:tc>
      </w:tr>
      <w:tr w:rsidR="00E473FB" w:rsidRPr="00E72516" w14:paraId="1E61ED83" w14:textId="77777777" w:rsidTr="00E473FB">
        <w:trPr>
          <w:trHeight w:val="223"/>
        </w:trPr>
        <w:tc>
          <w:tcPr>
            <w:tcW w:w="13037" w:type="dxa"/>
            <w:gridSpan w:val="14"/>
            <w:tcBorders>
              <w:top w:val="single" w:sz="8" w:space="0" w:color="auto"/>
              <w:left w:val="nil"/>
              <w:bottom w:val="nil"/>
              <w:right w:val="nil"/>
            </w:tcBorders>
            <w:shd w:val="clear" w:color="auto" w:fill="auto"/>
            <w:noWrap/>
            <w:vAlign w:val="center"/>
            <w:hideMark/>
          </w:tcPr>
          <w:p w14:paraId="1E50D757" w14:textId="77777777" w:rsidR="00E473FB" w:rsidRPr="00E72516" w:rsidRDefault="00E473FB" w:rsidP="00E473FB">
            <w:pPr>
              <w:widowControl/>
              <w:rPr>
                <w:rFonts w:ascii="Cambria Math" w:eastAsia="等线" w:hAnsi="Cambria Math" w:cs="Times New Roman"/>
                <w:color w:val="000000"/>
                <w:kern w:val="0"/>
                <w:sz w:val="20"/>
                <w:szCs w:val="20"/>
              </w:rPr>
            </w:pPr>
            <w:r w:rsidRPr="00E72516">
              <w:rPr>
                <w:rFonts w:ascii="Times New Roman" w:eastAsia="等线" w:hAnsi="Times New Roman" w:cs="Times New Roman"/>
                <w:color w:val="000000"/>
                <w:kern w:val="0"/>
                <w:sz w:val="20"/>
                <w:szCs w:val="20"/>
              </w:rPr>
              <w:t>G</w:t>
            </w:r>
            <w:r w:rsidRPr="00E72516">
              <w:rPr>
                <w:rFonts w:ascii="Times New Roman" w:eastAsia="等线" w:hAnsi="Times New Roman" w:cs="Times New Roman" w:hint="eastAsia"/>
                <w:color w:val="000000"/>
                <w:kern w:val="0"/>
                <w:sz w:val="20"/>
                <w:szCs w:val="20"/>
              </w:rPr>
              <w:t>VIF:</w:t>
            </w:r>
            <w:r w:rsidRPr="00E72516">
              <w:rPr>
                <w:rFonts w:ascii="Times New Roman" w:eastAsia="等线" w:hAnsi="Times New Roman" w:cs="Times New Roman"/>
                <w:color w:val="000000"/>
                <w:kern w:val="0"/>
                <w:sz w:val="20"/>
                <w:szCs w:val="20"/>
              </w:rPr>
              <w:t xml:space="preserve"> generalized VIF (</w:t>
            </w:r>
            <w:r w:rsidRPr="00E72516">
              <w:rPr>
                <w:rFonts w:ascii="Times New Roman" w:eastAsia="等线" w:hAnsi="Times New Roman" w:cs="Times New Roman" w:hint="eastAsia"/>
                <w:color w:val="000000"/>
                <w:kern w:val="0"/>
                <w:sz w:val="20"/>
                <w:szCs w:val="20"/>
              </w:rPr>
              <w:t>variance</w:t>
            </w:r>
            <w:r w:rsidRPr="00E72516">
              <w:rPr>
                <w:rFonts w:ascii="Times New Roman" w:eastAsia="等线" w:hAnsi="Times New Roman" w:cs="Times New Roman"/>
                <w:color w:val="000000"/>
                <w:kern w:val="0"/>
                <w:sz w:val="20"/>
                <w:szCs w:val="20"/>
              </w:rPr>
              <w:t xml:space="preserve"> inflation factor), GVIF</w:t>
            </w:r>
            <w:r w:rsidRPr="00E72516">
              <w:rPr>
                <w:rFonts w:ascii="Times New Roman" w:eastAsia="等线" w:hAnsi="Times New Roman" w:cs="Times New Roman"/>
                <w:color w:val="000000"/>
                <w:kern w:val="0"/>
                <w:sz w:val="20"/>
                <w:szCs w:val="20"/>
                <w:vertAlign w:val="superscript"/>
              </w:rPr>
              <w:t>^1/2df</w:t>
            </w:r>
            <w:r w:rsidRPr="00E72516">
              <w:rPr>
                <w:rFonts w:ascii="Times New Roman" w:eastAsia="等线" w:hAnsi="Times New Roman" w:cs="Times New Roman"/>
                <w:color w:val="000000"/>
                <w:kern w:val="0"/>
                <w:sz w:val="20"/>
                <w:szCs w:val="20"/>
              </w:rPr>
              <w:t xml:space="preserve"> is derived to make GVIF values with different df comparable. For continuous variables, GVIF is equal to VIF, VIF&gt;10 indicates a multi-collinearity may be a problem, in some studies the threshold 4 or 5 may also be used</w:t>
            </w:r>
            <w:r w:rsidR="00643CC6" w:rsidRPr="00E72516">
              <w:rPr>
                <w:rFonts w:ascii="Times New Roman" w:eastAsia="等线" w:hAnsi="Times New Roman" w:cs="Times New Roman"/>
                <w:color w:val="000000"/>
                <w:kern w:val="0"/>
                <w:sz w:val="20"/>
                <w:szCs w:val="20"/>
              </w:rPr>
              <w:fldChar w:fldCharType="begin"/>
            </w:r>
            <w:r w:rsidRPr="00E72516">
              <w:rPr>
                <w:rFonts w:ascii="Times New Roman" w:eastAsia="等线" w:hAnsi="Times New Roman" w:cs="Times New Roman"/>
                <w:color w:val="000000"/>
                <w:kern w:val="0"/>
                <w:sz w:val="20"/>
                <w:szCs w:val="20"/>
              </w:rPr>
              <w:instrText xml:space="preserve"> ADDIN NE.Ref.{2D06E842-D1B2-41F0-8294-06D992371DE4}</w:instrText>
            </w:r>
            <w:r w:rsidR="00643CC6" w:rsidRPr="00E72516">
              <w:rPr>
                <w:rFonts w:ascii="Times New Roman" w:eastAsia="等线" w:hAnsi="Times New Roman" w:cs="Times New Roman"/>
                <w:color w:val="000000"/>
                <w:kern w:val="0"/>
                <w:sz w:val="20"/>
                <w:szCs w:val="20"/>
              </w:rPr>
              <w:fldChar w:fldCharType="separate"/>
            </w:r>
            <w:r w:rsidR="001F4B74">
              <w:rPr>
                <w:rFonts w:ascii="Times New Roman" w:hAnsi="Times New Roman" w:cs="Times New Roman"/>
                <w:color w:val="080000"/>
                <w:kern w:val="0"/>
                <w:sz w:val="20"/>
                <w:szCs w:val="20"/>
                <w:vertAlign w:val="superscript"/>
              </w:rPr>
              <w:t>2</w:t>
            </w:r>
            <w:r w:rsidR="00643CC6" w:rsidRPr="00E72516">
              <w:rPr>
                <w:rFonts w:ascii="Times New Roman" w:eastAsia="等线" w:hAnsi="Times New Roman" w:cs="Times New Roman"/>
                <w:color w:val="000000"/>
                <w:kern w:val="0"/>
                <w:sz w:val="20"/>
                <w:szCs w:val="20"/>
              </w:rPr>
              <w:fldChar w:fldCharType="end"/>
            </w:r>
            <w:r w:rsidRPr="00E72516">
              <w:rPr>
                <w:rFonts w:ascii="Times New Roman" w:eastAsia="等线" w:hAnsi="Times New Roman" w:cs="Times New Roman"/>
                <w:color w:val="000000"/>
                <w:kern w:val="0"/>
                <w:sz w:val="20"/>
                <w:szCs w:val="20"/>
              </w:rPr>
              <w:t>. For category variables,  GVIF</w:t>
            </w:r>
            <w:r w:rsidRPr="00E72516">
              <w:rPr>
                <w:rFonts w:ascii="Times New Roman" w:eastAsia="等线" w:hAnsi="Times New Roman" w:cs="Times New Roman"/>
                <w:color w:val="000000"/>
                <w:kern w:val="0"/>
                <w:sz w:val="20"/>
                <w:szCs w:val="20"/>
                <w:vertAlign w:val="superscript"/>
              </w:rPr>
              <w:t>^1/2Df</w:t>
            </w:r>
            <w:r w:rsidRPr="00E72516">
              <w:rPr>
                <w:rFonts w:ascii="Times New Roman" w:eastAsia="等线" w:hAnsi="Times New Roman" w:cs="Times New Roman" w:hint="eastAsia"/>
                <w:color w:val="000000"/>
                <w:kern w:val="0"/>
                <w:sz w:val="20"/>
                <w:szCs w:val="20"/>
              </w:rPr>
              <w:t>＞</w:t>
            </w:r>
            <w:r w:rsidRPr="00E72516">
              <w:rPr>
                <w:rFonts w:ascii="Times New Roman" w:eastAsia="等线" w:hAnsi="Times New Roman" w:cs="Times New Roman" w:hint="eastAsia"/>
                <w:color w:val="000000"/>
                <w:kern w:val="0"/>
                <w:sz w:val="20"/>
                <w:szCs w:val="20"/>
              </w:rPr>
              <w:t>10</w:t>
            </w:r>
            <w:r w:rsidRPr="00E72516">
              <w:rPr>
                <w:rFonts w:ascii="Times New Roman" w:eastAsia="等线" w:hAnsi="Times New Roman" w:cs="Times New Roman" w:hint="eastAsia"/>
                <w:color w:val="000000"/>
                <w:kern w:val="0"/>
                <w:sz w:val="20"/>
                <w:szCs w:val="20"/>
                <w:vertAlign w:val="superscript"/>
              </w:rPr>
              <w:t>1/2</w:t>
            </w:r>
            <w:r w:rsidRPr="00E72516">
              <w:rPr>
                <w:rFonts w:ascii="Times New Roman" w:eastAsia="等线" w:hAnsi="Times New Roman" w:cs="Times New Roman"/>
                <w:color w:val="000000"/>
                <w:kern w:val="0"/>
                <w:sz w:val="20"/>
                <w:szCs w:val="20"/>
              </w:rPr>
              <w:t>(or 5</w:t>
            </w:r>
            <w:r w:rsidRPr="00E72516">
              <w:rPr>
                <w:rFonts w:ascii="Times New Roman" w:eastAsia="等线" w:hAnsi="Times New Roman" w:cs="Times New Roman"/>
                <w:color w:val="000000"/>
                <w:kern w:val="0"/>
                <w:sz w:val="20"/>
                <w:szCs w:val="20"/>
                <w:vertAlign w:val="superscript"/>
              </w:rPr>
              <w:t>1/2</w:t>
            </w:r>
            <w:r w:rsidRPr="00E72516">
              <w:rPr>
                <w:rFonts w:ascii="Times New Roman" w:eastAsia="等线" w:hAnsi="Times New Roman" w:cs="Times New Roman"/>
                <w:color w:val="000000"/>
                <w:kern w:val="0"/>
                <w:sz w:val="20"/>
                <w:szCs w:val="20"/>
              </w:rPr>
              <w:t>,4</w:t>
            </w:r>
            <w:r w:rsidRPr="00E72516">
              <w:rPr>
                <w:rFonts w:ascii="Times New Roman" w:eastAsia="等线" w:hAnsi="Times New Roman" w:cs="Times New Roman"/>
                <w:color w:val="000000"/>
                <w:kern w:val="0"/>
                <w:sz w:val="20"/>
                <w:szCs w:val="20"/>
                <w:vertAlign w:val="superscript"/>
              </w:rPr>
              <w:t>1/2</w:t>
            </w:r>
            <w:r w:rsidRPr="00E72516">
              <w:rPr>
                <w:rFonts w:ascii="Times New Roman" w:eastAsia="等线" w:hAnsi="Times New Roman" w:cs="Times New Roman"/>
                <w:color w:val="000000"/>
                <w:kern w:val="0"/>
                <w:sz w:val="20"/>
                <w:szCs w:val="20"/>
              </w:rPr>
              <w:t xml:space="preserve">) </w:t>
            </w:r>
            <w:r w:rsidRPr="00E72516">
              <w:rPr>
                <w:rFonts w:ascii="Times New Roman" w:eastAsia="等线" w:hAnsi="Times New Roman" w:cs="Times New Roman" w:hint="eastAsia"/>
                <w:color w:val="000000"/>
                <w:kern w:val="0"/>
                <w:sz w:val="20"/>
                <w:szCs w:val="20"/>
              </w:rPr>
              <w:t>in</w:t>
            </w:r>
            <w:r w:rsidRPr="00E72516">
              <w:rPr>
                <w:rFonts w:ascii="Times New Roman" w:eastAsia="等线" w:hAnsi="Times New Roman" w:cs="Times New Roman"/>
                <w:color w:val="000000"/>
                <w:kern w:val="0"/>
                <w:sz w:val="20"/>
                <w:szCs w:val="20"/>
              </w:rPr>
              <w:t>dicates the multi-collinearity may be a concern</w:t>
            </w:r>
            <w:r w:rsidR="00643CC6" w:rsidRPr="00E72516">
              <w:rPr>
                <w:rFonts w:ascii="Times New Roman" w:eastAsia="等线" w:hAnsi="Times New Roman" w:cs="Times New Roman"/>
                <w:color w:val="000000"/>
                <w:kern w:val="0"/>
                <w:sz w:val="20"/>
                <w:szCs w:val="20"/>
              </w:rPr>
              <w:fldChar w:fldCharType="begin"/>
            </w:r>
            <w:r w:rsidRPr="00E72516">
              <w:rPr>
                <w:rFonts w:ascii="Times New Roman" w:eastAsia="等线" w:hAnsi="Times New Roman" w:cs="Times New Roman"/>
                <w:color w:val="000000"/>
                <w:kern w:val="0"/>
                <w:sz w:val="20"/>
                <w:szCs w:val="20"/>
              </w:rPr>
              <w:instrText xml:space="preserve"> ADDIN NE.Ref.{E9F8AE26-03C7-446E-93A7-EC0BBDC63713}</w:instrText>
            </w:r>
            <w:r w:rsidR="00643CC6" w:rsidRPr="00E72516">
              <w:rPr>
                <w:rFonts w:ascii="Times New Roman" w:eastAsia="等线" w:hAnsi="Times New Roman" w:cs="Times New Roman"/>
                <w:color w:val="000000"/>
                <w:kern w:val="0"/>
                <w:sz w:val="20"/>
                <w:szCs w:val="20"/>
              </w:rPr>
              <w:fldChar w:fldCharType="separate"/>
            </w:r>
            <w:r w:rsidR="001F4B74">
              <w:rPr>
                <w:rFonts w:ascii="Times New Roman" w:hAnsi="Times New Roman" w:cs="Times New Roman"/>
                <w:color w:val="080000"/>
                <w:kern w:val="0"/>
                <w:sz w:val="20"/>
                <w:szCs w:val="20"/>
                <w:vertAlign w:val="superscript"/>
              </w:rPr>
              <w:t>3</w:t>
            </w:r>
            <w:r w:rsidR="00643CC6" w:rsidRPr="00E72516">
              <w:rPr>
                <w:rFonts w:ascii="Times New Roman" w:eastAsia="等线" w:hAnsi="Times New Roman" w:cs="Times New Roman"/>
                <w:color w:val="000000"/>
                <w:kern w:val="0"/>
                <w:sz w:val="20"/>
                <w:szCs w:val="20"/>
              </w:rPr>
              <w:fldChar w:fldCharType="end"/>
            </w:r>
            <w:r w:rsidRPr="00E72516">
              <w:rPr>
                <w:rFonts w:ascii="Times New Roman" w:eastAsia="等线" w:hAnsi="Times New Roman" w:cs="Times New Roman"/>
                <w:color w:val="000000"/>
                <w:kern w:val="0"/>
                <w:sz w:val="20"/>
                <w:szCs w:val="20"/>
              </w:rPr>
              <w:t>. Even applying the strictest threshold, the multi-collinearity in different models in presen</w:t>
            </w:r>
            <w:r w:rsidR="002F63F3" w:rsidRPr="00E72516">
              <w:rPr>
                <w:rFonts w:ascii="Times New Roman" w:eastAsia="等线" w:hAnsi="Times New Roman" w:cs="Times New Roman"/>
                <w:color w:val="000000"/>
                <w:kern w:val="0"/>
                <w:sz w:val="20"/>
                <w:szCs w:val="20"/>
              </w:rPr>
              <w:t>t study are not a concern. Model 2~model 3 are</w:t>
            </w:r>
            <w:r w:rsidRPr="00E72516">
              <w:rPr>
                <w:rFonts w:ascii="Times New Roman" w:eastAsia="等线" w:hAnsi="Times New Roman" w:cs="Times New Roman"/>
                <w:color w:val="000000"/>
                <w:kern w:val="0"/>
                <w:sz w:val="20"/>
                <w:szCs w:val="20"/>
              </w:rPr>
              <w:t xml:space="preserve"> shown in table 2 in the </w:t>
            </w:r>
            <w:r w:rsidR="00DA2A19">
              <w:rPr>
                <w:rFonts w:ascii="Times New Roman" w:eastAsia="等线" w:hAnsi="Times New Roman" w:cs="Times New Roman"/>
                <w:color w:val="000000"/>
                <w:kern w:val="0"/>
                <w:sz w:val="20"/>
                <w:szCs w:val="20"/>
              </w:rPr>
              <w:t>manuscript</w:t>
            </w:r>
            <w:r w:rsidR="00ED7311" w:rsidRPr="00E72516">
              <w:rPr>
                <w:rFonts w:ascii="Times New Roman" w:eastAsia="等线" w:hAnsi="Times New Roman" w:cs="Times New Roman"/>
                <w:color w:val="000000"/>
                <w:kern w:val="0"/>
                <w:sz w:val="20"/>
                <w:szCs w:val="20"/>
              </w:rPr>
              <w:t>.</w:t>
            </w:r>
            <w:r w:rsidRPr="00E72516">
              <w:rPr>
                <w:rFonts w:ascii="Times New Roman" w:eastAsia="等线" w:hAnsi="Times New Roman" w:cs="Times New Roman"/>
                <w:color w:val="000000"/>
                <w:kern w:val="0"/>
                <w:sz w:val="20"/>
                <w:szCs w:val="20"/>
              </w:rPr>
              <w:t xml:space="preserve"> Pre-menarche model and post-menarche model is shown in table </w:t>
            </w:r>
            <w:r w:rsidR="00732B09">
              <w:rPr>
                <w:rFonts w:ascii="Times New Roman" w:eastAsia="等线" w:hAnsi="Times New Roman" w:cs="Times New Roman"/>
                <w:color w:val="000000"/>
                <w:kern w:val="0"/>
                <w:sz w:val="20"/>
                <w:szCs w:val="20"/>
              </w:rPr>
              <w:t>4</w:t>
            </w:r>
            <w:r w:rsidRPr="00E72516">
              <w:rPr>
                <w:rFonts w:ascii="Times New Roman" w:eastAsia="等线" w:hAnsi="Times New Roman" w:cs="Times New Roman"/>
                <w:color w:val="000000"/>
                <w:kern w:val="0"/>
                <w:sz w:val="20"/>
                <w:szCs w:val="20"/>
              </w:rPr>
              <w:t xml:space="preserve"> in the paper.</w:t>
            </w:r>
          </w:p>
        </w:tc>
      </w:tr>
    </w:tbl>
    <w:p w14:paraId="2DE18A51" w14:textId="77777777" w:rsidR="0066509A" w:rsidRPr="00E72516" w:rsidRDefault="0066509A" w:rsidP="00E473FB">
      <w:pPr>
        <w:widowControl/>
        <w:jc w:val="center"/>
        <w:rPr>
          <w:rFonts w:ascii="Times New Roman" w:hAnsi="Times New Roman" w:cs="Times New Roman"/>
          <w:sz w:val="20"/>
        </w:rPr>
      </w:pPr>
    </w:p>
    <w:p w14:paraId="40840318" w14:textId="77777777" w:rsidR="0066509A" w:rsidRPr="00E72516" w:rsidRDefault="0066509A" w:rsidP="0066509A">
      <w:pPr>
        <w:widowControl/>
        <w:jc w:val="left"/>
        <w:rPr>
          <w:rFonts w:ascii="Times New Roman" w:hAnsi="Times New Roman" w:cs="Times New Roman"/>
          <w:sz w:val="20"/>
        </w:rPr>
      </w:pPr>
    </w:p>
    <w:p w14:paraId="23777601" w14:textId="77777777" w:rsidR="00775882" w:rsidRPr="00E72516" w:rsidRDefault="0066509A" w:rsidP="0066509A">
      <w:pPr>
        <w:widowControl/>
        <w:jc w:val="left"/>
        <w:rPr>
          <w:rFonts w:ascii="Times New Roman" w:hAnsi="Times New Roman" w:cs="Times New Roman"/>
          <w:sz w:val="20"/>
        </w:rPr>
        <w:sectPr w:rsidR="00775882" w:rsidRPr="00E72516" w:rsidSect="00E473FB">
          <w:pgSz w:w="16838" w:h="11906" w:orient="landscape"/>
          <w:pgMar w:top="1800" w:right="1440" w:bottom="1800" w:left="1440" w:header="851" w:footer="992" w:gutter="0"/>
          <w:cols w:space="425"/>
          <w:docGrid w:type="lines" w:linePitch="312"/>
        </w:sectPr>
      </w:pPr>
      <w:r w:rsidRPr="00E72516">
        <w:rPr>
          <w:rFonts w:ascii="Times New Roman" w:hAnsi="Times New Roman" w:cs="Times New Roman"/>
          <w:sz w:val="20"/>
        </w:rPr>
        <w:br w:type="page"/>
      </w:r>
    </w:p>
    <w:p w14:paraId="38F6C660" w14:textId="77777777" w:rsidR="001F4B74" w:rsidRDefault="00643CC6" w:rsidP="001F4B74">
      <w:pPr>
        <w:autoSpaceDE w:val="0"/>
        <w:autoSpaceDN w:val="0"/>
        <w:adjustRightInd w:val="0"/>
        <w:jc w:val="left"/>
        <w:rPr>
          <w:rFonts w:ascii="Times New Roman" w:hAnsi="Times New Roman" w:cs="Times New Roman"/>
          <w:kern w:val="0"/>
          <w:sz w:val="24"/>
          <w:szCs w:val="24"/>
        </w:rPr>
      </w:pPr>
      <w:r w:rsidRPr="00E72516">
        <w:rPr>
          <w:rFonts w:ascii="Times New Roman" w:hAnsi="Times New Roman" w:cs="Times New Roman"/>
          <w:sz w:val="20"/>
        </w:rPr>
        <w:lastRenderedPageBreak/>
        <w:fldChar w:fldCharType="begin"/>
      </w:r>
      <w:r w:rsidR="0057673C" w:rsidRPr="00E72516">
        <w:rPr>
          <w:rFonts w:ascii="Times New Roman" w:hAnsi="Times New Roman" w:cs="Times New Roman"/>
          <w:sz w:val="20"/>
        </w:rPr>
        <w:instrText xml:space="preserve"> ADDIN NE.Bib</w:instrText>
      </w:r>
      <w:r w:rsidRPr="00E72516">
        <w:rPr>
          <w:rFonts w:ascii="Times New Roman" w:hAnsi="Times New Roman" w:cs="Times New Roman"/>
          <w:sz w:val="20"/>
        </w:rPr>
        <w:fldChar w:fldCharType="separate"/>
      </w:r>
    </w:p>
    <w:p w14:paraId="6E252BB0" w14:textId="77777777" w:rsidR="001F4B74" w:rsidRPr="007B016A" w:rsidRDefault="001F4B74" w:rsidP="001F4B74">
      <w:pPr>
        <w:autoSpaceDE w:val="0"/>
        <w:autoSpaceDN w:val="0"/>
        <w:adjustRightInd w:val="0"/>
        <w:jc w:val="center"/>
        <w:rPr>
          <w:rFonts w:ascii="Times New Roman" w:hAnsi="Times New Roman" w:cs="Times New Roman"/>
          <w:b/>
          <w:kern w:val="0"/>
          <w:sz w:val="20"/>
          <w:szCs w:val="24"/>
        </w:rPr>
      </w:pPr>
      <w:r w:rsidRPr="007B016A">
        <w:rPr>
          <w:rFonts w:ascii="Times New Roman" w:hAnsi="Times New Roman" w:cs="Times New Roman"/>
          <w:b/>
          <w:bCs/>
          <w:color w:val="000000"/>
          <w:kern w:val="0"/>
          <w:sz w:val="28"/>
          <w:szCs w:val="40"/>
        </w:rPr>
        <w:t>References</w:t>
      </w:r>
    </w:p>
    <w:p w14:paraId="2309DE79" w14:textId="77777777" w:rsidR="00A0542B" w:rsidRDefault="001F4B74" w:rsidP="001F4B74">
      <w:pPr>
        <w:autoSpaceDE w:val="0"/>
        <w:autoSpaceDN w:val="0"/>
        <w:adjustRightInd w:val="0"/>
        <w:rPr>
          <w:rFonts w:ascii="宋体" w:eastAsia="宋体" w:hAnsi="Times New Roman" w:cs="宋体"/>
          <w:color w:val="000000"/>
          <w:kern w:val="0"/>
          <w:sz w:val="20"/>
          <w:szCs w:val="20"/>
        </w:rPr>
      </w:pPr>
      <w:r>
        <w:rPr>
          <w:rFonts w:ascii="Times New Roman" w:hAnsi="Times New Roman" w:cs="Times New Roman"/>
          <w:b/>
          <w:bCs/>
          <w:color w:val="000000"/>
          <w:kern w:val="0"/>
          <w:sz w:val="20"/>
          <w:szCs w:val="20"/>
        </w:rPr>
        <w:t>1.</w:t>
      </w:r>
      <w:r>
        <w:rPr>
          <w:rFonts w:ascii="Times New Roman" w:hAnsi="Times New Roman" w:cs="Times New Roman"/>
          <w:b/>
          <w:bCs/>
          <w:color w:val="000000"/>
          <w:kern w:val="0"/>
          <w:sz w:val="20"/>
          <w:szCs w:val="20"/>
        </w:rPr>
        <w:tab/>
      </w:r>
      <w:bookmarkStart w:id="0" w:name="_neb3E4E49F7_416F_4032_9AA9_654E460BF71C"/>
      <w:r w:rsidR="00A0542B" w:rsidRPr="00A0542B">
        <w:rPr>
          <w:rFonts w:ascii="Times New Roman" w:hAnsi="Times New Roman" w:cs="Times New Roman"/>
          <w:sz w:val="22"/>
        </w:rPr>
        <w:t>Pei Chenlu. Studies of vision care related behavior and methods for myopia screening in Chinese elementary and secondary students.MS thesis. Anhui Medical University, 2014.</w:t>
      </w:r>
      <w:r w:rsidR="00A049AE">
        <w:rPr>
          <w:rFonts w:ascii="Times New Roman" w:hAnsi="Times New Roman" w:cs="Times New Roman" w:hint="eastAsia"/>
          <w:sz w:val="22"/>
        </w:rPr>
        <w:t>(</w:t>
      </w:r>
      <w:r w:rsidR="00A049AE">
        <w:rPr>
          <w:rFonts w:ascii="Times New Roman" w:hAnsi="Times New Roman" w:cs="Times New Roman"/>
          <w:sz w:val="22"/>
        </w:rPr>
        <w:t>in Chinese</w:t>
      </w:r>
      <w:r w:rsidR="00A37C6F">
        <w:rPr>
          <w:rFonts w:ascii="Times New Roman" w:hAnsi="Times New Roman" w:cs="Times New Roman" w:hint="eastAsia"/>
          <w:sz w:val="22"/>
        </w:rPr>
        <w:t>,</w:t>
      </w:r>
      <w:r w:rsidR="00A37C6F">
        <w:rPr>
          <w:rFonts w:ascii="Times New Roman" w:hAnsi="Times New Roman" w:cs="Times New Roman"/>
          <w:sz w:val="22"/>
        </w:rPr>
        <w:t xml:space="preserve"> with English abstract</w:t>
      </w:r>
      <w:r w:rsidR="00A049AE">
        <w:rPr>
          <w:rFonts w:ascii="Times New Roman" w:hAnsi="Times New Roman" w:cs="Times New Roman"/>
          <w:sz w:val="22"/>
        </w:rPr>
        <w:t>)</w:t>
      </w:r>
    </w:p>
    <w:p w14:paraId="4CA89236" w14:textId="77777777" w:rsidR="001F4B74" w:rsidRDefault="001F4B74" w:rsidP="001F4B74">
      <w:pPr>
        <w:autoSpaceDE w:val="0"/>
        <w:autoSpaceDN w:val="0"/>
        <w:adjustRightInd w:val="0"/>
        <w:rPr>
          <w:rFonts w:ascii="Times New Roman" w:hAnsi="Times New Roman" w:cs="Times New Roman"/>
          <w:kern w:val="0"/>
          <w:sz w:val="24"/>
          <w:szCs w:val="24"/>
        </w:rPr>
      </w:pPr>
      <w:r>
        <w:rPr>
          <w:rFonts w:ascii="宋体" w:eastAsia="宋体" w:hAnsi="Times New Roman" w:cs="宋体" w:hint="eastAsia"/>
          <w:color w:val="000000"/>
          <w:kern w:val="0"/>
          <w:sz w:val="20"/>
          <w:szCs w:val="20"/>
        </w:rPr>
        <w:t>裴晨璐</w:t>
      </w:r>
      <w:r>
        <w:rPr>
          <w:rFonts w:ascii="Times New Roman" w:hAnsi="Times New Roman" w:cs="Times New Roman"/>
          <w:color w:val="000000"/>
          <w:kern w:val="0"/>
          <w:sz w:val="20"/>
          <w:szCs w:val="20"/>
        </w:rPr>
        <w:t xml:space="preserve">. </w:t>
      </w:r>
      <w:r>
        <w:rPr>
          <w:rFonts w:ascii="宋体" w:eastAsia="宋体" w:hAnsi="Times New Roman" w:cs="宋体" w:hint="eastAsia"/>
          <w:i/>
          <w:iCs/>
          <w:color w:val="000000"/>
          <w:kern w:val="0"/>
          <w:sz w:val="20"/>
          <w:szCs w:val="20"/>
        </w:rPr>
        <w:t>我国中小学生视力保健行为及近视筛查方法的研究</w:t>
      </w:r>
      <w:r>
        <w:rPr>
          <w:rFonts w:ascii="Times New Roman" w:hAnsi="Times New Roman" w:cs="Times New Roman"/>
          <w:color w:val="000000"/>
          <w:kern w:val="0"/>
          <w:sz w:val="20"/>
          <w:szCs w:val="20"/>
        </w:rPr>
        <w:t xml:space="preserve">, </w:t>
      </w:r>
      <w:r>
        <w:rPr>
          <w:rFonts w:ascii="宋体" w:eastAsia="宋体" w:hAnsi="Times New Roman" w:cs="宋体" w:hint="eastAsia"/>
          <w:color w:val="000000"/>
          <w:kern w:val="0"/>
          <w:sz w:val="20"/>
          <w:szCs w:val="20"/>
        </w:rPr>
        <w:t>安徽医科大学</w:t>
      </w:r>
      <w:r>
        <w:rPr>
          <w:rFonts w:ascii="Times New Roman" w:hAnsi="Times New Roman" w:cs="Times New Roman"/>
          <w:color w:val="000000"/>
          <w:kern w:val="0"/>
          <w:sz w:val="20"/>
          <w:szCs w:val="20"/>
        </w:rPr>
        <w:t>; 2014.</w:t>
      </w:r>
      <w:bookmarkEnd w:id="0"/>
    </w:p>
    <w:p w14:paraId="79FDFBAE" w14:textId="77777777" w:rsidR="001F4B74" w:rsidRDefault="001F4B74" w:rsidP="001F4B74">
      <w:pPr>
        <w:autoSpaceDE w:val="0"/>
        <w:autoSpaceDN w:val="0"/>
        <w:adjustRightInd w:val="0"/>
        <w:rPr>
          <w:rFonts w:ascii="Times New Roman" w:hAnsi="Times New Roman" w:cs="Times New Roman"/>
          <w:kern w:val="0"/>
          <w:sz w:val="24"/>
          <w:szCs w:val="24"/>
        </w:rPr>
      </w:pPr>
      <w:r>
        <w:rPr>
          <w:rFonts w:ascii="Times New Roman" w:hAnsi="Times New Roman" w:cs="Times New Roman"/>
          <w:b/>
          <w:bCs/>
          <w:color w:val="000000"/>
          <w:kern w:val="0"/>
          <w:sz w:val="20"/>
          <w:szCs w:val="20"/>
        </w:rPr>
        <w:t>2.</w:t>
      </w:r>
      <w:r>
        <w:rPr>
          <w:rFonts w:ascii="Times New Roman" w:hAnsi="Times New Roman" w:cs="Times New Roman"/>
          <w:b/>
          <w:bCs/>
          <w:color w:val="000000"/>
          <w:kern w:val="0"/>
          <w:sz w:val="20"/>
          <w:szCs w:val="20"/>
        </w:rPr>
        <w:tab/>
      </w:r>
      <w:r>
        <w:rPr>
          <w:rFonts w:ascii="Times New Roman" w:hAnsi="Times New Roman" w:cs="Times New Roman"/>
          <w:color w:val="000000"/>
          <w:kern w:val="0"/>
          <w:sz w:val="20"/>
          <w:szCs w:val="20"/>
        </w:rPr>
        <w:t xml:space="preserve">O Brien RM. A Caution Regarding Rules of Thumb for Variance Inflation Factors. </w:t>
      </w:r>
      <w:r>
        <w:rPr>
          <w:rFonts w:ascii="Times New Roman" w:hAnsi="Times New Roman" w:cs="Times New Roman"/>
          <w:i/>
          <w:iCs/>
          <w:color w:val="000000"/>
          <w:kern w:val="0"/>
          <w:sz w:val="20"/>
          <w:szCs w:val="20"/>
        </w:rPr>
        <w:t xml:space="preserve">Qual Quant. </w:t>
      </w:r>
      <w:r>
        <w:rPr>
          <w:rFonts w:ascii="Times New Roman" w:hAnsi="Times New Roman" w:cs="Times New Roman"/>
          <w:color w:val="000000"/>
          <w:kern w:val="0"/>
          <w:sz w:val="20"/>
          <w:szCs w:val="20"/>
        </w:rPr>
        <w:t>2007;41(5):673-690.</w:t>
      </w:r>
    </w:p>
    <w:p w14:paraId="1FAD28CA" w14:textId="77777777" w:rsidR="001F4B74" w:rsidRDefault="001F4B74" w:rsidP="001F4B74">
      <w:pPr>
        <w:autoSpaceDE w:val="0"/>
        <w:autoSpaceDN w:val="0"/>
        <w:adjustRightInd w:val="0"/>
        <w:rPr>
          <w:rFonts w:ascii="Times New Roman" w:hAnsi="Times New Roman" w:cs="Times New Roman"/>
          <w:kern w:val="0"/>
          <w:sz w:val="24"/>
          <w:szCs w:val="24"/>
        </w:rPr>
      </w:pPr>
      <w:r>
        <w:rPr>
          <w:rFonts w:ascii="Times New Roman" w:hAnsi="Times New Roman" w:cs="Times New Roman"/>
          <w:b/>
          <w:bCs/>
          <w:color w:val="000000"/>
          <w:kern w:val="0"/>
          <w:sz w:val="20"/>
          <w:szCs w:val="20"/>
        </w:rPr>
        <w:t>3.</w:t>
      </w:r>
      <w:r>
        <w:rPr>
          <w:rFonts w:ascii="Times New Roman" w:hAnsi="Times New Roman" w:cs="Times New Roman"/>
          <w:b/>
          <w:bCs/>
          <w:color w:val="000000"/>
          <w:kern w:val="0"/>
          <w:sz w:val="20"/>
          <w:szCs w:val="20"/>
        </w:rPr>
        <w:tab/>
      </w:r>
      <w:bookmarkStart w:id="1" w:name="_neb9D55FC58_069C_47D0_9538_08210DD41F0A"/>
      <w:r>
        <w:rPr>
          <w:rFonts w:ascii="Times New Roman" w:hAnsi="Times New Roman" w:cs="Times New Roman"/>
          <w:color w:val="000000"/>
          <w:kern w:val="0"/>
          <w:sz w:val="20"/>
          <w:szCs w:val="20"/>
        </w:rPr>
        <w:t xml:space="preserve">Hendrickx J, Pelzer B, Grotenhuis MT, Lammers J. Collinearity involving ordered and unordered categorical variables. </w:t>
      </w:r>
      <w:r>
        <w:rPr>
          <w:rFonts w:ascii="Times New Roman" w:hAnsi="Times New Roman" w:cs="Times New Roman"/>
          <w:i/>
          <w:iCs/>
          <w:color w:val="000000"/>
          <w:kern w:val="0"/>
          <w:sz w:val="20"/>
          <w:szCs w:val="20"/>
        </w:rPr>
        <w:t>RC33 conference in Amsterdam</w:t>
      </w:r>
      <w:r>
        <w:rPr>
          <w:rFonts w:ascii="Times New Roman" w:hAnsi="Times New Roman" w:cs="Times New Roman"/>
          <w:color w:val="000000"/>
          <w:kern w:val="0"/>
          <w:sz w:val="20"/>
          <w:szCs w:val="20"/>
        </w:rPr>
        <w:t>; 2004.</w:t>
      </w:r>
      <w:bookmarkEnd w:id="1"/>
    </w:p>
    <w:p w14:paraId="51029A7C" w14:textId="77777777" w:rsidR="00A346F7" w:rsidRPr="00F90321" w:rsidRDefault="00643CC6" w:rsidP="0057673C">
      <w:pPr>
        <w:widowControl/>
        <w:jc w:val="left"/>
        <w:rPr>
          <w:rFonts w:ascii="Times New Roman" w:hAnsi="Times New Roman" w:cs="Times New Roman"/>
          <w:sz w:val="20"/>
        </w:rPr>
      </w:pPr>
      <w:r w:rsidRPr="00E72516">
        <w:rPr>
          <w:rFonts w:ascii="Times New Roman" w:hAnsi="Times New Roman" w:cs="Times New Roman"/>
          <w:sz w:val="20"/>
        </w:rPr>
        <w:fldChar w:fldCharType="end"/>
      </w:r>
    </w:p>
    <w:sectPr w:rsidR="00A346F7" w:rsidRPr="00F90321" w:rsidSect="00775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52528" w14:textId="77777777" w:rsidR="00FD1EC5" w:rsidRDefault="00FD1EC5" w:rsidP="00106B22">
      <w:r>
        <w:separator/>
      </w:r>
    </w:p>
  </w:endnote>
  <w:endnote w:type="continuationSeparator" w:id="0">
    <w:p w14:paraId="276FA8CD" w14:textId="77777777" w:rsidR="00FD1EC5" w:rsidRDefault="00FD1EC5" w:rsidP="0010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vOT1ef757c0">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35184"/>
      <w:docPartObj>
        <w:docPartGallery w:val="Page Numbers (Bottom of Page)"/>
        <w:docPartUnique/>
      </w:docPartObj>
    </w:sdtPr>
    <w:sdtEndPr>
      <w:rPr>
        <w:rFonts w:ascii="Times New Roman" w:hAnsi="Times New Roman" w:cs="Times New Roman"/>
        <w:sz w:val="20"/>
        <w:szCs w:val="20"/>
      </w:rPr>
    </w:sdtEndPr>
    <w:sdtContent>
      <w:p w14:paraId="7492E617" w14:textId="77777777" w:rsidR="005B44E7" w:rsidRPr="002A1614" w:rsidRDefault="00643CC6">
        <w:pPr>
          <w:pStyle w:val="Footer"/>
          <w:jc w:val="center"/>
          <w:rPr>
            <w:rFonts w:ascii="Times New Roman" w:hAnsi="Times New Roman" w:cs="Times New Roman"/>
            <w:sz w:val="20"/>
            <w:szCs w:val="20"/>
          </w:rPr>
        </w:pPr>
        <w:r w:rsidRPr="002A1614">
          <w:rPr>
            <w:rFonts w:ascii="Times New Roman" w:hAnsi="Times New Roman" w:cs="Times New Roman"/>
            <w:sz w:val="20"/>
            <w:szCs w:val="20"/>
          </w:rPr>
          <w:fldChar w:fldCharType="begin"/>
        </w:r>
        <w:r w:rsidR="005B44E7" w:rsidRPr="002A1614">
          <w:rPr>
            <w:rFonts w:ascii="Times New Roman" w:hAnsi="Times New Roman" w:cs="Times New Roman"/>
            <w:sz w:val="20"/>
            <w:szCs w:val="20"/>
          </w:rPr>
          <w:instrText>PAGE   \* MERGEFORMAT</w:instrText>
        </w:r>
        <w:r w:rsidRPr="002A1614">
          <w:rPr>
            <w:rFonts w:ascii="Times New Roman" w:hAnsi="Times New Roman" w:cs="Times New Roman"/>
            <w:sz w:val="20"/>
            <w:szCs w:val="20"/>
          </w:rPr>
          <w:fldChar w:fldCharType="separate"/>
        </w:r>
        <w:r w:rsidR="00B11C92" w:rsidRPr="00B11C92">
          <w:rPr>
            <w:rFonts w:ascii="Times New Roman" w:hAnsi="Times New Roman" w:cs="Times New Roman"/>
            <w:noProof/>
            <w:sz w:val="20"/>
            <w:szCs w:val="20"/>
            <w:lang w:val="zh-CN"/>
          </w:rPr>
          <w:t>6</w:t>
        </w:r>
        <w:r w:rsidRPr="002A1614">
          <w:rPr>
            <w:rFonts w:ascii="Times New Roman" w:hAnsi="Times New Roman" w:cs="Times New Roman"/>
            <w:sz w:val="20"/>
            <w:szCs w:val="20"/>
          </w:rPr>
          <w:fldChar w:fldCharType="end"/>
        </w:r>
      </w:p>
    </w:sdtContent>
  </w:sdt>
  <w:p w14:paraId="4291F10C" w14:textId="77777777" w:rsidR="005B44E7" w:rsidRDefault="005B4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17A41" w14:textId="77777777" w:rsidR="00FD1EC5" w:rsidRDefault="00FD1EC5" w:rsidP="00106B22">
      <w:r>
        <w:separator/>
      </w:r>
    </w:p>
  </w:footnote>
  <w:footnote w:type="continuationSeparator" w:id="0">
    <w:p w14:paraId="1E0130DF" w14:textId="77777777" w:rsidR="00FD1EC5" w:rsidRDefault="00FD1EC5" w:rsidP="00106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829"/>
    <w:multiLevelType w:val="hybridMultilevel"/>
    <w:tmpl w:val="14D8E1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7328F0"/>
    <w:multiLevelType w:val="hybridMultilevel"/>
    <w:tmpl w:val="9976C546"/>
    <w:lvl w:ilvl="0" w:tplc="0409000F">
      <w:start w:val="1"/>
      <w:numFmt w:val="decimal"/>
      <w:lvlText w:val="%1."/>
      <w:lvlJc w:val="left"/>
      <w:pPr>
        <w:ind w:left="3300" w:hanging="420"/>
      </w:pPr>
    </w:lvl>
    <w:lvl w:ilvl="1" w:tplc="04090019" w:tentative="1">
      <w:start w:val="1"/>
      <w:numFmt w:val="lowerLetter"/>
      <w:lvlText w:val="%2)"/>
      <w:lvlJc w:val="left"/>
      <w:pPr>
        <w:ind w:left="3720" w:hanging="420"/>
      </w:pPr>
    </w:lvl>
    <w:lvl w:ilvl="2" w:tplc="0409001B" w:tentative="1">
      <w:start w:val="1"/>
      <w:numFmt w:val="lowerRoman"/>
      <w:lvlText w:val="%3."/>
      <w:lvlJc w:val="right"/>
      <w:pPr>
        <w:ind w:left="4140" w:hanging="420"/>
      </w:pPr>
    </w:lvl>
    <w:lvl w:ilvl="3" w:tplc="0409000F" w:tentative="1">
      <w:start w:val="1"/>
      <w:numFmt w:val="decimal"/>
      <w:lvlText w:val="%4."/>
      <w:lvlJc w:val="left"/>
      <w:pPr>
        <w:ind w:left="4560" w:hanging="420"/>
      </w:pPr>
    </w:lvl>
    <w:lvl w:ilvl="4" w:tplc="04090019" w:tentative="1">
      <w:start w:val="1"/>
      <w:numFmt w:val="lowerLetter"/>
      <w:lvlText w:val="%5)"/>
      <w:lvlJc w:val="left"/>
      <w:pPr>
        <w:ind w:left="4980" w:hanging="420"/>
      </w:pPr>
    </w:lvl>
    <w:lvl w:ilvl="5" w:tplc="0409001B" w:tentative="1">
      <w:start w:val="1"/>
      <w:numFmt w:val="lowerRoman"/>
      <w:lvlText w:val="%6."/>
      <w:lvlJc w:val="right"/>
      <w:pPr>
        <w:ind w:left="5400" w:hanging="420"/>
      </w:pPr>
    </w:lvl>
    <w:lvl w:ilvl="6" w:tplc="0409000F" w:tentative="1">
      <w:start w:val="1"/>
      <w:numFmt w:val="decimal"/>
      <w:lvlText w:val="%7."/>
      <w:lvlJc w:val="left"/>
      <w:pPr>
        <w:ind w:left="5820" w:hanging="420"/>
      </w:pPr>
    </w:lvl>
    <w:lvl w:ilvl="7" w:tplc="04090019" w:tentative="1">
      <w:start w:val="1"/>
      <w:numFmt w:val="lowerLetter"/>
      <w:lvlText w:val="%8)"/>
      <w:lvlJc w:val="left"/>
      <w:pPr>
        <w:ind w:left="6240" w:hanging="420"/>
      </w:pPr>
    </w:lvl>
    <w:lvl w:ilvl="8" w:tplc="0409001B" w:tentative="1">
      <w:start w:val="1"/>
      <w:numFmt w:val="lowerRoman"/>
      <w:lvlText w:val="%9."/>
      <w:lvlJc w:val="right"/>
      <w:pPr>
        <w:ind w:left="66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NE.Ref{04EFBDBB-FBD6-4774-A379-952FAEC007D0}" w:val=" ADDIN NE.Ref.{04EFBDBB-FBD6-4774-A379-952FAEC007D0}&lt;Citation&gt;&lt;Group&gt;&lt;References&gt;&lt;Item&gt;&lt;ID&gt;116&lt;/ID&gt;&lt;UID&gt;{3E4E49F7-416F-4032-9AA9-654E460BF71C}&lt;/UID&gt;&lt;Title&gt;我国中小学生视力保健行为及近视筛查方法的研究&lt;/Title&gt;&lt;Template&gt;Thesis&lt;/Template&gt;&lt;Star&gt;0&lt;/Star&gt;&lt;Tag&gt;0&lt;/Tag&gt;&lt;Author&gt;裴晨璐&lt;/Author&gt;&lt;Year&gt;2014&lt;/Year&gt;&lt;Details&gt;&lt;_created&gt;61384079&lt;/_created&gt;&lt;_keywords&gt;近视;民族;中小学生;近视;筛查;中小学生&lt;/_keywords&gt;&lt;_modified&gt;61792429&lt;/_modified&gt;&lt;_publisher&gt;安徽医科大学&lt;/_publisher&gt;&lt;_translated_author&gt;Pei, Chenlu&lt;/_translated_author&gt;&lt;/Details&gt;&lt;Extra&gt;&lt;DBUID&gt;{E5DBC751-EDAC-4369-AF8C-86304300277B}&lt;/DBUID&gt;&lt;/Extra&gt;&lt;/Item&gt;&lt;/References&gt;&lt;/Group&gt;&lt;/Citation&gt;_x000a_"/>
    <w:docVar w:name="NE.Ref{2D06E842-D1B2-41F0-8294-06D992371DE4}" w:val=" ADDIN NE.Ref.{2D06E842-D1B2-41F0-8294-06D992371DE4}&lt;Citation&gt;&lt;Group&gt;&lt;References&gt;&lt;Item&gt;&lt;ID&gt;603&lt;/ID&gt;&lt;UID&gt;{8C7B3886-B8EB-4986-B42D-C72CD8C91FC7}&lt;/UID&gt;&lt;Title&gt;A Caution Regarding Rules of Thumb for Variance Inflation Factors&lt;/Title&gt;&lt;Template&gt;Journal Article&lt;/Template&gt;&lt;Star&gt;0&lt;/Star&gt;&lt;Tag&gt;0&lt;/Tag&gt;&lt;Author&gt;O Brien, Robert M&lt;/Author&gt;&lt;Year&gt;2007&lt;/Year&gt;&lt;Details&gt;&lt;_collection_scope&gt;SCIE;SSCI;&lt;/_collection_scope&gt;&lt;_created&gt;61892054&lt;/_created&gt;&lt;_custom1&gt;VIF 界值 4/10&lt;/_custom1&gt;&lt;_impact_factor&gt;   1.094&lt;/_impact_factor&gt;&lt;_issue&gt;5&lt;/_issue&gt;&lt;_journal&gt;Quality &amp;amp; Quantity&lt;/_journal&gt;&lt;_keywords&gt;multi-collinearity;tolerance;variance inflation factors;variance of regression coefficients&lt;/_keywords&gt;&lt;_modified&gt;61892056&lt;/_modified&gt;&lt;_pages&gt;673-690&lt;/_pages&gt;&lt;_volume&gt;41&lt;/_volume&gt;&lt;/Details&gt;&lt;Extra&gt;&lt;DBUID&gt;{E5DBC751-EDAC-4369-AF8C-86304300277B}&lt;/DBUID&gt;&lt;/Extra&gt;&lt;/Item&gt;&lt;/References&gt;&lt;/Group&gt;&lt;/Citation&gt;_x000a_"/>
    <w:docVar w:name="NE.Ref{E9F8AE26-03C7-446E-93A7-EC0BBDC63713}" w:val=" ADDIN NE.Ref.{E9F8AE26-03C7-446E-93A7-EC0BBDC63713}&lt;Citation&gt;&lt;Group&gt;&lt;References&gt;&lt;Item&gt;&lt;ID&gt;605&lt;/ID&gt;&lt;UID&gt;{9D55FC58-069C-47D0-9538-08210DD41F0A}&lt;/UID&gt;&lt;Title&gt;Collinearity involving ordered and unordered categorical variables&lt;/Title&gt;&lt;Template&gt;Conference Paper&lt;/Template&gt;&lt;Star&gt;0&lt;/Star&gt;&lt;Tag&gt;0&lt;/Tag&gt;&lt;Author&gt;Hendrickx, John; Pelzer, Ben; Grotenhuis, Manfred Te; Lammers, Jan&lt;/Author&gt;&lt;Year&gt;2004&lt;/Year&gt;&lt;Details&gt;&lt;_accessed&gt;61892081&lt;/_accessed&gt;&lt;_created&gt;61892078&lt;/_created&gt;&lt;_custom1&gt;GVIF 与VIF的关系&lt;/_custom1&gt;&lt;_modified&gt;61892083&lt;/_modified&gt;&lt;_secondary_title&gt;RC33 conference in Amsterdam&lt;/_secondary_title&gt;&lt;/Details&gt;&lt;Extra&gt;&lt;DBUID&gt;{E5DBC751-EDAC-4369-AF8C-86304300277B}&lt;/DBUID&gt;&lt;/Extra&gt;&lt;/Item&gt;&lt;/References&gt;&lt;/Group&gt;&lt;/Citation&gt;_x000a_"/>
    <w:docVar w:name="ne_docsoft" w:val="MSWord"/>
    <w:docVar w:name="ne_docversion" w:val="NoteExpress 2.0"/>
    <w:docVar w:name="ne_stylename" w:val="JAMA"/>
  </w:docVars>
  <w:rsids>
    <w:rsidRoot w:val="2378434C"/>
    <w:rsid w:val="0000003C"/>
    <w:rsid w:val="000054CD"/>
    <w:rsid w:val="000113BA"/>
    <w:rsid w:val="00021EE8"/>
    <w:rsid w:val="00080F80"/>
    <w:rsid w:val="000960C8"/>
    <w:rsid w:val="000B3339"/>
    <w:rsid w:val="000B5302"/>
    <w:rsid w:val="000D4194"/>
    <w:rsid w:val="000D7A98"/>
    <w:rsid w:val="000E4D1D"/>
    <w:rsid w:val="000F4DDA"/>
    <w:rsid w:val="00105569"/>
    <w:rsid w:val="00106B22"/>
    <w:rsid w:val="00111BCE"/>
    <w:rsid w:val="00113CA1"/>
    <w:rsid w:val="001366BD"/>
    <w:rsid w:val="00153F60"/>
    <w:rsid w:val="0015750B"/>
    <w:rsid w:val="00157E3B"/>
    <w:rsid w:val="00164AB4"/>
    <w:rsid w:val="001733D2"/>
    <w:rsid w:val="00174D7A"/>
    <w:rsid w:val="001778B6"/>
    <w:rsid w:val="00186E55"/>
    <w:rsid w:val="001B0832"/>
    <w:rsid w:val="001F4B74"/>
    <w:rsid w:val="00220981"/>
    <w:rsid w:val="00231DA7"/>
    <w:rsid w:val="00240101"/>
    <w:rsid w:val="00257999"/>
    <w:rsid w:val="002778A5"/>
    <w:rsid w:val="00294407"/>
    <w:rsid w:val="0029478A"/>
    <w:rsid w:val="002A578A"/>
    <w:rsid w:val="002F4365"/>
    <w:rsid w:val="002F63F3"/>
    <w:rsid w:val="0031403E"/>
    <w:rsid w:val="00333E5D"/>
    <w:rsid w:val="00367DD5"/>
    <w:rsid w:val="00372515"/>
    <w:rsid w:val="00390A84"/>
    <w:rsid w:val="003A1060"/>
    <w:rsid w:val="003B3E57"/>
    <w:rsid w:val="003E593E"/>
    <w:rsid w:val="0040063D"/>
    <w:rsid w:val="0041160F"/>
    <w:rsid w:val="00423CA4"/>
    <w:rsid w:val="00433C41"/>
    <w:rsid w:val="00472D1D"/>
    <w:rsid w:val="00491CF0"/>
    <w:rsid w:val="004B3A35"/>
    <w:rsid w:val="004B7105"/>
    <w:rsid w:val="00503EE0"/>
    <w:rsid w:val="005054DB"/>
    <w:rsid w:val="00512729"/>
    <w:rsid w:val="0057673C"/>
    <w:rsid w:val="0058054F"/>
    <w:rsid w:val="005B44E7"/>
    <w:rsid w:val="005C4ACF"/>
    <w:rsid w:val="005E1C43"/>
    <w:rsid w:val="00607263"/>
    <w:rsid w:val="006241E1"/>
    <w:rsid w:val="0063170A"/>
    <w:rsid w:val="00643CC6"/>
    <w:rsid w:val="00655A22"/>
    <w:rsid w:val="0066509A"/>
    <w:rsid w:val="006807AF"/>
    <w:rsid w:val="0068439E"/>
    <w:rsid w:val="006A39C4"/>
    <w:rsid w:val="006A5F0F"/>
    <w:rsid w:val="006F7E43"/>
    <w:rsid w:val="007228F8"/>
    <w:rsid w:val="00722930"/>
    <w:rsid w:val="00732B09"/>
    <w:rsid w:val="00733078"/>
    <w:rsid w:val="0074285A"/>
    <w:rsid w:val="007428D2"/>
    <w:rsid w:val="0074371C"/>
    <w:rsid w:val="00745686"/>
    <w:rsid w:val="00750E64"/>
    <w:rsid w:val="00775208"/>
    <w:rsid w:val="00775882"/>
    <w:rsid w:val="00795AEF"/>
    <w:rsid w:val="007B016A"/>
    <w:rsid w:val="007B4391"/>
    <w:rsid w:val="007B70B2"/>
    <w:rsid w:val="007C0F3F"/>
    <w:rsid w:val="007D7988"/>
    <w:rsid w:val="007E02B9"/>
    <w:rsid w:val="007E712B"/>
    <w:rsid w:val="0083557B"/>
    <w:rsid w:val="008475D6"/>
    <w:rsid w:val="00857C52"/>
    <w:rsid w:val="00861C19"/>
    <w:rsid w:val="00865F94"/>
    <w:rsid w:val="008F179A"/>
    <w:rsid w:val="009276FD"/>
    <w:rsid w:val="009435F4"/>
    <w:rsid w:val="009806E0"/>
    <w:rsid w:val="009D1AEF"/>
    <w:rsid w:val="009D4209"/>
    <w:rsid w:val="009E5644"/>
    <w:rsid w:val="009F7401"/>
    <w:rsid w:val="00A01E96"/>
    <w:rsid w:val="00A049AE"/>
    <w:rsid w:val="00A0542B"/>
    <w:rsid w:val="00A12925"/>
    <w:rsid w:val="00A17441"/>
    <w:rsid w:val="00A346F7"/>
    <w:rsid w:val="00A374D6"/>
    <w:rsid w:val="00A37C6F"/>
    <w:rsid w:val="00A60BA7"/>
    <w:rsid w:val="00A85195"/>
    <w:rsid w:val="00A912C9"/>
    <w:rsid w:val="00AA2B67"/>
    <w:rsid w:val="00AA3514"/>
    <w:rsid w:val="00AE220C"/>
    <w:rsid w:val="00B11C92"/>
    <w:rsid w:val="00B332FC"/>
    <w:rsid w:val="00B62B17"/>
    <w:rsid w:val="00B63B22"/>
    <w:rsid w:val="00B70306"/>
    <w:rsid w:val="00B87F77"/>
    <w:rsid w:val="00BB3632"/>
    <w:rsid w:val="00BC07C4"/>
    <w:rsid w:val="00C00F7A"/>
    <w:rsid w:val="00C05D24"/>
    <w:rsid w:val="00C101B5"/>
    <w:rsid w:val="00C24DA6"/>
    <w:rsid w:val="00C4115E"/>
    <w:rsid w:val="00C455FF"/>
    <w:rsid w:val="00C5382E"/>
    <w:rsid w:val="00C62D8E"/>
    <w:rsid w:val="00C86114"/>
    <w:rsid w:val="00C86A99"/>
    <w:rsid w:val="00C92875"/>
    <w:rsid w:val="00C96FCF"/>
    <w:rsid w:val="00C978E1"/>
    <w:rsid w:val="00CA2213"/>
    <w:rsid w:val="00CF4B7D"/>
    <w:rsid w:val="00CF5024"/>
    <w:rsid w:val="00CF5A11"/>
    <w:rsid w:val="00D227D0"/>
    <w:rsid w:val="00D22C7A"/>
    <w:rsid w:val="00D2495E"/>
    <w:rsid w:val="00D43AEF"/>
    <w:rsid w:val="00D43C57"/>
    <w:rsid w:val="00D45A85"/>
    <w:rsid w:val="00D47172"/>
    <w:rsid w:val="00D56E58"/>
    <w:rsid w:val="00D6153D"/>
    <w:rsid w:val="00D67F6B"/>
    <w:rsid w:val="00DA2A19"/>
    <w:rsid w:val="00DB229B"/>
    <w:rsid w:val="00DB383B"/>
    <w:rsid w:val="00DF2388"/>
    <w:rsid w:val="00E14DC3"/>
    <w:rsid w:val="00E15E0B"/>
    <w:rsid w:val="00E24F0F"/>
    <w:rsid w:val="00E473FB"/>
    <w:rsid w:val="00E56910"/>
    <w:rsid w:val="00E72516"/>
    <w:rsid w:val="00E97C78"/>
    <w:rsid w:val="00ED7311"/>
    <w:rsid w:val="00EF3A7E"/>
    <w:rsid w:val="00F05618"/>
    <w:rsid w:val="00F432D9"/>
    <w:rsid w:val="00F600F4"/>
    <w:rsid w:val="00F85127"/>
    <w:rsid w:val="00F90321"/>
    <w:rsid w:val="00FA0AE1"/>
    <w:rsid w:val="00FC5F59"/>
    <w:rsid w:val="00FD1EC5"/>
    <w:rsid w:val="1A37070C"/>
    <w:rsid w:val="2378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17E6E1"/>
  <w15:docId w15:val="{10256B70-3732-3044-AA76-6B5E87EE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E96"/>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6B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106B22"/>
    <w:rPr>
      <w:kern w:val="2"/>
      <w:sz w:val="18"/>
      <w:szCs w:val="18"/>
    </w:rPr>
  </w:style>
  <w:style w:type="paragraph" w:styleId="Footer">
    <w:name w:val="footer"/>
    <w:basedOn w:val="Normal"/>
    <w:link w:val="FooterChar"/>
    <w:uiPriority w:val="99"/>
    <w:rsid w:val="00106B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06B22"/>
    <w:rPr>
      <w:kern w:val="2"/>
      <w:sz w:val="18"/>
      <w:szCs w:val="18"/>
    </w:rPr>
  </w:style>
  <w:style w:type="paragraph" w:styleId="BalloonText">
    <w:name w:val="Balloon Text"/>
    <w:basedOn w:val="Normal"/>
    <w:link w:val="BalloonTextChar"/>
    <w:rsid w:val="00C86114"/>
    <w:rPr>
      <w:sz w:val="18"/>
      <w:szCs w:val="18"/>
    </w:rPr>
  </w:style>
  <w:style w:type="character" w:customStyle="1" w:styleId="BalloonTextChar">
    <w:name w:val="Balloon Text Char"/>
    <w:basedOn w:val="DefaultParagraphFont"/>
    <w:link w:val="BalloonText"/>
    <w:rsid w:val="00C86114"/>
    <w:rPr>
      <w:kern w:val="2"/>
      <w:sz w:val="18"/>
      <w:szCs w:val="18"/>
    </w:rPr>
  </w:style>
  <w:style w:type="character" w:styleId="PlaceholderText">
    <w:name w:val="Placeholder Text"/>
    <w:basedOn w:val="DefaultParagraphFont"/>
    <w:uiPriority w:val="99"/>
    <w:semiHidden/>
    <w:rsid w:val="00D227D0"/>
    <w:rPr>
      <w:color w:val="808080"/>
    </w:rPr>
  </w:style>
  <w:style w:type="paragraph" w:styleId="ListParagraph">
    <w:name w:val="List Paragraph"/>
    <w:basedOn w:val="Normal"/>
    <w:uiPriority w:val="99"/>
    <w:rsid w:val="00DB383B"/>
    <w:pPr>
      <w:ind w:firstLineChars="200" w:firstLine="420"/>
    </w:pPr>
  </w:style>
  <w:style w:type="character" w:customStyle="1" w:styleId="fontstyle01">
    <w:name w:val="fontstyle01"/>
    <w:basedOn w:val="DefaultParagraphFont"/>
    <w:rsid w:val="00DB383B"/>
    <w:rPr>
      <w:rFonts w:ascii="AdvOT1ef757c0" w:hAnsi="AdvOT1ef757c0" w:hint="default"/>
      <w:b w:val="0"/>
      <w:bCs w:val="0"/>
      <w:i w:val="0"/>
      <w:iCs w:val="0"/>
      <w:color w:val="000000"/>
      <w:sz w:val="20"/>
      <w:szCs w:val="20"/>
    </w:rPr>
  </w:style>
  <w:style w:type="character" w:styleId="Hyperlink">
    <w:name w:val="Hyperlink"/>
    <w:basedOn w:val="DefaultParagraphFont"/>
    <w:uiPriority w:val="99"/>
    <w:unhideWhenUsed/>
    <w:rsid w:val="005B44E7"/>
    <w:rPr>
      <w:color w:val="0563C1" w:themeColor="hyperlink"/>
      <w:u w:val="single"/>
    </w:rPr>
  </w:style>
  <w:style w:type="character" w:styleId="CommentReference">
    <w:name w:val="annotation reference"/>
    <w:basedOn w:val="DefaultParagraphFont"/>
    <w:semiHidden/>
    <w:unhideWhenUsed/>
    <w:rsid w:val="00433C41"/>
    <w:rPr>
      <w:sz w:val="21"/>
      <w:szCs w:val="21"/>
    </w:rPr>
  </w:style>
  <w:style w:type="paragraph" w:styleId="CommentText">
    <w:name w:val="annotation text"/>
    <w:basedOn w:val="Normal"/>
    <w:link w:val="CommentTextChar"/>
    <w:semiHidden/>
    <w:unhideWhenUsed/>
    <w:rsid w:val="00433C41"/>
    <w:pPr>
      <w:jc w:val="left"/>
    </w:pPr>
  </w:style>
  <w:style w:type="character" w:customStyle="1" w:styleId="CommentTextChar">
    <w:name w:val="Comment Text Char"/>
    <w:basedOn w:val="DefaultParagraphFont"/>
    <w:link w:val="CommentText"/>
    <w:semiHidden/>
    <w:rsid w:val="00433C41"/>
    <w:rPr>
      <w:kern w:val="2"/>
      <w:sz w:val="21"/>
      <w:szCs w:val="22"/>
    </w:rPr>
  </w:style>
  <w:style w:type="paragraph" w:styleId="CommentSubject">
    <w:name w:val="annotation subject"/>
    <w:basedOn w:val="CommentText"/>
    <w:next w:val="CommentText"/>
    <w:link w:val="CommentSubjectChar"/>
    <w:semiHidden/>
    <w:unhideWhenUsed/>
    <w:rsid w:val="00433C41"/>
    <w:rPr>
      <w:b/>
      <w:bCs/>
    </w:rPr>
  </w:style>
  <w:style w:type="character" w:customStyle="1" w:styleId="CommentSubjectChar">
    <w:name w:val="Comment Subject Char"/>
    <w:basedOn w:val="CommentTextChar"/>
    <w:link w:val="CommentSubject"/>
    <w:semiHidden/>
    <w:rsid w:val="00433C4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37721">
      <w:bodyDiv w:val="1"/>
      <w:marLeft w:val="0"/>
      <w:marRight w:val="0"/>
      <w:marTop w:val="0"/>
      <w:marBottom w:val="0"/>
      <w:divBdr>
        <w:top w:val="none" w:sz="0" w:space="0" w:color="auto"/>
        <w:left w:val="none" w:sz="0" w:space="0" w:color="auto"/>
        <w:bottom w:val="none" w:sz="0" w:space="0" w:color="auto"/>
        <w:right w:val="none" w:sz="0" w:space="0" w:color="auto"/>
      </w:divBdr>
    </w:div>
    <w:div w:id="397748268">
      <w:bodyDiv w:val="1"/>
      <w:marLeft w:val="0"/>
      <w:marRight w:val="0"/>
      <w:marTop w:val="0"/>
      <w:marBottom w:val="0"/>
      <w:divBdr>
        <w:top w:val="none" w:sz="0" w:space="0" w:color="auto"/>
        <w:left w:val="none" w:sz="0" w:space="0" w:color="auto"/>
        <w:bottom w:val="none" w:sz="0" w:space="0" w:color="auto"/>
        <w:right w:val="none" w:sz="0" w:space="0" w:color="auto"/>
      </w:divBdr>
    </w:div>
    <w:div w:id="400296555">
      <w:bodyDiv w:val="1"/>
      <w:marLeft w:val="0"/>
      <w:marRight w:val="0"/>
      <w:marTop w:val="0"/>
      <w:marBottom w:val="0"/>
      <w:divBdr>
        <w:top w:val="none" w:sz="0" w:space="0" w:color="auto"/>
        <w:left w:val="none" w:sz="0" w:space="0" w:color="auto"/>
        <w:bottom w:val="none" w:sz="0" w:space="0" w:color="auto"/>
        <w:right w:val="none" w:sz="0" w:space="0" w:color="auto"/>
      </w:divBdr>
    </w:div>
    <w:div w:id="655962027">
      <w:bodyDiv w:val="1"/>
      <w:marLeft w:val="0"/>
      <w:marRight w:val="0"/>
      <w:marTop w:val="0"/>
      <w:marBottom w:val="0"/>
      <w:divBdr>
        <w:top w:val="none" w:sz="0" w:space="0" w:color="auto"/>
        <w:left w:val="none" w:sz="0" w:space="0" w:color="auto"/>
        <w:bottom w:val="none" w:sz="0" w:space="0" w:color="auto"/>
        <w:right w:val="none" w:sz="0" w:space="0" w:color="auto"/>
      </w:divBdr>
    </w:div>
    <w:div w:id="743724575">
      <w:bodyDiv w:val="1"/>
      <w:marLeft w:val="0"/>
      <w:marRight w:val="0"/>
      <w:marTop w:val="0"/>
      <w:marBottom w:val="0"/>
      <w:divBdr>
        <w:top w:val="none" w:sz="0" w:space="0" w:color="auto"/>
        <w:left w:val="none" w:sz="0" w:space="0" w:color="auto"/>
        <w:bottom w:val="none" w:sz="0" w:space="0" w:color="auto"/>
        <w:right w:val="none" w:sz="0" w:space="0" w:color="auto"/>
      </w:divBdr>
    </w:div>
    <w:div w:id="843320550">
      <w:bodyDiv w:val="1"/>
      <w:marLeft w:val="0"/>
      <w:marRight w:val="0"/>
      <w:marTop w:val="0"/>
      <w:marBottom w:val="0"/>
      <w:divBdr>
        <w:top w:val="none" w:sz="0" w:space="0" w:color="auto"/>
        <w:left w:val="none" w:sz="0" w:space="0" w:color="auto"/>
        <w:bottom w:val="none" w:sz="0" w:space="0" w:color="auto"/>
        <w:right w:val="none" w:sz="0" w:space="0" w:color="auto"/>
      </w:divBdr>
    </w:div>
    <w:div w:id="1037851273">
      <w:bodyDiv w:val="1"/>
      <w:marLeft w:val="0"/>
      <w:marRight w:val="0"/>
      <w:marTop w:val="0"/>
      <w:marBottom w:val="0"/>
      <w:divBdr>
        <w:top w:val="none" w:sz="0" w:space="0" w:color="auto"/>
        <w:left w:val="none" w:sz="0" w:space="0" w:color="auto"/>
        <w:bottom w:val="none" w:sz="0" w:space="0" w:color="auto"/>
        <w:right w:val="none" w:sz="0" w:space="0" w:color="auto"/>
      </w:divBdr>
    </w:div>
    <w:div w:id="1206067367">
      <w:bodyDiv w:val="1"/>
      <w:marLeft w:val="0"/>
      <w:marRight w:val="0"/>
      <w:marTop w:val="0"/>
      <w:marBottom w:val="0"/>
      <w:divBdr>
        <w:top w:val="none" w:sz="0" w:space="0" w:color="auto"/>
        <w:left w:val="none" w:sz="0" w:space="0" w:color="auto"/>
        <w:bottom w:val="none" w:sz="0" w:space="0" w:color="auto"/>
        <w:right w:val="none" w:sz="0" w:space="0" w:color="auto"/>
      </w:divBdr>
    </w:div>
    <w:div w:id="1284113419">
      <w:bodyDiv w:val="1"/>
      <w:marLeft w:val="0"/>
      <w:marRight w:val="0"/>
      <w:marTop w:val="0"/>
      <w:marBottom w:val="0"/>
      <w:divBdr>
        <w:top w:val="none" w:sz="0" w:space="0" w:color="auto"/>
        <w:left w:val="none" w:sz="0" w:space="0" w:color="auto"/>
        <w:bottom w:val="none" w:sz="0" w:space="0" w:color="auto"/>
        <w:right w:val="none" w:sz="0" w:space="0" w:color="auto"/>
      </w:divBdr>
    </w:div>
    <w:div w:id="1466118134">
      <w:bodyDiv w:val="1"/>
      <w:marLeft w:val="0"/>
      <w:marRight w:val="0"/>
      <w:marTop w:val="0"/>
      <w:marBottom w:val="0"/>
      <w:divBdr>
        <w:top w:val="none" w:sz="0" w:space="0" w:color="auto"/>
        <w:left w:val="none" w:sz="0" w:space="0" w:color="auto"/>
        <w:bottom w:val="none" w:sz="0" w:space="0" w:color="auto"/>
        <w:right w:val="none" w:sz="0" w:space="0" w:color="auto"/>
      </w:divBdr>
    </w:div>
    <w:div w:id="1869559187">
      <w:bodyDiv w:val="1"/>
      <w:marLeft w:val="0"/>
      <w:marRight w:val="0"/>
      <w:marTop w:val="0"/>
      <w:marBottom w:val="0"/>
      <w:divBdr>
        <w:top w:val="none" w:sz="0" w:space="0" w:color="auto"/>
        <w:left w:val="none" w:sz="0" w:space="0" w:color="auto"/>
        <w:bottom w:val="none" w:sz="0" w:space="0" w:color="auto"/>
        <w:right w:val="none" w:sz="0" w:space="0" w:color="auto"/>
      </w:divBdr>
    </w:div>
    <w:div w:id="2023506924">
      <w:bodyDiv w:val="1"/>
      <w:marLeft w:val="0"/>
      <w:marRight w:val="0"/>
      <w:marTop w:val="0"/>
      <w:marBottom w:val="0"/>
      <w:divBdr>
        <w:top w:val="none" w:sz="0" w:space="0" w:color="auto"/>
        <w:left w:val="none" w:sz="0" w:space="0" w:color="auto"/>
        <w:bottom w:val="none" w:sz="0" w:space="0" w:color="auto"/>
        <w:right w:val="none" w:sz="0" w:space="0" w:color="auto"/>
      </w:divBdr>
    </w:div>
    <w:div w:id="2031830273">
      <w:bodyDiv w:val="1"/>
      <w:marLeft w:val="0"/>
      <w:marRight w:val="0"/>
      <w:marTop w:val="0"/>
      <w:marBottom w:val="0"/>
      <w:divBdr>
        <w:top w:val="none" w:sz="0" w:space="0" w:color="auto"/>
        <w:left w:val="none" w:sz="0" w:space="0" w:color="auto"/>
        <w:bottom w:val="none" w:sz="0" w:space="0" w:color="auto"/>
        <w:right w:val="none" w:sz="0" w:space="0" w:color="auto"/>
      </w:divBdr>
    </w:div>
    <w:div w:id="2061317344">
      <w:bodyDiv w:val="1"/>
      <w:marLeft w:val="0"/>
      <w:marRight w:val="0"/>
      <w:marTop w:val="0"/>
      <w:marBottom w:val="0"/>
      <w:divBdr>
        <w:top w:val="none" w:sz="0" w:space="0" w:color="auto"/>
        <w:left w:val="none" w:sz="0" w:space="0" w:color="auto"/>
        <w:bottom w:val="none" w:sz="0" w:space="0" w:color="auto"/>
        <w:right w:val="none" w:sz="0" w:space="0" w:color="auto"/>
      </w:divBdr>
    </w:div>
    <w:div w:id="2133936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D16D2-DF55-4ADC-8325-EDB47E86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xuronbin</dc:creator>
  <dc:description>NE.Ref</dc:description>
  <cp:lastModifiedBy>Rongbin Xu</cp:lastModifiedBy>
  <cp:revision>8</cp:revision>
  <dcterms:created xsi:type="dcterms:W3CDTF">2020-04-25T03:43:00Z</dcterms:created>
  <dcterms:modified xsi:type="dcterms:W3CDTF">2020-05-06T20:08:00Z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