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2D" w:rsidRDefault="00415C2D" w:rsidP="001231B2">
      <w:pPr>
        <w:spacing w:after="0"/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="00A319D2">
        <w:rPr>
          <w:b/>
          <w:lang w:val="en-US"/>
        </w:rPr>
        <w:t>MATERIAL</w:t>
      </w:r>
      <w:r>
        <w:rPr>
          <w:b/>
          <w:lang w:val="en-US"/>
        </w:rPr>
        <w:br/>
      </w:r>
    </w:p>
    <w:p w:rsidR="001231B2" w:rsidRDefault="001231B2" w:rsidP="001231B2">
      <w:pPr>
        <w:spacing w:after="0"/>
        <w:rPr>
          <w:lang w:val="en-US"/>
        </w:rPr>
      </w:pPr>
      <w:r>
        <w:rPr>
          <w:b/>
          <w:lang w:val="en-US"/>
        </w:rPr>
        <w:t>Table S1</w:t>
      </w:r>
      <w:r w:rsidRPr="004412B3">
        <w:rPr>
          <w:b/>
          <w:lang w:val="en-US"/>
        </w:rPr>
        <w:t>.</w:t>
      </w:r>
      <w:r>
        <w:rPr>
          <w:lang w:val="en-US"/>
        </w:rPr>
        <w:t xml:space="preserve"> Number of replicated and excluded samples due to low quality measurements.</w:t>
      </w:r>
    </w:p>
    <w:tbl>
      <w:tblPr>
        <w:tblW w:w="7864" w:type="dxa"/>
        <w:tblInd w:w="-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708"/>
        <w:gridCol w:w="3261"/>
        <w:gridCol w:w="2835"/>
      </w:tblGrid>
      <w:tr w:rsidR="001231B2" w:rsidRPr="00415C2D" w:rsidTr="00997EF4"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Gene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proofErr w:type="spellStart"/>
            <w:r w:rsidRPr="000B0786">
              <w:rPr>
                <w:lang w:val="en-GB"/>
              </w:rPr>
              <w:t>CpG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Replicated</w:t>
            </w:r>
            <w:r>
              <w:rPr>
                <w:lang w:val="en-GB"/>
              </w:rPr>
              <w:t xml:space="preserve"> (included) samples</w:t>
            </w:r>
            <w:r w:rsidRPr="000B0786">
              <w:rPr>
                <w:lang w:val="en-GB"/>
              </w:rPr>
              <w:t xml:space="preserve"> (n)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 xml:space="preserve">Excluded </w:t>
            </w:r>
            <w:r>
              <w:rPr>
                <w:lang w:val="en-GB"/>
              </w:rPr>
              <w:t xml:space="preserve">samples </w:t>
            </w:r>
            <w:r w:rsidRPr="000B0786">
              <w:rPr>
                <w:lang w:val="en-GB"/>
              </w:rPr>
              <w:t>(n)</w:t>
            </w:r>
            <w:r w:rsidRPr="000B0786">
              <w:rPr>
                <w:vertAlign w:val="superscript"/>
                <w:lang w:val="en-GB"/>
              </w:rPr>
              <w:t xml:space="preserve"> †</w:t>
            </w:r>
          </w:p>
        </w:tc>
      </w:tr>
      <w:tr w:rsidR="001231B2" w:rsidRPr="00415C2D" w:rsidTr="001A50CE">
        <w:tc>
          <w:tcPr>
            <w:tcW w:w="1060" w:type="dxa"/>
            <w:vMerge w:val="restart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  <w:r w:rsidRPr="00997EF4">
              <w:rPr>
                <w:i/>
                <w:iCs/>
                <w:lang w:val="en-GB"/>
              </w:rPr>
              <w:t>HIF1A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</w:tr>
      <w:tr w:rsidR="001231B2" w:rsidRPr="00415C2D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2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</w:tr>
      <w:tr w:rsidR="001231B2" w:rsidRPr="00415C2D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3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231B2" w:rsidRPr="00415C2D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4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231B2" w:rsidRPr="00415C2D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5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231B2" w:rsidRPr="00415C2D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6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231B2" w:rsidRPr="00415C2D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7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231B2" w:rsidRPr="00B67E63" w:rsidTr="001A50CE">
        <w:tc>
          <w:tcPr>
            <w:tcW w:w="1060" w:type="dxa"/>
            <w:vMerge w:val="restart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  <w:r w:rsidRPr="00997EF4">
              <w:rPr>
                <w:i/>
                <w:iCs/>
                <w:lang w:val="en-GB"/>
              </w:rPr>
              <w:t>EPO</w:t>
            </w:r>
          </w:p>
          <w:p w:rsidR="001231B2" w:rsidRPr="00997EF4" w:rsidRDefault="001231B2" w:rsidP="001A50CE">
            <w:pPr>
              <w:pStyle w:val="Tekstzonderopmaak"/>
              <w:rPr>
                <w:lang w:val="en-GB"/>
              </w:rPr>
            </w:pPr>
            <w:r w:rsidRPr="00997EF4">
              <w:rPr>
                <w:lang w:val="en-GB"/>
              </w:rPr>
              <w:t>promoter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2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3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4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 w:val="restart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  <w:r w:rsidRPr="00997EF4">
              <w:rPr>
                <w:i/>
                <w:iCs/>
                <w:lang w:val="en-GB"/>
              </w:rPr>
              <w:t>EPO</w:t>
            </w:r>
          </w:p>
          <w:p w:rsidR="001231B2" w:rsidRPr="00997EF4" w:rsidRDefault="001231B2" w:rsidP="001A50CE">
            <w:pPr>
              <w:pStyle w:val="Tekstzonderopmaak"/>
              <w:rPr>
                <w:lang w:val="en-GB"/>
              </w:rPr>
            </w:pPr>
            <w:r w:rsidRPr="00997EF4">
              <w:rPr>
                <w:lang w:val="en-GB"/>
              </w:rPr>
              <w:t>enhancer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2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 w:val="restart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  <w:r w:rsidRPr="00997EF4">
              <w:rPr>
                <w:i/>
                <w:iCs/>
                <w:lang w:val="en-GB"/>
              </w:rPr>
              <w:t>EPOR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2</w:t>
            </w:r>
          </w:p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</w:tr>
      <w:tr w:rsidR="001231B2" w:rsidRPr="00B67E63" w:rsidTr="001A50CE">
        <w:trPr>
          <w:trHeight w:val="301"/>
        </w:trPr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2</w:t>
            </w:r>
          </w:p>
        </w:tc>
        <w:tc>
          <w:tcPr>
            <w:tcW w:w="3261" w:type="dxa"/>
            <w:vMerge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3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rPr>
          <w:trHeight w:val="286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3</w:t>
            </w:r>
          </w:p>
        </w:tc>
      </w:tr>
      <w:tr w:rsidR="001231B2" w:rsidRPr="00B67E63" w:rsidTr="001A50CE">
        <w:tc>
          <w:tcPr>
            <w:tcW w:w="1060" w:type="dxa"/>
            <w:vMerge w:val="restart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  <w:r w:rsidRPr="00997EF4">
              <w:rPr>
                <w:i/>
                <w:iCs/>
                <w:lang w:val="en-GB"/>
              </w:rPr>
              <w:t>VEGFA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2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 w:val="restart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  <w:r w:rsidRPr="00997EF4">
              <w:rPr>
                <w:i/>
                <w:iCs/>
                <w:lang w:val="en-GB"/>
              </w:rPr>
              <w:t>BDNF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2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3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1</w:t>
            </w:r>
          </w:p>
        </w:tc>
      </w:tr>
      <w:tr w:rsidR="001231B2" w:rsidRPr="00B67E63" w:rsidTr="001A50CE">
        <w:tc>
          <w:tcPr>
            <w:tcW w:w="1060" w:type="dxa"/>
            <w:vMerge/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4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231B2" w:rsidRPr="00B67E63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1231B2" w:rsidRPr="00B67E63" w:rsidTr="001A50CE">
        <w:tc>
          <w:tcPr>
            <w:tcW w:w="106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997EF4" w:rsidRDefault="001231B2" w:rsidP="001A50CE">
            <w:pPr>
              <w:pStyle w:val="Tekstzonderopmaak"/>
              <w:rPr>
                <w:i/>
                <w:lang w:val="en-GB"/>
              </w:rPr>
            </w:pPr>
            <w:r w:rsidRPr="00997EF4">
              <w:rPr>
                <w:i/>
                <w:iCs/>
                <w:lang w:val="en-GB"/>
              </w:rPr>
              <w:t>NTRK2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2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3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-</w:t>
            </w:r>
          </w:p>
        </w:tc>
      </w:tr>
      <w:tr w:rsidR="001231B2" w:rsidRPr="00B67E63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4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1</w:t>
            </w:r>
          </w:p>
        </w:tc>
      </w:tr>
      <w:tr w:rsidR="001231B2" w:rsidRPr="00B67E63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5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2</w:t>
            </w:r>
          </w:p>
        </w:tc>
      </w:tr>
      <w:tr w:rsidR="001231B2" w:rsidRPr="00B67E63" w:rsidTr="001A50CE">
        <w:trPr>
          <w:trHeight w:val="288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6</w:t>
            </w:r>
          </w:p>
        </w:tc>
        <w:tc>
          <w:tcPr>
            <w:tcW w:w="3261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835" w:type="dxa"/>
            <w:vAlign w:val="center"/>
          </w:tcPr>
          <w:p w:rsidR="001231B2" w:rsidRPr="000B0786" w:rsidRDefault="001231B2" w:rsidP="001A50CE">
            <w:pPr>
              <w:pStyle w:val="Tekstzonderopmaak"/>
              <w:jc w:val="center"/>
              <w:rPr>
                <w:lang w:val="en-GB"/>
              </w:rPr>
            </w:pPr>
            <w:r w:rsidRPr="000B0786">
              <w:rPr>
                <w:lang w:val="en-GB"/>
              </w:rPr>
              <w:t>4</w:t>
            </w:r>
          </w:p>
        </w:tc>
      </w:tr>
      <w:tr w:rsidR="001231B2" w:rsidRPr="00B67E63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7</w:t>
            </w:r>
          </w:p>
        </w:tc>
        <w:tc>
          <w:tcPr>
            <w:tcW w:w="3261" w:type="dxa"/>
          </w:tcPr>
          <w:p w:rsidR="001231B2" w:rsidRDefault="001231B2" w:rsidP="001A50CE">
            <w:pPr>
              <w:pStyle w:val="Tekstzonderopmaak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-</w:t>
            </w:r>
          </w:p>
        </w:tc>
        <w:tc>
          <w:tcPr>
            <w:tcW w:w="2835" w:type="dxa"/>
          </w:tcPr>
          <w:p w:rsidR="001231B2" w:rsidRDefault="001231B2" w:rsidP="001A50CE">
            <w:pPr>
              <w:pStyle w:val="Tekstzonderopmaak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4</w:t>
            </w:r>
          </w:p>
        </w:tc>
      </w:tr>
      <w:tr w:rsidR="001231B2" w:rsidRPr="00B67E63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8</w:t>
            </w:r>
          </w:p>
        </w:tc>
        <w:tc>
          <w:tcPr>
            <w:tcW w:w="3261" w:type="dxa"/>
          </w:tcPr>
          <w:p w:rsidR="001231B2" w:rsidRDefault="001231B2" w:rsidP="001A50CE">
            <w:pPr>
              <w:pStyle w:val="Tekstzonderopmaak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-</w:t>
            </w:r>
          </w:p>
        </w:tc>
        <w:tc>
          <w:tcPr>
            <w:tcW w:w="2835" w:type="dxa"/>
          </w:tcPr>
          <w:p w:rsidR="001231B2" w:rsidRDefault="001231B2" w:rsidP="001A50CE">
            <w:pPr>
              <w:pStyle w:val="Tekstzonderopmaak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4</w:t>
            </w:r>
          </w:p>
        </w:tc>
      </w:tr>
      <w:tr w:rsidR="001231B2" w:rsidRPr="00B67E63" w:rsidTr="001A50CE"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31B2" w:rsidRPr="000B0786" w:rsidRDefault="001231B2" w:rsidP="001A50CE">
            <w:pPr>
              <w:pStyle w:val="Tekstzonderopmaak"/>
              <w:rPr>
                <w:lang w:val="en-GB"/>
              </w:rPr>
            </w:pPr>
            <w:r w:rsidRPr="000B0786">
              <w:rPr>
                <w:lang w:val="en-GB"/>
              </w:rPr>
              <w:t>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231B2" w:rsidRPr="00B67E63" w:rsidRDefault="001231B2" w:rsidP="001A50CE">
            <w:pPr>
              <w:pStyle w:val="Tekstzonderopmaak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31B2" w:rsidRPr="00B67E63" w:rsidRDefault="001231B2" w:rsidP="001A50CE">
            <w:pPr>
              <w:pStyle w:val="Tekstzonderopmaak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4</w:t>
            </w:r>
          </w:p>
        </w:tc>
      </w:tr>
      <w:tr w:rsidR="001231B2" w:rsidRPr="0020438C" w:rsidTr="001A50CE">
        <w:tc>
          <w:tcPr>
            <w:tcW w:w="78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1B2" w:rsidRPr="00762F73" w:rsidRDefault="001231B2" w:rsidP="001A50CE">
            <w:pPr>
              <w:pStyle w:val="Tekstzonderopmaak"/>
              <w:jc w:val="both"/>
              <w:rPr>
                <w:i/>
                <w:lang w:val="en-GB"/>
              </w:rPr>
            </w:pPr>
            <w:r w:rsidRPr="000B0786">
              <w:rPr>
                <w:vertAlign w:val="superscript"/>
                <w:lang w:val="en-GB"/>
              </w:rPr>
              <w:t>†</w:t>
            </w:r>
            <w:r>
              <w:rPr>
                <w:lang w:val="en-GB"/>
              </w:rPr>
              <w:t xml:space="preserve"> due to repeatedly low quality measurements (≥3 times). </w:t>
            </w:r>
            <w:r w:rsidRPr="00327794">
              <w:rPr>
                <w:i/>
                <w:sz w:val="20"/>
                <w:lang w:val="en-US"/>
              </w:rPr>
              <w:t>BDNF</w:t>
            </w:r>
            <w:r w:rsidRPr="00327794">
              <w:rPr>
                <w:sz w:val="20"/>
                <w:lang w:val="en-US"/>
              </w:rPr>
              <w:t xml:space="preserve">, brain-derived </w:t>
            </w:r>
            <w:proofErr w:type="spellStart"/>
            <w:r w:rsidRPr="00327794">
              <w:rPr>
                <w:sz w:val="20"/>
                <w:lang w:val="en-US"/>
              </w:rPr>
              <w:t>neurotrophic</w:t>
            </w:r>
            <w:proofErr w:type="spellEnd"/>
            <w:r w:rsidRPr="00327794">
              <w:rPr>
                <w:sz w:val="20"/>
                <w:lang w:val="en-US"/>
              </w:rPr>
              <w:t xml:space="preserve"> factor; </w:t>
            </w:r>
            <w:proofErr w:type="spellStart"/>
            <w:r w:rsidRPr="00327794">
              <w:rPr>
                <w:sz w:val="20"/>
                <w:lang w:val="en-US"/>
              </w:rPr>
              <w:t>CpG</w:t>
            </w:r>
            <w:proofErr w:type="spellEnd"/>
            <w:r w:rsidRPr="00327794">
              <w:rPr>
                <w:sz w:val="20"/>
                <w:lang w:val="en-US"/>
              </w:rPr>
              <w:t xml:space="preserve">, 5’-cytosine-phosphate-guanine-3’ dinucleotide; </w:t>
            </w:r>
            <w:proofErr w:type="spellStart"/>
            <w:r w:rsidRPr="00327794">
              <w:rPr>
                <w:sz w:val="20"/>
                <w:lang w:val="en-US"/>
              </w:rPr>
              <w:t>df</w:t>
            </w:r>
            <w:proofErr w:type="spellEnd"/>
            <w:r w:rsidRPr="00327794">
              <w:rPr>
                <w:sz w:val="20"/>
                <w:lang w:val="en-US"/>
              </w:rPr>
              <w:t xml:space="preserve">, degrees of freedom; </w:t>
            </w:r>
            <w:r w:rsidRPr="00327794">
              <w:rPr>
                <w:i/>
                <w:sz w:val="20"/>
                <w:lang w:val="en-US"/>
              </w:rPr>
              <w:t>EPO</w:t>
            </w:r>
            <w:r w:rsidRPr="00327794">
              <w:rPr>
                <w:sz w:val="20"/>
                <w:lang w:val="en-US"/>
              </w:rPr>
              <w:t xml:space="preserve">, erythropoietin; </w:t>
            </w:r>
            <w:r w:rsidRPr="00327794">
              <w:rPr>
                <w:i/>
                <w:sz w:val="20"/>
                <w:lang w:val="en-US"/>
              </w:rPr>
              <w:t>EPOR</w:t>
            </w:r>
            <w:r w:rsidRPr="00327794">
              <w:rPr>
                <w:sz w:val="20"/>
                <w:lang w:val="en-US"/>
              </w:rPr>
              <w:t xml:space="preserve">, erythropoietin receptor; </w:t>
            </w:r>
            <w:r w:rsidRPr="00327794">
              <w:rPr>
                <w:i/>
                <w:sz w:val="20"/>
                <w:lang w:val="en-US"/>
              </w:rPr>
              <w:t>HIF1A</w:t>
            </w:r>
            <w:r w:rsidRPr="00327794">
              <w:rPr>
                <w:sz w:val="20"/>
                <w:lang w:val="en-US"/>
              </w:rPr>
              <w:t xml:space="preserve">, hypoxia-inducible factor alpha; </w:t>
            </w:r>
            <w:r w:rsidRPr="00327794">
              <w:rPr>
                <w:i/>
                <w:sz w:val="20"/>
                <w:lang w:val="en-US"/>
              </w:rPr>
              <w:t>NTRK2</w:t>
            </w:r>
            <w:r w:rsidRPr="00327794">
              <w:rPr>
                <w:sz w:val="20"/>
                <w:lang w:val="en-US"/>
              </w:rPr>
              <w:t xml:space="preserve">, Neurotrophic Receptor Tyrosine Kinase 2; </w:t>
            </w:r>
            <w:r w:rsidRPr="00327794">
              <w:rPr>
                <w:i/>
                <w:sz w:val="20"/>
                <w:lang w:val="en-US"/>
              </w:rPr>
              <w:t>VEGFA</w:t>
            </w:r>
            <w:r w:rsidRPr="00327794">
              <w:rPr>
                <w:sz w:val="20"/>
                <w:lang w:val="en-US"/>
              </w:rPr>
              <w:t>, vascular endothelial growth factor A.</w:t>
            </w:r>
          </w:p>
        </w:tc>
      </w:tr>
    </w:tbl>
    <w:p w:rsidR="001231B2" w:rsidRPr="0030389B" w:rsidRDefault="001231B2" w:rsidP="001231B2">
      <w:pPr>
        <w:rPr>
          <w:lang w:val="en-US"/>
        </w:rPr>
      </w:pPr>
    </w:p>
    <w:p w:rsidR="001231B2" w:rsidRPr="001231B2" w:rsidRDefault="001231B2">
      <w:pPr>
        <w:rPr>
          <w:lang w:val="en-US"/>
        </w:rPr>
      </w:pPr>
      <w:r w:rsidRPr="001231B2">
        <w:rPr>
          <w:lang w:val="en-US"/>
        </w:rPr>
        <w:br w:type="page"/>
      </w:r>
    </w:p>
    <w:p w:rsidR="001A50CE" w:rsidRPr="00CC129F" w:rsidRDefault="001A50CE" w:rsidP="001A50CE">
      <w:pPr>
        <w:spacing w:after="0"/>
        <w:rPr>
          <w:lang w:val="en-US"/>
        </w:rPr>
      </w:pPr>
      <w:r w:rsidRPr="00CC129F">
        <w:rPr>
          <w:b/>
          <w:lang w:val="en-US"/>
        </w:rPr>
        <w:lastRenderedPageBreak/>
        <w:t xml:space="preserve">Table </w:t>
      </w:r>
      <w:r>
        <w:rPr>
          <w:b/>
          <w:lang w:val="en-US"/>
        </w:rPr>
        <w:t>S</w:t>
      </w:r>
      <w:r w:rsidRPr="00CC129F">
        <w:rPr>
          <w:b/>
          <w:lang w:val="en-US"/>
        </w:rPr>
        <w:t>2.</w:t>
      </w:r>
      <w:r w:rsidRPr="00CC129F">
        <w:rPr>
          <w:lang w:val="en-US"/>
        </w:rPr>
        <w:t xml:space="preserve"> </w:t>
      </w:r>
      <w:r w:rsidR="00F100B4">
        <w:rPr>
          <w:lang w:val="en-US"/>
        </w:rPr>
        <w:t>Gestational and neonatal</w:t>
      </w:r>
      <w:r>
        <w:rPr>
          <w:lang w:val="en-US"/>
        </w:rPr>
        <w:t xml:space="preserve"> c</w:t>
      </w:r>
      <w:r w:rsidRPr="00CC129F">
        <w:rPr>
          <w:lang w:val="en-US"/>
        </w:rPr>
        <w:t>haracteristics</w:t>
      </w:r>
      <w:r>
        <w:rPr>
          <w:lang w:val="en-US"/>
        </w:rPr>
        <w:t xml:space="preserve"> </w:t>
      </w:r>
      <w:r w:rsidR="00F100B4">
        <w:rPr>
          <w:lang w:val="en-US"/>
        </w:rPr>
        <w:t>of</w:t>
      </w:r>
      <w:r>
        <w:rPr>
          <w:lang w:val="en-US"/>
        </w:rPr>
        <w:t xml:space="preserve"> children participating in this study and children </w:t>
      </w:r>
      <w:r w:rsidR="00F100B4">
        <w:rPr>
          <w:lang w:val="en-US"/>
        </w:rPr>
        <w:t>lost-to-follow-up</w:t>
      </w:r>
      <w:r w:rsidR="00F100B4">
        <w:rPr>
          <w:lang w:val="en-US"/>
        </w:rPr>
        <w:t xml:space="preserve"> or </w:t>
      </w:r>
      <w:r>
        <w:rPr>
          <w:lang w:val="en-US"/>
        </w:rPr>
        <w:t xml:space="preserve">declining </w:t>
      </w:r>
      <w:r w:rsidR="00F100B4">
        <w:rPr>
          <w:lang w:val="en-US"/>
        </w:rPr>
        <w:t>participation</w:t>
      </w:r>
      <w:r w:rsidRPr="00CC129F">
        <w:rPr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"/>
        <w:gridCol w:w="2494"/>
        <w:gridCol w:w="1234"/>
        <w:gridCol w:w="1359"/>
        <w:gridCol w:w="2594"/>
        <w:gridCol w:w="1275"/>
      </w:tblGrid>
      <w:tr w:rsidR="001A50CE" w:rsidRPr="001A50CE" w:rsidTr="001A50CE"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0CE" w:rsidRPr="005D61AB" w:rsidRDefault="001A50CE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Children participating in this follow-up study</w:t>
            </w:r>
          </w:p>
          <w:p w:rsidR="001A50CE" w:rsidRPr="005D61AB" w:rsidRDefault="001A50CE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n = 21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0CE" w:rsidRPr="005D61AB" w:rsidRDefault="001A50CE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Children lost to follow-up or declining participation</w:t>
            </w:r>
          </w:p>
          <w:p w:rsidR="001A50CE" w:rsidRPr="005D61AB" w:rsidRDefault="001A50CE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n = 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0CE" w:rsidRPr="005D61AB" w:rsidRDefault="001A50CE" w:rsidP="001A50CE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i/>
                <w:lang w:val="en-US"/>
              </w:rPr>
              <w:t>p</w:t>
            </w:r>
            <w:r w:rsidRPr="005D61AB">
              <w:rPr>
                <w:lang w:val="en-US"/>
              </w:rPr>
              <w:t>-value</w:t>
            </w:r>
          </w:p>
        </w:tc>
      </w:tr>
      <w:tr w:rsidR="001A50CE" w:rsidRPr="001A50CE" w:rsidTr="001A50CE">
        <w:tc>
          <w:tcPr>
            <w:tcW w:w="39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Gestational characteristics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jc w:val="center"/>
              <w:rPr>
                <w:lang w:val="en-US"/>
              </w:rPr>
            </w:pPr>
          </w:p>
        </w:tc>
      </w:tr>
      <w:tr w:rsidR="001A50CE" w:rsidRPr="005D61AB" w:rsidTr="001A50CE">
        <w:tc>
          <w:tcPr>
            <w:tcW w:w="22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Maternal age (years)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1A50CE" w:rsidRPr="005D61AB" w:rsidRDefault="0052620B" w:rsidP="001D3E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31.2</w:t>
            </w:r>
            <w:r w:rsidR="001A50CE" w:rsidRPr="005D61AB">
              <w:rPr>
                <w:lang w:val="en-US"/>
              </w:rPr>
              <w:t xml:space="preserve"> [</w:t>
            </w:r>
            <w:r w:rsidR="001D3EF6">
              <w:rPr>
                <w:lang w:val="en-US"/>
              </w:rPr>
              <w:t>24.9</w:t>
            </w:r>
            <w:r w:rsidR="001A50CE" w:rsidRPr="005D61AB">
              <w:rPr>
                <w:lang w:val="en-US"/>
              </w:rPr>
              <w:t xml:space="preserve">; </w:t>
            </w:r>
            <w:r w:rsidR="001D3EF6">
              <w:rPr>
                <w:lang w:val="en-US"/>
              </w:rPr>
              <w:t>40.3</w:t>
            </w:r>
            <w:r w:rsidR="001A50CE" w:rsidRPr="005D61AB">
              <w:rPr>
                <w:lang w:val="en-US"/>
              </w:rPr>
              <w:t>]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1A50CE" w:rsidRPr="005D61AB" w:rsidRDefault="0052620B" w:rsidP="001D3E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29.9</w:t>
            </w:r>
            <w:r w:rsidR="001A50CE" w:rsidRPr="005D61AB">
              <w:rPr>
                <w:lang w:val="en-US"/>
              </w:rPr>
              <w:t xml:space="preserve"> [</w:t>
            </w:r>
            <w:r w:rsidR="003A2614">
              <w:rPr>
                <w:lang w:val="en-US"/>
              </w:rPr>
              <w:t>23.2; 40.3</w:t>
            </w:r>
            <w:r w:rsidR="001A50CE" w:rsidRPr="005D61AB">
              <w:rPr>
                <w:lang w:val="en-US"/>
              </w:rPr>
              <w:t>]</w:t>
            </w:r>
          </w:p>
        </w:tc>
        <w:tc>
          <w:tcPr>
            <w:tcW w:w="1275" w:type="dxa"/>
            <w:vAlign w:val="center"/>
          </w:tcPr>
          <w:p w:rsidR="001A50CE" w:rsidRPr="0052620B" w:rsidRDefault="0052620B" w:rsidP="001A50CE">
            <w:pPr>
              <w:spacing w:after="0"/>
              <w:jc w:val="center"/>
              <w:rPr>
                <w:lang w:val="en-US"/>
              </w:rPr>
            </w:pPr>
            <w:r w:rsidRPr="0052620B">
              <w:rPr>
                <w:lang w:val="en-US"/>
              </w:rPr>
              <w:t>0.413</w:t>
            </w:r>
          </w:p>
        </w:tc>
      </w:tr>
      <w:tr w:rsidR="001A50CE" w:rsidRPr="0052620B" w:rsidTr="001A50CE">
        <w:tc>
          <w:tcPr>
            <w:tcW w:w="22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Maternal BMI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1A50CE" w:rsidRPr="005D61AB" w:rsidRDefault="0052620B" w:rsidP="001D3E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25.0</w:t>
            </w:r>
            <w:r w:rsidR="001A50CE" w:rsidRPr="005D61AB">
              <w:rPr>
                <w:lang w:val="en-US"/>
              </w:rPr>
              <w:t xml:space="preserve"> [</w:t>
            </w:r>
            <w:r w:rsidR="001D3EF6">
              <w:rPr>
                <w:lang w:val="en-US"/>
              </w:rPr>
              <w:t>17.7; 36.0</w:t>
            </w:r>
            <w:r w:rsidR="001A50CE" w:rsidRPr="005D61AB">
              <w:rPr>
                <w:lang w:val="en-US"/>
              </w:rPr>
              <w:t>]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1A50CE" w:rsidRPr="005D61AB" w:rsidRDefault="001A50CE" w:rsidP="001D3EF6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2</w:t>
            </w:r>
            <w:r w:rsidR="0052620B">
              <w:rPr>
                <w:lang w:val="en-US"/>
              </w:rPr>
              <w:t>3.4</w:t>
            </w:r>
            <w:r w:rsidRPr="005D61AB">
              <w:rPr>
                <w:lang w:val="en-US"/>
              </w:rPr>
              <w:t xml:space="preserve"> [</w:t>
            </w:r>
            <w:r w:rsidR="003A2614">
              <w:rPr>
                <w:lang w:val="en-US"/>
              </w:rPr>
              <w:t>18.8; 30.3</w:t>
            </w:r>
            <w:r w:rsidRPr="005D61AB">
              <w:rPr>
                <w:lang w:val="en-US"/>
              </w:rPr>
              <w:t>]</w:t>
            </w:r>
          </w:p>
        </w:tc>
        <w:tc>
          <w:tcPr>
            <w:tcW w:w="1275" w:type="dxa"/>
            <w:vAlign w:val="center"/>
          </w:tcPr>
          <w:p w:rsidR="001A50CE" w:rsidRPr="005D61AB" w:rsidRDefault="0052620B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0.320</w:t>
            </w:r>
          </w:p>
        </w:tc>
      </w:tr>
      <w:tr w:rsidR="001A50CE" w:rsidRPr="0052620B" w:rsidTr="001A50CE">
        <w:tc>
          <w:tcPr>
            <w:tcW w:w="22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Maternal smoking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1A50CE" w:rsidRPr="005D61AB" w:rsidRDefault="00CB42B5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 (29)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1A50CE" w:rsidRPr="005D61AB" w:rsidRDefault="00CB42B5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 (35)</w:t>
            </w:r>
          </w:p>
        </w:tc>
        <w:tc>
          <w:tcPr>
            <w:tcW w:w="1275" w:type="dxa"/>
            <w:vAlign w:val="center"/>
          </w:tcPr>
          <w:p w:rsidR="001A50CE" w:rsidRPr="005D61AB" w:rsidRDefault="00CB42B5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0.658</w:t>
            </w:r>
          </w:p>
        </w:tc>
      </w:tr>
      <w:tr w:rsidR="001A50CE" w:rsidRPr="0052620B" w:rsidTr="001A50CE">
        <w:tc>
          <w:tcPr>
            <w:tcW w:w="22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Preeclampsia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1A50CE" w:rsidRPr="005D61AB" w:rsidRDefault="002F2843" w:rsidP="008A772B">
            <w:pPr>
              <w:spacing w:after="0"/>
              <w:jc w:val="center"/>
              <w:rPr>
                <w:lang w:val="en-US"/>
              </w:rPr>
            </w:pPr>
            <w:r w:rsidRPr="002F2843">
              <w:rPr>
                <w:lang w:val="en-US"/>
              </w:rPr>
              <w:t>4</w:t>
            </w:r>
            <w:r w:rsidR="001A50CE" w:rsidRPr="002F2843">
              <w:rPr>
                <w:lang w:val="en-US"/>
              </w:rPr>
              <w:t xml:space="preserve"> (</w:t>
            </w:r>
            <w:r w:rsidR="008A772B" w:rsidRPr="002F2843">
              <w:rPr>
                <w:lang w:val="en-US"/>
              </w:rPr>
              <w:t>19</w:t>
            </w:r>
            <w:r w:rsidR="001A50CE" w:rsidRPr="002F2843">
              <w:rPr>
                <w:lang w:val="en-US"/>
              </w:rPr>
              <w:t>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1A50CE" w:rsidRPr="005D61AB" w:rsidRDefault="002F2843" w:rsidP="008A772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1A50CE" w:rsidRPr="005D61AB">
              <w:rPr>
                <w:lang w:val="en-US"/>
              </w:rPr>
              <w:t xml:space="preserve"> (</w:t>
            </w:r>
            <w:r w:rsidR="008A772B">
              <w:rPr>
                <w:lang w:val="en-US"/>
              </w:rPr>
              <w:t>20</w:t>
            </w:r>
            <w:r w:rsidR="001A50CE" w:rsidRPr="005D61AB">
              <w:rPr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1A50CE" w:rsidRPr="005D61AB" w:rsidRDefault="008A772B" w:rsidP="001A50CE">
            <w:pPr>
              <w:spacing w:after="0"/>
              <w:jc w:val="center"/>
              <w:rPr>
                <w:lang w:val="en-US"/>
              </w:rPr>
            </w:pPr>
            <w:r w:rsidRPr="002F2843">
              <w:rPr>
                <w:lang w:val="en-US"/>
              </w:rPr>
              <w:t>0.939</w:t>
            </w:r>
          </w:p>
        </w:tc>
      </w:tr>
      <w:tr w:rsidR="001A50CE" w:rsidRPr="0052620B" w:rsidTr="001A50CE">
        <w:tc>
          <w:tcPr>
            <w:tcW w:w="22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HELLP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1A50CE" w:rsidRPr="005D61AB" w:rsidRDefault="008A772B" w:rsidP="008A772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A50CE" w:rsidRPr="005D61AB">
              <w:rPr>
                <w:lang w:val="en-US"/>
              </w:rPr>
              <w:t xml:space="preserve"> (1</w:t>
            </w:r>
            <w:r>
              <w:rPr>
                <w:lang w:val="en-US"/>
              </w:rPr>
              <w:t>0</w:t>
            </w:r>
            <w:r w:rsidR="001A50CE" w:rsidRPr="005D61AB">
              <w:rPr>
                <w:lang w:val="en-US"/>
              </w:rPr>
              <w:t>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1A50CE" w:rsidRPr="005D61AB" w:rsidRDefault="001A50CE" w:rsidP="008A772B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1 (</w:t>
            </w:r>
            <w:r w:rsidR="008A772B">
              <w:rPr>
                <w:lang w:val="en-US"/>
              </w:rPr>
              <w:t>5</w:t>
            </w:r>
            <w:r w:rsidRPr="005D61AB">
              <w:rPr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1A50CE" w:rsidRPr="005D61AB" w:rsidRDefault="008A772B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0.578</w:t>
            </w:r>
          </w:p>
        </w:tc>
      </w:tr>
      <w:tr w:rsidR="001A50CE" w:rsidRPr="005D61AB" w:rsidTr="001A50CE">
        <w:tc>
          <w:tcPr>
            <w:tcW w:w="22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1A50CE" w:rsidRPr="005D61AB" w:rsidRDefault="001A50CE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PPROM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1A50CE" w:rsidRPr="005D61AB" w:rsidRDefault="008A772B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 (10)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1A50CE" w:rsidRPr="005D61AB" w:rsidRDefault="008A772B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 (0)</w:t>
            </w:r>
          </w:p>
        </w:tc>
        <w:tc>
          <w:tcPr>
            <w:tcW w:w="1275" w:type="dxa"/>
            <w:vAlign w:val="center"/>
          </w:tcPr>
          <w:p w:rsidR="001A50CE" w:rsidRPr="005D61AB" w:rsidRDefault="008A772B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0.157</w:t>
            </w:r>
          </w:p>
        </w:tc>
      </w:tr>
      <w:tr w:rsidR="00CC6AB6" w:rsidRPr="005D61AB" w:rsidTr="00983D71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</w:tcPr>
          <w:p w:rsidR="00CC6AB6" w:rsidRPr="005D61AB" w:rsidRDefault="00CC6AB6" w:rsidP="00FA0CCA">
            <w:pPr>
              <w:pStyle w:val="Tekstzonderopmaak"/>
              <w:rPr>
                <w:rFonts w:asciiTheme="minorHAnsi" w:eastAsiaTheme="minorEastAsia" w:hAnsiTheme="minorHAnsi"/>
                <w:szCs w:val="22"/>
                <w:lang w:val="en-US" w:eastAsia="nl-NL"/>
              </w:rPr>
            </w:pPr>
            <w:r w:rsidRPr="005D61AB">
              <w:rPr>
                <w:rFonts w:asciiTheme="minorHAnsi" w:eastAsiaTheme="minorEastAsia" w:hAnsiTheme="minorHAnsi"/>
                <w:szCs w:val="22"/>
                <w:lang w:val="en-US" w:eastAsia="nl-NL"/>
              </w:rPr>
              <w:t>Abnormal flow UA</w:t>
            </w:r>
          </w:p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(PI &gt; 95th percentile or absent/reversed flow)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Default="00CC6AB6" w:rsidP="00873867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73867">
              <w:rPr>
                <w:lang w:val="en-US"/>
              </w:rPr>
              <w:t>4 (</w:t>
            </w:r>
            <w:r w:rsidR="00983D71">
              <w:rPr>
                <w:lang w:val="en-US"/>
              </w:rPr>
              <w:t>67)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Default="00983D71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12 (60)</w:t>
            </w:r>
          </w:p>
        </w:tc>
        <w:tc>
          <w:tcPr>
            <w:tcW w:w="1275" w:type="dxa"/>
            <w:vAlign w:val="center"/>
          </w:tcPr>
          <w:p w:rsidR="00CC6AB6" w:rsidRDefault="00983D71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0.658</w:t>
            </w:r>
          </w:p>
        </w:tc>
      </w:tr>
      <w:tr w:rsidR="00CC6AB6" w:rsidRPr="005D61AB" w:rsidTr="00983D71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</w:tcPr>
          <w:p w:rsidR="00CC6AB6" w:rsidRDefault="00CC6AB6" w:rsidP="00FA0CCA">
            <w:pPr>
              <w:pStyle w:val="Tekstzonderopmaak"/>
              <w:rPr>
                <w:rFonts w:asciiTheme="minorHAnsi" w:eastAsiaTheme="minorEastAsia" w:hAnsiTheme="minorHAnsi"/>
                <w:szCs w:val="22"/>
                <w:lang w:val="en-US" w:eastAsia="nl-NL"/>
              </w:rPr>
            </w:pPr>
            <w:r>
              <w:rPr>
                <w:rFonts w:asciiTheme="minorHAnsi" w:eastAsiaTheme="minorEastAsia" w:hAnsiTheme="minorHAnsi"/>
                <w:szCs w:val="22"/>
                <w:lang w:val="en-US" w:eastAsia="nl-NL"/>
              </w:rPr>
              <w:t xml:space="preserve">Fetal brain-sparing </w:t>
            </w:r>
          </w:p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(CPR &lt;1)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 (38)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 (32)</w:t>
            </w:r>
          </w:p>
        </w:tc>
        <w:tc>
          <w:tcPr>
            <w:tcW w:w="1275" w:type="dxa"/>
            <w:vAlign w:val="center"/>
          </w:tcPr>
          <w:p w:rsidR="00CC6AB6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0.666</w:t>
            </w:r>
          </w:p>
        </w:tc>
      </w:tr>
      <w:tr w:rsidR="00CC6AB6" w:rsidRPr="005D61AB" w:rsidTr="001A50CE"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Cesarean section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15 (71)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11 (55)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0.275</w:t>
            </w:r>
          </w:p>
        </w:tc>
      </w:tr>
      <w:tr w:rsidR="00CC6AB6" w:rsidRPr="005D61AB" w:rsidTr="001A50CE">
        <w:tc>
          <w:tcPr>
            <w:tcW w:w="27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Neonatal characteristics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</w:p>
        </w:tc>
      </w:tr>
      <w:tr w:rsidR="00CC6AB6" w:rsidRPr="005D61AB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Female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12 (57)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 (50)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0.647</w:t>
            </w:r>
          </w:p>
        </w:tc>
      </w:tr>
      <w:tr w:rsidR="00CC6AB6" w:rsidRPr="001D3EF6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Gestational age (weeks)</w:t>
            </w:r>
            <w:r w:rsidRPr="00E755AF">
              <w:rPr>
                <w:vertAlign w:val="superscript"/>
                <w:lang w:val="en-US"/>
              </w:rPr>
              <w:t>†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33.4</w:t>
            </w:r>
            <w:r w:rsidRPr="005D61AB">
              <w:rPr>
                <w:lang w:val="en-US"/>
              </w:rPr>
              <w:t xml:space="preserve"> [</w:t>
            </w:r>
            <w:r>
              <w:rPr>
                <w:lang w:val="en-US"/>
              </w:rPr>
              <w:t>28.0</w:t>
            </w:r>
            <w:r w:rsidRPr="005D61AB">
              <w:rPr>
                <w:lang w:val="en-US"/>
              </w:rPr>
              <w:t xml:space="preserve">; </w:t>
            </w:r>
            <w:r>
              <w:rPr>
                <w:lang w:val="en-US"/>
              </w:rPr>
              <w:t>39.9</w:t>
            </w:r>
            <w:r w:rsidRPr="005D61AB">
              <w:rPr>
                <w:lang w:val="en-US"/>
              </w:rPr>
              <w:t>]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37.4 [28.0; 39.6]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0.267</w:t>
            </w:r>
          </w:p>
        </w:tc>
      </w:tr>
      <w:tr w:rsidR="00CC6AB6" w:rsidRPr="001D3EF6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Birth weight (z-score)</w:t>
            </w:r>
            <w:r w:rsidRPr="00E755AF">
              <w:rPr>
                <w:vertAlign w:val="superscript"/>
                <w:lang w:val="en-US"/>
              </w:rPr>
              <w:t>†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-2.62</w:t>
            </w:r>
            <w:r w:rsidRPr="005D61AB">
              <w:rPr>
                <w:lang w:val="en-US"/>
              </w:rPr>
              <w:t xml:space="preserve"> [-4.66; -</w:t>
            </w:r>
            <w:r>
              <w:rPr>
                <w:lang w:val="en-US"/>
              </w:rPr>
              <w:t>0.29</w:t>
            </w:r>
            <w:r w:rsidRPr="005D61AB">
              <w:rPr>
                <w:lang w:val="en-US"/>
              </w:rPr>
              <w:t>]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-2.</w:t>
            </w:r>
            <w:r>
              <w:rPr>
                <w:lang w:val="en-US"/>
              </w:rPr>
              <w:t>64 [-5.94; 1.66</w:t>
            </w:r>
            <w:r w:rsidRPr="005D61AB">
              <w:rPr>
                <w:lang w:val="en-US"/>
              </w:rPr>
              <w:t>]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0.979</w:t>
            </w:r>
          </w:p>
        </w:tc>
      </w:tr>
      <w:tr w:rsidR="00CC6AB6" w:rsidRPr="0052620B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Head circumference (z-score)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-1.</w:t>
            </w:r>
            <w:r>
              <w:rPr>
                <w:lang w:val="en-US"/>
              </w:rPr>
              <w:t>97</w:t>
            </w:r>
            <w:r w:rsidRPr="005D61AB">
              <w:rPr>
                <w:lang w:val="en-US"/>
              </w:rPr>
              <w:t xml:space="preserve"> </w:t>
            </w:r>
            <w:r w:rsidRPr="002F2843">
              <w:rPr>
                <w:lang w:val="en-US"/>
              </w:rPr>
              <w:t>[-3.62</w:t>
            </w:r>
            <w:r w:rsidRPr="005D61AB">
              <w:rPr>
                <w:lang w:val="en-US"/>
              </w:rPr>
              <w:t>; -0.43]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-</w:t>
            </w:r>
            <w:r>
              <w:rPr>
                <w:lang w:val="en-US"/>
              </w:rPr>
              <w:t>2.20 [-4.31; -0.31</w:t>
            </w:r>
            <w:r w:rsidRPr="005D61AB">
              <w:rPr>
                <w:lang w:val="en-US"/>
              </w:rPr>
              <w:t>]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0.431</w:t>
            </w:r>
          </w:p>
        </w:tc>
      </w:tr>
      <w:tr w:rsidR="00CC6AB6" w:rsidRPr="0052620B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Apgar score at 5 minutes</w:t>
            </w:r>
            <w:r w:rsidRPr="00E755AF">
              <w:rPr>
                <w:vertAlign w:val="superscript"/>
                <w:lang w:val="en-US"/>
              </w:rPr>
              <w:t>†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5D61AB">
              <w:rPr>
                <w:lang w:val="en-US"/>
              </w:rPr>
              <w:t xml:space="preserve"> [4; 10]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9 [</w:t>
            </w:r>
            <w:r>
              <w:rPr>
                <w:lang w:val="en-US"/>
              </w:rPr>
              <w:t>7; 10</w:t>
            </w:r>
            <w:r w:rsidRPr="005D61AB">
              <w:rPr>
                <w:lang w:val="en-US"/>
              </w:rPr>
              <w:t>]</w:t>
            </w:r>
          </w:p>
        </w:tc>
        <w:tc>
          <w:tcPr>
            <w:tcW w:w="1275" w:type="dxa"/>
            <w:vAlign w:val="center"/>
          </w:tcPr>
          <w:p w:rsidR="00CC6AB6" w:rsidRPr="00DF1B67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0.050*</w:t>
            </w:r>
          </w:p>
        </w:tc>
      </w:tr>
      <w:tr w:rsidR="00CC6AB6" w:rsidRPr="0052620B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Admission to NICU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 w:rsidRPr="00796A65">
              <w:rPr>
                <w:lang w:val="en-US"/>
              </w:rPr>
              <w:t>15</w:t>
            </w:r>
            <w:r>
              <w:rPr>
                <w:lang w:val="en-US"/>
              </w:rPr>
              <w:t xml:space="preserve"> (71)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 (40)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0.043*</w:t>
            </w:r>
          </w:p>
        </w:tc>
      </w:tr>
      <w:tr w:rsidR="00CC6AB6" w:rsidRPr="005D61AB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Mechanical ventilation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 (43)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 (20)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0.116</w:t>
            </w:r>
          </w:p>
        </w:tc>
      </w:tr>
      <w:tr w:rsidR="00CC6AB6" w:rsidRPr="005D61AB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proofErr w:type="spellStart"/>
            <w:r w:rsidRPr="005D61AB">
              <w:rPr>
                <w:lang w:val="en-US"/>
              </w:rPr>
              <w:t>Bronchopulmonary</w:t>
            </w:r>
            <w:proofErr w:type="spellEnd"/>
            <w:r w:rsidRPr="005D61AB">
              <w:rPr>
                <w:lang w:val="en-US"/>
              </w:rPr>
              <w:t xml:space="preserve"> dysplasia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 (10)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8A772B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1 (</w:t>
            </w:r>
            <w:r>
              <w:rPr>
                <w:lang w:val="en-US"/>
              </w:rPr>
              <w:t>5</w:t>
            </w:r>
            <w:r w:rsidRPr="005D61AB">
              <w:rPr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0.578</w:t>
            </w:r>
          </w:p>
        </w:tc>
      </w:tr>
      <w:tr w:rsidR="00CC6AB6" w:rsidRPr="005D61AB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Necrotizing enterocolitis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0 (0)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0 (0)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  <w:tr w:rsidR="00CC6AB6" w:rsidRPr="005D61AB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5D61AB">
              <w:rPr>
                <w:lang w:val="en-US"/>
              </w:rPr>
              <w:t>epsis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 (5</w:t>
            </w:r>
            <w:r w:rsidRPr="005D61AB">
              <w:rPr>
                <w:lang w:val="en-US"/>
              </w:rPr>
              <w:t>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 (15</w:t>
            </w:r>
            <w:r w:rsidRPr="005D61AB">
              <w:rPr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0.269</w:t>
            </w:r>
          </w:p>
        </w:tc>
      </w:tr>
      <w:tr w:rsidR="00CC6AB6" w:rsidRPr="005D61AB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IVH/PVL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0 (0)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0 (0)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  <w:tr w:rsidR="00CC6AB6" w:rsidRPr="005D61AB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52620B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r</w:t>
            </w:r>
            <w:r w:rsidRPr="005D61AB">
              <w:rPr>
                <w:vertAlign w:val="subscript"/>
                <w:lang w:val="en-US"/>
              </w:rPr>
              <w:t>c</w:t>
            </w:r>
            <w:r w:rsidRPr="005D61AB">
              <w:rPr>
                <w:lang w:val="en-US"/>
              </w:rPr>
              <w:t>SO</w:t>
            </w:r>
            <w:r w:rsidRPr="005D61AB">
              <w:rPr>
                <w:vertAlign w:val="subscript"/>
                <w:lang w:val="en-US"/>
              </w:rPr>
              <w:t>2</w:t>
            </w:r>
            <w:r w:rsidRPr="005D61AB">
              <w:rPr>
                <w:lang w:val="en-US"/>
              </w:rPr>
              <w:t xml:space="preserve"> on postnatal day 1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8</w:t>
            </w:r>
            <w:r>
              <w:rPr>
                <w:lang w:val="en-US"/>
              </w:rPr>
              <w:t>0</w:t>
            </w:r>
            <w:r w:rsidRPr="005D61AB">
              <w:rPr>
                <w:lang w:val="en-US"/>
              </w:rPr>
              <w:t xml:space="preserve"> [</w:t>
            </w:r>
            <w:r>
              <w:rPr>
                <w:lang w:val="en-US"/>
              </w:rPr>
              <w:t>56</w:t>
            </w:r>
            <w:r w:rsidRPr="005D61AB">
              <w:rPr>
                <w:lang w:val="en-US"/>
              </w:rPr>
              <w:t>; 9</w:t>
            </w:r>
            <w:r>
              <w:rPr>
                <w:lang w:val="en-US"/>
              </w:rPr>
              <w:t>2</w:t>
            </w:r>
            <w:r w:rsidRPr="005D61AB">
              <w:rPr>
                <w:lang w:val="en-US"/>
              </w:rPr>
              <w:t xml:space="preserve">], n = </w:t>
            </w:r>
            <w:r>
              <w:rPr>
                <w:lang w:val="en-US"/>
              </w:rPr>
              <w:t>21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8</w:t>
            </w:r>
            <w:r>
              <w:rPr>
                <w:lang w:val="en-US"/>
              </w:rPr>
              <w:t xml:space="preserve">0 </w:t>
            </w:r>
            <w:r w:rsidRPr="005D61AB">
              <w:rPr>
                <w:lang w:val="en-US"/>
              </w:rPr>
              <w:t>[</w:t>
            </w:r>
            <w:r>
              <w:rPr>
                <w:lang w:val="en-US"/>
              </w:rPr>
              <w:t>61; 95</w:t>
            </w:r>
            <w:r w:rsidRPr="005D61AB">
              <w:rPr>
                <w:lang w:val="en-US"/>
              </w:rPr>
              <w:t xml:space="preserve">], n = </w:t>
            </w:r>
            <w:r>
              <w:rPr>
                <w:lang w:val="en-US"/>
              </w:rPr>
              <w:t>19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1.000</w:t>
            </w:r>
          </w:p>
        </w:tc>
      </w:tr>
      <w:tr w:rsidR="00CC6AB6" w:rsidRPr="005D61AB" w:rsidTr="001A50CE">
        <w:tc>
          <w:tcPr>
            <w:tcW w:w="22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r</w:t>
            </w:r>
            <w:r w:rsidRPr="005D61AB">
              <w:rPr>
                <w:vertAlign w:val="subscript"/>
                <w:lang w:val="en-US"/>
              </w:rPr>
              <w:t>c</w:t>
            </w:r>
            <w:r w:rsidRPr="005D61AB">
              <w:rPr>
                <w:lang w:val="en-US"/>
              </w:rPr>
              <w:t>SO</w:t>
            </w:r>
            <w:r w:rsidRPr="005D61AB">
              <w:rPr>
                <w:vertAlign w:val="subscript"/>
                <w:lang w:val="en-US"/>
              </w:rPr>
              <w:t>2</w:t>
            </w:r>
            <w:r w:rsidRPr="005D61AB">
              <w:rPr>
                <w:lang w:val="en-US"/>
              </w:rPr>
              <w:t xml:space="preserve"> on postnatal day 2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8</w:t>
            </w:r>
            <w:r>
              <w:rPr>
                <w:lang w:val="en-US"/>
              </w:rPr>
              <w:t>3</w:t>
            </w:r>
            <w:r w:rsidRPr="005D61AB">
              <w:rPr>
                <w:lang w:val="en-US"/>
              </w:rPr>
              <w:t xml:space="preserve"> [</w:t>
            </w:r>
            <w:r>
              <w:rPr>
                <w:lang w:val="en-US"/>
              </w:rPr>
              <w:t>64</w:t>
            </w:r>
            <w:r w:rsidRPr="005D61AB">
              <w:rPr>
                <w:lang w:val="en-US"/>
              </w:rPr>
              <w:t xml:space="preserve">; 94], n = </w:t>
            </w:r>
            <w:r>
              <w:rPr>
                <w:lang w:val="en-US"/>
              </w:rPr>
              <w:t>18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  <w:r w:rsidRPr="005D61AB">
              <w:rPr>
                <w:lang w:val="en-US"/>
              </w:rPr>
              <w:t xml:space="preserve"> [</w:t>
            </w:r>
            <w:r>
              <w:rPr>
                <w:lang w:val="en-US"/>
              </w:rPr>
              <w:t>68; 95</w:t>
            </w:r>
            <w:r w:rsidRPr="005D61AB">
              <w:rPr>
                <w:lang w:val="en-US"/>
              </w:rPr>
              <w:t>], n = 1</w:t>
            </w:r>
            <w:r>
              <w:rPr>
                <w:lang w:val="en-US"/>
              </w:rPr>
              <w:t>9</w:t>
            </w:r>
          </w:p>
        </w:tc>
        <w:tc>
          <w:tcPr>
            <w:tcW w:w="1275" w:type="dxa"/>
            <w:vAlign w:val="center"/>
          </w:tcPr>
          <w:p w:rsidR="00CC6AB6" w:rsidRPr="005D61AB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0.710</w:t>
            </w:r>
          </w:p>
        </w:tc>
      </w:tr>
      <w:tr w:rsidR="00CC6AB6" w:rsidRPr="005D61AB" w:rsidTr="001A50CE">
        <w:tc>
          <w:tcPr>
            <w:tcW w:w="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1A50CE">
            <w:pPr>
              <w:spacing w:after="0"/>
              <w:rPr>
                <w:lang w:val="en-US"/>
              </w:rPr>
            </w:pPr>
            <w:r w:rsidRPr="005D61AB">
              <w:rPr>
                <w:lang w:val="en-US"/>
              </w:rPr>
              <w:t>r</w:t>
            </w:r>
            <w:r w:rsidRPr="005D61AB">
              <w:rPr>
                <w:vertAlign w:val="subscript"/>
                <w:lang w:val="en-US"/>
              </w:rPr>
              <w:t>c</w:t>
            </w:r>
            <w:r w:rsidRPr="005D61AB">
              <w:rPr>
                <w:lang w:val="en-US"/>
              </w:rPr>
              <w:t>SO</w:t>
            </w:r>
            <w:r w:rsidRPr="005D61AB">
              <w:rPr>
                <w:vertAlign w:val="subscript"/>
                <w:lang w:val="en-US"/>
              </w:rPr>
              <w:t>2</w:t>
            </w:r>
            <w:r w:rsidRPr="005D61AB">
              <w:rPr>
                <w:lang w:val="en-US"/>
              </w:rPr>
              <w:t xml:space="preserve"> on postnatal day 3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 w:rsidRPr="005D61AB">
              <w:rPr>
                <w:lang w:val="en-US"/>
              </w:rPr>
              <w:t>8</w:t>
            </w:r>
            <w:r>
              <w:rPr>
                <w:lang w:val="en-US"/>
              </w:rPr>
              <w:t>1</w:t>
            </w:r>
            <w:r w:rsidRPr="005D61AB">
              <w:rPr>
                <w:lang w:val="en-US"/>
              </w:rPr>
              <w:t xml:space="preserve"> [</w:t>
            </w:r>
            <w:r>
              <w:rPr>
                <w:lang w:val="en-US"/>
              </w:rPr>
              <w:t>65</w:t>
            </w:r>
            <w:r w:rsidRPr="005D61AB">
              <w:rPr>
                <w:lang w:val="en-US"/>
              </w:rPr>
              <w:t xml:space="preserve">; 93], n = </w:t>
            </w:r>
            <w:r>
              <w:rPr>
                <w:lang w:val="en-US"/>
              </w:rPr>
              <w:t>17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1D3E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  <w:r w:rsidRPr="005D61AB">
              <w:rPr>
                <w:lang w:val="en-US"/>
              </w:rPr>
              <w:t xml:space="preserve"> [</w:t>
            </w:r>
            <w:r>
              <w:rPr>
                <w:lang w:val="en-US"/>
              </w:rPr>
              <w:t>66; 92</w:t>
            </w:r>
            <w:r w:rsidRPr="005D61AB">
              <w:rPr>
                <w:lang w:val="en-US"/>
              </w:rPr>
              <w:t xml:space="preserve">], n = </w:t>
            </w:r>
            <w:r>
              <w:rPr>
                <w:lang w:val="en-US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C6AB6" w:rsidRPr="00B63DA0" w:rsidRDefault="00CC6AB6" w:rsidP="001A50C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0.709</w:t>
            </w:r>
          </w:p>
        </w:tc>
      </w:tr>
      <w:tr w:rsidR="00CC6AB6" w:rsidRPr="0020438C" w:rsidTr="001A50CE"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AB6" w:rsidRPr="005D61AB" w:rsidRDefault="00CC6AB6" w:rsidP="0020438C">
            <w:pPr>
              <w:spacing w:after="0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Data</w:t>
            </w:r>
            <w:r w:rsidRPr="005D61AB">
              <w:rPr>
                <w:sz w:val="20"/>
                <w:lang w:val="en-US"/>
              </w:rPr>
              <w:t xml:space="preserve"> are presented as </w:t>
            </w:r>
            <w:r>
              <w:rPr>
                <w:sz w:val="20"/>
                <w:lang w:val="en-US"/>
              </w:rPr>
              <w:t>mean/</w:t>
            </w:r>
            <w:r w:rsidRPr="005D61AB">
              <w:rPr>
                <w:sz w:val="20"/>
                <w:lang w:val="en-US"/>
              </w:rPr>
              <w:t>median [</w:t>
            </w:r>
            <w:r>
              <w:rPr>
                <w:sz w:val="20"/>
                <w:lang w:val="en-US"/>
              </w:rPr>
              <w:t xml:space="preserve">total </w:t>
            </w:r>
            <w:r w:rsidRPr="005D61AB">
              <w:rPr>
                <w:sz w:val="20"/>
                <w:lang w:val="en-US"/>
              </w:rPr>
              <w:t xml:space="preserve">range] or absolute number (percentage). </w:t>
            </w:r>
            <w:r w:rsidRPr="00933012">
              <w:rPr>
                <w:sz w:val="20"/>
                <w:vertAlign w:val="superscript"/>
                <w:lang w:val="en-US"/>
              </w:rPr>
              <w:t>†</w:t>
            </w:r>
            <w:r w:rsidRPr="00933012">
              <w:rPr>
                <w:sz w:val="20"/>
                <w:lang w:val="en-US"/>
              </w:rPr>
              <w:t>indicates</w:t>
            </w:r>
            <w:r>
              <w:rPr>
                <w:sz w:val="20"/>
                <w:lang w:val="en-US"/>
              </w:rPr>
              <w:t>,</w:t>
            </w:r>
            <w:r w:rsidRPr="00933012">
              <w:rPr>
                <w:sz w:val="20"/>
                <w:lang w:val="en-US"/>
              </w:rPr>
              <w:t xml:space="preserve"> where a </w:t>
            </w:r>
            <w:r w:rsidRPr="00E755AF">
              <w:rPr>
                <w:sz w:val="20"/>
                <w:lang w:val="en-US"/>
              </w:rPr>
              <w:t xml:space="preserve">Mann-Whitney U test was used </w:t>
            </w:r>
            <w:r>
              <w:rPr>
                <w:sz w:val="20"/>
                <w:lang w:val="en-US"/>
              </w:rPr>
              <w:t xml:space="preserve">and a median is presented due to non-normality of the data. </w:t>
            </w:r>
            <w:r w:rsidRPr="005D61AB">
              <w:rPr>
                <w:sz w:val="20"/>
                <w:lang w:val="en-US"/>
              </w:rPr>
              <w:t xml:space="preserve">* present differences between both groups at </w:t>
            </w:r>
            <w:r w:rsidRPr="005D61AB">
              <w:rPr>
                <w:i/>
                <w:sz w:val="20"/>
                <w:lang w:val="en-US"/>
              </w:rPr>
              <w:t>p</w:t>
            </w:r>
            <w:r>
              <w:rPr>
                <w:sz w:val="20"/>
                <w:lang w:val="en-US"/>
              </w:rPr>
              <w:t xml:space="preserve"> </w:t>
            </w:r>
            <w:r w:rsidR="0020438C">
              <w:rPr>
                <w:sz w:val="20"/>
                <w:lang w:val="en-US"/>
              </w:rPr>
              <w:t>≤</w:t>
            </w:r>
            <w:r>
              <w:rPr>
                <w:sz w:val="20"/>
                <w:lang w:val="en-US"/>
              </w:rPr>
              <w:t xml:space="preserve"> 0.05</w:t>
            </w:r>
            <w:r w:rsidRPr="005D61AB">
              <w:rPr>
                <w:sz w:val="20"/>
                <w:lang w:val="en-US"/>
              </w:rPr>
              <w:t>. BMI, Body Mass Index; CPR, cerebroplacental ratio; HELLP, Syndrome of hemolysis, elevated l</w:t>
            </w:r>
            <w:r>
              <w:rPr>
                <w:sz w:val="20"/>
                <w:lang w:val="en-US"/>
              </w:rPr>
              <w:t>iver enzymes, and low platelets</w:t>
            </w:r>
            <w:r w:rsidRPr="005D61AB">
              <w:rPr>
                <w:sz w:val="20"/>
                <w:lang w:val="en-US"/>
              </w:rPr>
              <w:t xml:space="preserve">; IVH, </w:t>
            </w:r>
            <w:proofErr w:type="spellStart"/>
            <w:r w:rsidRPr="005D61AB">
              <w:rPr>
                <w:sz w:val="20"/>
                <w:lang w:val="en-US"/>
              </w:rPr>
              <w:t>intraventricular</w:t>
            </w:r>
            <w:proofErr w:type="spellEnd"/>
            <w:r w:rsidRPr="005D61AB">
              <w:rPr>
                <w:sz w:val="20"/>
                <w:lang w:val="en-US"/>
              </w:rPr>
              <w:t xml:space="preserve"> hemorrhage; NICU, neonatal intensive care unit; </w:t>
            </w:r>
            <w:r>
              <w:rPr>
                <w:sz w:val="20"/>
                <w:lang w:val="en-US"/>
              </w:rPr>
              <w:t xml:space="preserve">PI, </w:t>
            </w:r>
            <w:proofErr w:type="spellStart"/>
            <w:r>
              <w:rPr>
                <w:sz w:val="20"/>
                <w:lang w:val="en-US"/>
              </w:rPr>
              <w:t>pulsatility</w:t>
            </w:r>
            <w:proofErr w:type="spellEnd"/>
            <w:r>
              <w:rPr>
                <w:sz w:val="20"/>
                <w:lang w:val="en-US"/>
              </w:rPr>
              <w:t xml:space="preserve"> index</w:t>
            </w:r>
            <w:r w:rsidRPr="005D61AB">
              <w:rPr>
                <w:sz w:val="20"/>
                <w:lang w:val="en-US"/>
              </w:rPr>
              <w:t xml:space="preserve">; PPROM, prolonged premature rupture of membranes (&gt;12 hours); PVL, periventricular </w:t>
            </w:r>
            <w:proofErr w:type="spellStart"/>
            <w:r w:rsidRPr="005D61AB">
              <w:rPr>
                <w:sz w:val="20"/>
                <w:lang w:val="en-US"/>
              </w:rPr>
              <w:t>leukomalacia</w:t>
            </w:r>
            <w:proofErr w:type="spellEnd"/>
            <w:r w:rsidRPr="005D61AB">
              <w:rPr>
                <w:sz w:val="20"/>
                <w:lang w:val="en-US"/>
              </w:rPr>
              <w:t>; r</w:t>
            </w:r>
            <w:r w:rsidRPr="005D61AB">
              <w:rPr>
                <w:sz w:val="20"/>
                <w:vertAlign w:val="subscript"/>
                <w:lang w:val="en-US"/>
              </w:rPr>
              <w:t>c</w:t>
            </w:r>
            <w:r w:rsidRPr="005D61AB">
              <w:rPr>
                <w:sz w:val="20"/>
                <w:lang w:val="en-US"/>
              </w:rPr>
              <w:t>SO</w:t>
            </w:r>
            <w:r w:rsidRPr="005D61AB">
              <w:rPr>
                <w:sz w:val="20"/>
                <w:vertAlign w:val="subscript"/>
                <w:lang w:val="en-US"/>
              </w:rPr>
              <w:t>2</w:t>
            </w:r>
            <w:r w:rsidRPr="005D61AB">
              <w:rPr>
                <w:sz w:val="20"/>
                <w:lang w:val="en-US"/>
              </w:rPr>
              <w:t>, regional cerebral oxygen saturation (measured with near-infrared spec</w:t>
            </w:r>
            <w:r>
              <w:rPr>
                <w:sz w:val="20"/>
                <w:lang w:val="en-US"/>
              </w:rPr>
              <w:t>troscopy); UA, umbilical artery</w:t>
            </w:r>
            <w:r w:rsidRPr="005D61AB">
              <w:rPr>
                <w:sz w:val="20"/>
                <w:lang w:val="en-US"/>
              </w:rPr>
              <w:t>.</w:t>
            </w:r>
          </w:p>
        </w:tc>
      </w:tr>
    </w:tbl>
    <w:p w:rsidR="001A50CE" w:rsidRDefault="001A50CE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1231B2" w:rsidRPr="00D71FAD" w:rsidRDefault="001231B2" w:rsidP="001231B2">
      <w:pPr>
        <w:spacing w:after="0"/>
        <w:jc w:val="both"/>
        <w:rPr>
          <w:lang w:val="en-US"/>
        </w:rPr>
      </w:pPr>
      <w:r w:rsidRPr="00D71FAD">
        <w:rPr>
          <w:b/>
          <w:lang w:val="en-US"/>
        </w:rPr>
        <w:lastRenderedPageBreak/>
        <w:t xml:space="preserve">Table </w:t>
      </w:r>
      <w:r>
        <w:rPr>
          <w:b/>
          <w:lang w:val="en-US"/>
        </w:rPr>
        <w:t>S3</w:t>
      </w:r>
      <w:r w:rsidRPr="00D71FAD">
        <w:rPr>
          <w:b/>
          <w:lang w:val="en-US"/>
        </w:rPr>
        <w:t>.</w:t>
      </w:r>
      <w:r w:rsidRPr="00D71FAD">
        <w:rPr>
          <w:lang w:val="en-US"/>
        </w:rPr>
        <w:t xml:space="preserve"> Correlation </w:t>
      </w:r>
      <w:r>
        <w:rPr>
          <w:lang w:val="en-US"/>
        </w:rPr>
        <w:t xml:space="preserve">coefficients </w:t>
      </w:r>
      <w:r w:rsidRPr="00D71FAD">
        <w:rPr>
          <w:lang w:val="en-US"/>
        </w:rPr>
        <w:t xml:space="preserve">between the methylation levels of individual </w:t>
      </w:r>
      <w:proofErr w:type="spellStart"/>
      <w:r w:rsidRPr="00D71FAD">
        <w:rPr>
          <w:lang w:val="en-US"/>
        </w:rPr>
        <w:t>CpG</w:t>
      </w:r>
      <w:proofErr w:type="spellEnd"/>
      <w:r w:rsidRPr="00D71FAD">
        <w:rPr>
          <w:lang w:val="en-US"/>
        </w:rPr>
        <w:t xml:space="preserve"> sites per gene (location).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120"/>
        <w:gridCol w:w="406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1231B2" w:rsidRPr="008C5D92" w:rsidTr="001A50CE"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Gene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231B2" w:rsidRPr="008C5D92" w:rsidRDefault="001231B2" w:rsidP="001A50CE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8C5D92">
              <w:rPr>
                <w:lang w:val="en-US"/>
              </w:rPr>
              <w:t>CpG</w:t>
            </w:r>
            <w:proofErr w:type="spellEnd"/>
            <w:r w:rsidRPr="008C5D92">
              <w:rPr>
                <w:lang w:val="en-US"/>
              </w:rPr>
              <w:t xml:space="preserve"> site</w:t>
            </w:r>
          </w:p>
        </w:tc>
      </w:tr>
      <w:tr w:rsidR="001231B2" w:rsidRPr="008C5D92" w:rsidTr="001A50CE">
        <w:tc>
          <w:tcPr>
            <w:tcW w:w="1120" w:type="dxa"/>
            <w:vMerge w:val="restart"/>
            <w:tcBorders>
              <w:top w:val="single" w:sz="4" w:space="0" w:color="auto"/>
            </w:tcBorders>
            <w:vAlign w:val="center"/>
          </w:tcPr>
          <w:p w:rsidR="001231B2" w:rsidRPr="008C5D92" w:rsidRDefault="001231B2" w:rsidP="001A50CE">
            <w:pPr>
              <w:spacing w:after="0"/>
              <w:rPr>
                <w:i/>
                <w:lang w:val="en-US"/>
              </w:rPr>
            </w:pPr>
            <w:r w:rsidRPr="008C5D92">
              <w:rPr>
                <w:i/>
                <w:lang w:val="en-US"/>
              </w:rPr>
              <w:t>HIF1A</w:t>
            </w: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</w:tr>
      <w:tr w:rsidR="001231B2" w:rsidRPr="008C5D92" w:rsidTr="001A50CE">
        <w:tc>
          <w:tcPr>
            <w:tcW w:w="1120" w:type="dxa"/>
            <w:vMerge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406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2</w:t>
            </w:r>
          </w:p>
        </w:tc>
        <w:tc>
          <w:tcPr>
            <w:tcW w:w="956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0.064</w:t>
            </w: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--</w:t>
            </w: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6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</w:tr>
      <w:tr w:rsidR="001231B2" w:rsidRPr="008C5D92" w:rsidTr="001A50CE">
        <w:tc>
          <w:tcPr>
            <w:tcW w:w="1120" w:type="dxa"/>
            <w:vMerge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406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3</w:t>
            </w:r>
          </w:p>
        </w:tc>
        <w:tc>
          <w:tcPr>
            <w:tcW w:w="956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-0.051</w:t>
            </w: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0.259</w:t>
            </w: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--</w:t>
            </w: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6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</w:tr>
      <w:tr w:rsidR="001231B2" w:rsidRPr="008C5D92" w:rsidTr="001A50CE">
        <w:tc>
          <w:tcPr>
            <w:tcW w:w="1120" w:type="dxa"/>
            <w:vMerge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406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4</w:t>
            </w:r>
          </w:p>
        </w:tc>
        <w:tc>
          <w:tcPr>
            <w:tcW w:w="956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0.005</w:t>
            </w:r>
          </w:p>
        </w:tc>
        <w:tc>
          <w:tcPr>
            <w:tcW w:w="957" w:type="dxa"/>
            <w:vAlign w:val="center"/>
          </w:tcPr>
          <w:p w:rsidR="001231B2" w:rsidRPr="008C5D92" w:rsidRDefault="004E2215" w:rsidP="001A50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0.468*</w:t>
            </w: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0.302</w:t>
            </w: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--</w:t>
            </w:r>
          </w:p>
        </w:tc>
        <w:tc>
          <w:tcPr>
            <w:tcW w:w="956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</w:p>
        </w:tc>
        <w:tc>
          <w:tcPr>
            <w:tcW w:w="406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5</w:t>
            </w:r>
          </w:p>
        </w:tc>
        <w:tc>
          <w:tcPr>
            <w:tcW w:w="956" w:type="dxa"/>
            <w:vAlign w:val="center"/>
          </w:tcPr>
          <w:p w:rsidR="001231B2" w:rsidRPr="008C5D92" w:rsidRDefault="001231B2" w:rsidP="001A50CE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0.268</w:t>
            </w:r>
          </w:p>
        </w:tc>
        <w:tc>
          <w:tcPr>
            <w:tcW w:w="957" w:type="dxa"/>
            <w:vAlign w:val="center"/>
          </w:tcPr>
          <w:p w:rsidR="001231B2" w:rsidRPr="008C5D92" w:rsidRDefault="001231B2" w:rsidP="004E2215">
            <w:pPr>
              <w:spacing w:after="0"/>
              <w:rPr>
                <w:lang w:val="en-US"/>
              </w:rPr>
            </w:pPr>
            <w:r w:rsidRPr="008C5D92">
              <w:rPr>
                <w:lang w:val="en-US"/>
              </w:rPr>
              <w:t>0.423</w:t>
            </w:r>
            <w:r w:rsidR="004E2215" w:rsidRPr="004E2215">
              <w:rPr>
                <w:vertAlign w:val="superscript"/>
                <w:lang w:val="en-US"/>
              </w:rPr>
              <w:t>#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-0.108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0.350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6</w:t>
            </w:r>
          </w:p>
        </w:tc>
        <w:tc>
          <w:tcPr>
            <w:tcW w:w="956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0.391</w:t>
            </w:r>
            <w:r w:rsidRPr="004E2215">
              <w:rPr>
                <w:vertAlign w:val="superscript"/>
              </w:rPr>
              <w:t>#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0.162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0.223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0.319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0.029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7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0.264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0.549*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0.161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0.320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0.370</w:t>
            </w:r>
            <w:r w:rsidRPr="004E2215">
              <w:rPr>
                <w:vertAlign w:val="superscript"/>
              </w:rPr>
              <w:t>#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0.550*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 w:val="restart"/>
            <w:tcBorders>
              <w:top w:val="single" w:sz="4" w:space="0" w:color="auto"/>
            </w:tcBorders>
            <w:vAlign w:val="center"/>
          </w:tcPr>
          <w:p w:rsidR="001231B2" w:rsidRPr="00224C82" w:rsidRDefault="001231B2" w:rsidP="001A50CE">
            <w:pPr>
              <w:spacing w:after="0"/>
            </w:pPr>
            <w:r w:rsidRPr="008B3B99">
              <w:rPr>
                <w:i/>
              </w:rPr>
              <w:t>EPO</w:t>
            </w:r>
            <w:r w:rsidRPr="00224C82">
              <w:t xml:space="preserve"> </w:t>
            </w:r>
            <w:proofErr w:type="spellStart"/>
            <w:r w:rsidRPr="00224C82">
              <w:t>promoter</w:t>
            </w:r>
            <w:proofErr w:type="spellEnd"/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3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4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0.292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3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0.353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0.278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4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0.015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0.015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0.248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5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4E2215">
            <w:pPr>
              <w:spacing w:after="0"/>
            </w:pPr>
            <w:r w:rsidRPr="00AA6666">
              <w:t>0.500*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4E2215">
            <w:pPr>
              <w:spacing w:after="0"/>
            </w:pPr>
            <w:r w:rsidRPr="00AA6666">
              <w:t>0.520*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0.214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-0.090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 w:val="restart"/>
            <w:tcBorders>
              <w:top w:val="single" w:sz="4" w:space="0" w:color="auto"/>
            </w:tcBorders>
            <w:vAlign w:val="center"/>
          </w:tcPr>
          <w:p w:rsidR="001231B2" w:rsidRPr="00224C82" w:rsidRDefault="001231B2" w:rsidP="001A50CE">
            <w:pPr>
              <w:spacing w:after="0"/>
            </w:pPr>
            <w:r w:rsidRPr="008B3B99">
              <w:rPr>
                <w:i/>
              </w:rPr>
              <w:t>EPO</w:t>
            </w:r>
            <w:r w:rsidRPr="00224C82">
              <w:t xml:space="preserve"> </w:t>
            </w:r>
            <w:proofErr w:type="spellStart"/>
            <w:r w:rsidRPr="00224C82">
              <w:t>enhancer</w:t>
            </w:r>
            <w:proofErr w:type="spellEnd"/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4E2215">
            <w:pPr>
              <w:spacing w:after="0"/>
            </w:pPr>
            <w:r w:rsidRPr="00AA6666">
              <w:t>0.457*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3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0.510*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0.848*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 w:val="restart"/>
            <w:tcBorders>
              <w:top w:val="single" w:sz="4" w:space="0" w:color="auto"/>
            </w:tcBorders>
            <w:vAlign w:val="center"/>
          </w:tcPr>
          <w:p w:rsidR="001231B2" w:rsidRPr="008B3B99" w:rsidRDefault="001231B2" w:rsidP="001A50CE">
            <w:pPr>
              <w:spacing w:after="0"/>
              <w:rPr>
                <w:i/>
              </w:rPr>
            </w:pPr>
            <w:r w:rsidRPr="008B3B99">
              <w:rPr>
                <w:i/>
              </w:rPr>
              <w:t>EPOR</w:t>
            </w: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3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</w:p>
        </w:tc>
        <w:tc>
          <w:tcPr>
            <w:tcW w:w="956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0.631*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3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6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0.598*</w:t>
            </w:r>
          </w:p>
        </w:tc>
        <w:tc>
          <w:tcPr>
            <w:tcW w:w="957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0.474*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4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-0.089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-0.174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0.492</w:t>
            </w:r>
            <w:r w:rsidR="001231B2" w:rsidRPr="00AA6666">
              <w:t>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 w:val="restart"/>
            <w:tcBorders>
              <w:top w:val="single" w:sz="4" w:space="0" w:color="auto"/>
            </w:tcBorders>
            <w:vAlign w:val="center"/>
          </w:tcPr>
          <w:p w:rsidR="001231B2" w:rsidRPr="008B3B99" w:rsidRDefault="001231B2" w:rsidP="001A50CE">
            <w:pPr>
              <w:spacing w:after="0"/>
              <w:rPr>
                <w:i/>
              </w:rPr>
            </w:pPr>
            <w:r w:rsidRPr="008B3B99">
              <w:rPr>
                <w:i/>
              </w:rPr>
              <w:t>VEGFA</w:t>
            </w: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-0.077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3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0.006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0.025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 w:val="restart"/>
            <w:tcBorders>
              <w:top w:val="single" w:sz="4" w:space="0" w:color="auto"/>
            </w:tcBorders>
            <w:vAlign w:val="center"/>
          </w:tcPr>
          <w:p w:rsidR="001231B2" w:rsidRPr="008B3B99" w:rsidRDefault="001231B2" w:rsidP="001A50CE">
            <w:pPr>
              <w:spacing w:after="0"/>
              <w:rPr>
                <w:i/>
              </w:rPr>
            </w:pPr>
            <w:r w:rsidRPr="008B3B99">
              <w:rPr>
                <w:i/>
              </w:rPr>
              <w:t>NTRK2</w:t>
            </w: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3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4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6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8</w:t>
            </w:r>
            <w:r w:rsidRPr="00AA6666">
              <w:rPr>
                <w:vertAlign w:val="superscript"/>
              </w:rPr>
              <w:t>†</w:t>
            </w: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6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0.426*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3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0.140</w:t>
            </w:r>
          </w:p>
        </w:tc>
        <w:tc>
          <w:tcPr>
            <w:tcW w:w="957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0.411</w:t>
            </w:r>
            <w:r w:rsidRPr="004E2215">
              <w:rPr>
                <w:vertAlign w:val="superscript"/>
              </w:rPr>
              <w:t>#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4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6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0.492*</w:t>
            </w:r>
          </w:p>
        </w:tc>
        <w:tc>
          <w:tcPr>
            <w:tcW w:w="957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0.432</w:t>
            </w:r>
            <w:r w:rsidRPr="004E2215">
              <w:rPr>
                <w:vertAlign w:val="superscript"/>
              </w:rPr>
              <w:t>#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0.270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5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-0.235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0.160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0.270</w:t>
            </w:r>
          </w:p>
        </w:tc>
        <w:tc>
          <w:tcPr>
            <w:tcW w:w="957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0.393</w:t>
            </w:r>
            <w:r w:rsidRPr="004E2215">
              <w:rPr>
                <w:vertAlign w:val="superscript"/>
              </w:rPr>
              <w:t>#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6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0.144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0.287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0.236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0.394</w:t>
            </w:r>
          </w:p>
        </w:tc>
        <w:tc>
          <w:tcPr>
            <w:tcW w:w="956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0.607*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7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0.273</w:t>
            </w:r>
          </w:p>
        </w:tc>
        <w:tc>
          <w:tcPr>
            <w:tcW w:w="957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0.416</w:t>
            </w:r>
            <w:r w:rsidRPr="004E2215">
              <w:rPr>
                <w:vertAlign w:val="superscript"/>
              </w:rPr>
              <w:t>#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0.066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4E2215">
            <w:pPr>
              <w:spacing w:after="0"/>
            </w:pPr>
            <w:r w:rsidRPr="00AA6666">
              <w:t>0.411</w:t>
            </w:r>
            <w:r w:rsidR="004E2215" w:rsidRPr="004E2215">
              <w:rPr>
                <w:vertAlign w:val="superscript"/>
              </w:rPr>
              <w:t>#</w:t>
            </w:r>
          </w:p>
        </w:tc>
        <w:tc>
          <w:tcPr>
            <w:tcW w:w="956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0.254</w:t>
            </w:r>
            <w:r w:rsidRPr="004E2215">
              <w:rPr>
                <w:vertAlign w:val="superscript"/>
              </w:rPr>
              <w:t>#</w:t>
            </w:r>
          </w:p>
        </w:tc>
        <w:tc>
          <w:tcPr>
            <w:tcW w:w="957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0.416</w:t>
            </w:r>
            <w:r w:rsidRPr="004E2215">
              <w:rPr>
                <w:vertAlign w:val="superscript"/>
              </w:rPr>
              <w:t>#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RPr="00224C8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8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-0.150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0.093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-0.259</w:t>
            </w:r>
          </w:p>
        </w:tc>
        <w:tc>
          <w:tcPr>
            <w:tcW w:w="957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0.565*</w:t>
            </w:r>
          </w:p>
        </w:tc>
        <w:tc>
          <w:tcPr>
            <w:tcW w:w="956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0.572*</w:t>
            </w:r>
          </w:p>
        </w:tc>
        <w:tc>
          <w:tcPr>
            <w:tcW w:w="957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0.630*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0.328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</w:tr>
      <w:tr w:rsidR="001231B2" w:rsidTr="001A50CE"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9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0.554*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0.523*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-0.133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0.418*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0.243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0.507*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0.535*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0.426</w:t>
            </w:r>
            <w:r w:rsidRPr="004E2215">
              <w:rPr>
                <w:vertAlign w:val="superscript"/>
              </w:rPr>
              <w:t>#</w:t>
            </w:r>
          </w:p>
        </w:tc>
      </w:tr>
      <w:tr w:rsidR="001231B2" w:rsidTr="001A50CE">
        <w:tc>
          <w:tcPr>
            <w:tcW w:w="1120" w:type="dxa"/>
            <w:vMerge w:val="restart"/>
            <w:tcBorders>
              <w:top w:val="single" w:sz="4" w:space="0" w:color="auto"/>
            </w:tcBorders>
            <w:vAlign w:val="center"/>
          </w:tcPr>
          <w:p w:rsidR="001231B2" w:rsidRPr="008B3B99" w:rsidRDefault="001231B2" w:rsidP="001A50CE">
            <w:pPr>
              <w:spacing w:after="0"/>
              <w:rPr>
                <w:i/>
              </w:rPr>
            </w:pPr>
            <w:r w:rsidRPr="008B3B99">
              <w:rPr>
                <w:i/>
              </w:rPr>
              <w:t>BDNF</w:t>
            </w: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3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4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2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4E2215">
            <w:pPr>
              <w:spacing w:after="0"/>
            </w:pPr>
            <w:r w:rsidRPr="00AA6666">
              <w:t>0.901*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3</w:t>
            </w:r>
          </w:p>
        </w:tc>
        <w:tc>
          <w:tcPr>
            <w:tcW w:w="956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0.679*</w:t>
            </w:r>
          </w:p>
        </w:tc>
        <w:tc>
          <w:tcPr>
            <w:tcW w:w="957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0.686*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4</w:t>
            </w:r>
            <w:r w:rsidRPr="00AA6666">
              <w:rPr>
                <w:vertAlign w:val="superscript"/>
              </w:rPr>
              <w:t>†</w:t>
            </w:r>
          </w:p>
        </w:tc>
        <w:tc>
          <w:tcPr>
            <w:tcW w:w="956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0.582*</w:t>
            </w:r>
          </w:p>
        </w:tc>
        <w:tc>
          <w:tcPr>
            <w:tcW w:w="957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0.550*</w:t>
            </w:r>
          </w:p>
        </w:tc>
        <w:tc>
          <w:tcPr>
            <w:tcW w:w="957" w:type="dxa"/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0.400</w:t>
            </w:r>
            <w:r w:rsidRPr="004E2215">
              <w:rPr>
                <w:vertAlign w:val="superscript"/>
              </w:rPr>
              <w:t>#</w:t>
            </w: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--</w:t>
            </w:r>
          </w:p>
        </w:tc>
        <w:tc>
          <w:tcPr>
            <w:tcW w:w="956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Tr="001A50CE"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1231B2" w:rsidRPr="00224C82" w:rsidRDefault="001231B2" w:rsidP="001A50CE">
            <w:pPr>
              <w:spacing w:after="0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5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4E2215">
            <w:pPr>
              <w:spacing w:after="0"/>
            </w:pPr>
            <w:r w:rsidRPr="00AA6666">
              <w:t>0.395</w:t>
            </w:r>
            <w:r w:rsidR="004E2215" w:rsidRPr="004E2215">
              <w:rPr>
                <w:vertAlign w:val="superscript"/>
              </w:rPr>
              <w:t>#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  <w:r w:rsidRPr="00AA6666">
              <w:t>0.335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4E2215" w:rsidP="001A50CE">
            <w:pPr>
              <w:spacing w:after="0"/>
            </w:pPr>
            <w:r>
              <w:t>0.584*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4E2215">
            <w:pPr>
              <w:spacing w:after="0"/>
            </w:pPr>
            <w:r w:rsidRPr="00AA6666">
              <w:t>0.422</w:t>
            </w:r>
            <w:r w:rsidR="004E2215" w:rsidRPr="004E2215">
              <w:rPr>
                <w:vertAlign w:val="superscript"/>
              </w:rPr>
              <w:t>#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1231B2" w:rsidRPr="00AA6666" w:rsidRDefault="001231B2" w:rsidP="001A50CE">
            <w:pPr>
              <w:spacing w:after="0"/>
            </w:pPr>
          </w:p>
        </w:tc>
      </w:tr>
      <w:tr w:rsidR="001231B2" w:rsidRPr="0020438C" w:rsidTr="001A50CE"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231B2" w:rsidRPr="00D71FAD" w:rsidRDefault="001231B2" w:rsidP="001A50CE">
            <w:pPr>
              <w:spacing w:after="0"/>
              <w:jc w:val="both"/>
              <w:rPr>
                <w:lang w:val="en-US"/>
              </w:rPr>
            </w:pPr>
            <w:r w:rsidRPr="00D71FAD">
              <w:rPr>
                <w:vertAlign w:val="superscript"/>
                <w:lang w:val="en-US"/>
              </w:rPr>
              <w:t>†</w:t>
            </w:r>
            <w:r w:rsidRPr="00D71FAD">
              <w:rPr>
                <w:sz w:val="20"/>
                <w:lang w:val="en-US"/>
              </w:rPr>
              <w:t xml:space="preserve">Spearman’s rank correlation analysis was used due to non-normality of the data. </w:t>
            </w:r>
            <w:r w:rsidR="004E2215" w:rsidRPr="004E2215">
              <w:rPr>
                <w:vertAlign w:val="superscript"/>
              </w:rPr>
              <w:t>#</w:t>
            </w:r>
            <w:r w:rsidR="004E2215">
              <w:rPr>
                <w:sz w:val="20"/>
                <w:lang w:val="en-US"/>
              </w:rPr>
              <w:t xml:space="preserve"> and * </w:t>
            </w:r>
            <w:bookmarkStart w:id="0" w:name="_GoBack"/>
            <w:bookmarkEnd w:id="0"/>
            <w:r>
              <w:rPr>
                <w:sz w:val="20"/>
                <w:lang w:val="en-US"/>
              </w:rPr>
              <w:t>mark</w:t>
            </w:r>
            <w:r w:rsidRPr="00D71FAD">
              <w:rPr>
                <w:sz w:val="20"/>
                <w:lang w:val="en-US"/>
              </w:rPr>
              <w:t xml:space="preserve"> correlations at </w:t>
            </w:r>
            <w:r w:rsidRPr="00D71FAD">
              <w:rPr>
                <w:i/>
                <w:sz w:val="20"/>
                <w:lang w:val="en-US"/>
              </w:rPr>
              <w:t>p</w:t>
            </w:r>
            <w:r w:rsidRPr="00D71FAD">
              <w:rPr>
                <w:sz w:val="20"/>
                <w:lang w:val="en-US"/>
              </w:rPr>
              <w:t xml:space="preserve"> &lt; 0.1 and </w:t>
            </w:r>
            <w:r w:rsidRPr="00D71FAD">
              <w:rPr>
                <w:i/>
                <w:sz w:val="20"/>
                <w:lang w:val="en-US"/>
              </w:rPr>
              <w:t>p</w:t>
            </w:r>
            <w:r w:rsidRPr="00D71FAD">
              <w:rPr>
                <w:sz w:val="20"/>
                <w:lang w:val="en-US"/>
              </w:rPr>
              <w:t xml:space="preserve"> &lt; 0.05, respectively. </w:t>
            </w:r>
            <w:r w:rsidRPr="008B3B99">
              <w:rPr>
                <w:i/>
                <w:sz w:val="20"/>
                <w:lang w:val="en-US"/>
              </w:rPr>
              <w:t>BDNF</w:t>
            </w:r>
            <w:r w:rsidRPr="00D71FAD">
              <w:rPr>
                <w:sz w:val="20"/>
                <w:lang w:val="en-US"/>
              </w:rPr>
              <w:t xml:space="preserve">, brain-derived </w:t>
            </w:r>
            <w:proofErr w:type="spellStart"/>
            <w:r w:rsidRPr="00D71FAD">
              <w:rPr>
                <w:sz w:val="20"/>
                <w:lang w:val="en-US"/>
              </w:rPr>
              <w:t>neurotrophic</w:t>
            </w:r>
            <w:proofErr w:type="spellEnd"/>
            <w:r w:rsidRPr="00D71FAD">
              <w:rPr>
                <w:sz w:val="20"/>
                <w:lang w:val="en-US"/>
              </w:rPr>
              <w:t xml:space="preserve"> factor; </w:t>
            </w:r>
            <w:proofErr w:type="spellStart"/>
            <w:r w:rsidRPr="00D71FAD">
              <w:rPr>
                <w:sz w:val="20"/>
                <w:lang w:val="en-US"/>
              </w:rPr>
              <w:t>CpG</w:t>
            </w:r>
            <w:proofErr w:type="spellEnd"/>
            <w:r w:rsidRPr="00D71FAD">
              <w:rPr>
                <w:sz w:val="20"/>
                <w:lang w:val="en-US"/>
              </w:rPr>
              <w:t xml:space="preserve">, 5’-cytosine-phosphate-guanine-3’ dinucleotide; </w:t>
            </w:r>
            <w:r w:rsidRPr="008B3B99">
              <w:rPr>
                <w:i/>
                <w:sz w:val="20"/>
                <w:lang w:val="en-US"/>
              </w:rPr>
              <w:t>EPO</w:t>
            </w:r>
            <w:r w:rsidRPr="00D71FAD">
              <w:rPr>
                <w:sz w:val="20"/>
                <w:lang w:val="en-US"/>
              </w:rPr>
              <w:t xml:space="preserve">, erythropoietin; </w:t>
            </w:r>
            <w:r w:rsidRPr="008B3B99">
              <w:rPr>
                <w:i/>
                <w:sz w:val="20"/>
                <w:lang w:val="en-US"/>
              </w:rPr>
              <w:t>EPOR</w:t>
            </w:r>
            <w:r w:rsidRPr="00D71FAD">
              <w:rPr>
                <w:sz w:val="20"/>
                <w:lang w:val="en-US"/>
              </w:rPr>
              <w:t xml:space="preserve">, erythropoietin receptor; </w:t>
            </w:r>
            <w:r w:rsidRPr="008B3B99">
              <w:rPr>
                <w:i/>
                <w:sz w:val="20"/>
                <w:lang w:val="en-US"/>
              </w:rPr>
              <w:t>HIF1A</w:t>
            </w:r>
            <w:r w:rsidRPr="00D71FAD">
              <w:rPr>
                <w:sz w:val="20"/>
                <w:lang w:val="en-US"/>
              </w:rPr>
              <w:t xml:space="preserve">, hypoxia-inducible factor alpha; </w:t>
            </w:r>
            <w:r w:rsidRPr="008B3B99">
              <w:rPr>
                <w:i/>
                <w:sz w:val="20"/>
                <w:lang w:val="en-US"/>
              </w:rPr>
              <w:t>NTRK2</w:t>
            </w:r>
            <w:r w:rsidRPr="00D71FAD">
              <w:rPr>
                <w:sz w:val="20"/>
                <w:lang w:val="en-US"/>
              </w:rPr>
              <w:t xml:space="preserve">, </w:t>
            </w:r>
            <w:r w:rsidRPr="007348CE">
              <w:rPr>
                <w:sz w:val="20"/>
                <w:lang w:val="en-US"/>
              </w:rPr>
              <w:t>neurotrophic tyrosine kinase, receptor, type 2</w:t>
            </w:r>
            <w:r w:rsidRPr="00D71FAD">
              <w:rPr>
                <w:sz w:val="20"/>
                <w:lang w:val="en-US"/>
              </w:rPr>
              <w:t xml:space="preserve">; </w:t>
            </w:r>
            <w:r w:rsidRPr="008B3B99">
              <w:rPr>
                <w:i/>
                <w:sz w:val="20"/>
                <w:lang w:val="en-US"/>
              </w:rPr>
              <w:t>VEGFA</w:t>
            </w:r>
            <w:r w:rsidRPr="00D71FAD">
              <w:rPr>
                <w:sz w:val="20"/>
                <w:lang w:val="en-US"/>
              </w:rPr>
              <w:t>, vascular endothelial growth factor A.</w:t>
            </w:r>
          </w:p>
        </w:tc>
      </w:tr>
    </w:tbl>
    <w:p w:rsidR="003A0B48" w:rsidRPr="001231B2" w:rsidRDefault="003A0B48" w:rsidP="006E2579">
      <w:pPr>
        <w:rPr>
          <w:lang w:val="en-US"/>
        </w:rPr>
      </w:pPr>
    </w:p>
    <w:sectPr w:rsidR="003A0B48" w:rsidRPr="001231B2" w:rsidSect="009E4B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CE" w:rsidRDefault="001A50CE" w:rsidP="00C6168F">
      <w:pPr>
        <w:spacing w:after="0" w:line="240" w:lineRule="auto"/>
      </w:pPr>
      <w:r>
        <w:separator/>
      </w:r>
    </w:p>
  </w:endnote>
  <w:endnote w:type="continuationSeparator" w:id="0">
    <w:p w:rsidR="001A50CE" w:rsidRDefault="001A50CE" w:rsidP="00C6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734702"/>
      <w:docPartObj>
        <w:docPartGallery w:val="Page Numbers (Bottom of Page)"/>
        <w:docPartUnique/>
      </w:docPartObj>
    </w:sdtPr>
    <w:sdtEndPr/>
    <w:sdtContent>
      <w:p w:rsidR="001A50CE" w:rsidRDefault="001A50C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215">
          <w:rPr>
            <w:noProof/>
          </w:rPr>
          <w:t>3</w:t>
        </w:r>
        <w:r>
          <w:fldChar w:fldCharType="end"/>
        </w:r>
      </w:p>
    </w:sdtContent>
  </w:sdt>
  <w:p w:rsidR="001A50CE" w:rsidRDefault="001A50C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CE" w:rsidRDefault="001A50CE" w:rsidP="00C6168F">
      <w:pPr>
        <w:spacing w:after="0" w:line="240" w:lineRule="auto"/>
      </w:pPr>
      <w:r>
        <w:separator/>
      </w:r>
    </w:p>
  </w:footnote>
  <w:footnote w:type="continuationSeparator" w:id="0">
    <w:p w:rsidR="001A50CE" w:rsidRDefault="001A50CE" w:rsidP="00C6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CE" w:rsidRDefault="001A50CE">
    <w:pPr>
      <w:pStyle w:val="Koptekst"/>
    </w:pPr>
    <w:r>
      <w:t>Richter et al.</w:t>
    </w:r>
    <w:r>
      <w:ptab w:relativeTo="margin" w:alignment="center" w:leader="none"/>
    </w:r>
    <w:r>
      <w:ptab w:relativeTo="margin" w:alignment="right" w:leader="none"/>
    </w:r>
    <w:proofErr w:type="spellStart"/>
    <w:r>
      <w:t>Neurodevelopmental</w:t>
    </w:r>
    <w:proofErr w:type="spellEnd"/>
    <w:r>
      <w:t xml:space="preserve"> DNA </w:t>
    </w:r>
    <w:proofErr w:type="spellStart"/>
    <w:r>
      <w:t>methylation</w:t>
    </w:r>
    <w:proofErr w:type="spellEnd"/>
    <w:r>
      <w:t xml:space="preserve"> </w:t>
    </w:r>
    <w:proofErr w:type="spellStart"/>
    <w:r>
      <w:t>after</w:t>
    </w:r>
    <w:proofErr w:type="spellEnd"/>
    <w:r>
      <w:t xml:space="preserve"> FGR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D7"/>
    <w:rsid w:val="000033B8"/>
    <w:rsid w:val="0000368F"/>
    <w:rsid w:val="00015F79"/>
    <w:rsid w:val="000213B3"/>
    <w:rsid w:val="0002180F"/>
    <w:rsid w:val="00022822"/>
    <w:rsid w:val="000313E5"/>
    <w:rsid w:val="0003179F"/>
    <w:rsid w:val="00032E41"/>
    <w:rsid w:val="000348BB"/>
    <w:rsid w:val="00042555"/>
    <w:rsid w:val="00044092"/>
    <w:rsid w:val="00045242"/>
    <w:rsid w:val="00045DB3"/>
    <w:rsid w:val="000465B8"/>
    <w:rsid w:val="0005270A"/>
    <w:rsid w:val="00054C69"/>
    <w:rsid w:val="000558AE"/>
    <w:rsid w:val="00057A16"/>
    <w:rsid w:val="000626EE"/>
    <w:rsid w:val="0006487A"/>
    <w:rsid w:val="00071B0D"/>
    <w:rsid w:val="00072552"/>
    <w:rsid w:val="00073B7D"/>
    <w:rsid w:val="00076094"/>
    <w:rsid w:val="0007626A"/>
    <w:rsid w:val="000767A2"/>
    <w:rsid w:val="000805E5"/>
    <w:rsid w:val="000832C7"/>
    <w:rsid w:val="00090BC0"/>
    <w:rsid w:val="00092370"/>
    <w:rsid w:val="00094E6A"/>
    <w:rsid w:val="00095E44"/>
    <w:rsid w:val="000A5705"/>
    <w:rsid w:val="000A5BC6"/>
    <w:rsid w:val="000B296F"/>
    <w:rsid w:val="000B5D85"/>
    <w:rsid w:val="000C225D"/>
    <w:rsid w:val="000C3192"/>
    <w:rsid w:val="000C51C2"/>
    <w:rsid w:val="000D5DDE"/>
    <w:rsid w:val="000D69FE"/>
    <w:rsid w:val="000F4726"/>
    <w:rsid w:val="000F78D7"/>
    <w:rsid w:val="00101B7D"/>
    <w:rsid w:val="0010460E"/>
    <w:rsid w:val="001061B1"/>
    <w:rsid w:val="00113126"/>
    <w:rsid w:val="001131F9"/>
    <w:rsid w:val="00115C3B"/>
    <w:rsid w:val="00116BA0"/>
    <w:rsid w:val="001213A7"/>
    <w:rsid w:val="001231B2"/>
    <w:rsid w:val="00123853"/>
    <w:rsid w:val="0012653C"/>
    <w:rsid w:val="00126D5A"/>
    <w:rsid w:val="001332BB"/>
    <w:rsid w:val="00136FE5"/>
    <w:rsid w:val="00137AED"/>
    <w:rsid w:val="001428BC"/>
    <w:rsid w:val="00144BEB"/>
    <w:rsid w:val="00146440"/>
    <w:rsid w:val="001478E6"/>
    <w:rsid w:val="00155824"/>
    <w:rsid w:val="00161BE3"/>
    <w:rsid w:val="0016243F"/>
    <w:rsid w:val="0016349F"/>
    <w:rsid w:val="001636B6"/>
    <w:rsid w:val="001639D0"/>
    <w:rsid w:val="00164DEC"/>
    <w:rsid w:val="00166286"/>
    <w:rsid w:val="0016696A"/>
    <w:rsid w:val="00172F1A"/>
    <w:rsid w:val="0017300D"/>
    <w:rsid w:val="001824E5"/>
    <w:rsid w:val="001876BA"/>
    <w:rsid w:val="00187C1E"/>
    <w:rsid w:val="001921EA"/>
    <w:rsid w:val="0019374A"/>
    <w:rsid w:val="00194612"/>
    <w:rsid w:val="001A0868"/>
    <w:rsid w:val="001A50CE"/>
    <w:rsid w:val="001A540E"/>
    <w:rsid w:val="001B0CD3"/>
    <w:rsid w:val="001B6D6D"/>
    <w:rsid w:val="001B7A32"/>
    <w:rsid w:val="001C4E8E"/>
    <w:rsid w:val="001C4EA7"/>
    <w:rsid w:val="001C6598"/>
    <w:rsid w:val="001D0D26"/>
    <w:rsid w:val="001D3EF6"/>
    <w:rsid w:val="001D4B44"/>
    <w:rsid w:val="001D533C"/>
    <w:rsid w:val="001E7BE8"/>
    <w:rsid w:val="001F08C2"/>
    <w:rsid w:val="001F0DEB"/>
    <w:rsid w:val="001F655A"/>
    <w:rsid w:val="001F6A37"/>
    <w:rsid w:val="00200290"/>
    <w:rsid w:val="0020438C"/>
    <w:rsid w:val="002050E6"/>
    <w:rsid w:val="002160F2"/>
    <w:rsid w:val="00220DE1"/>
    <w:rsid w:val="00222EC1"/>
    <w:rsid w:val="00224646"/>
    <w:rsid w:val="00226997"/>
    <w:rsid w:val="00230BDC"/>
    <w:rsid w:val="00234ADF"/>
    <w:rsid w:val="00235BD6"/>
    <w:rsid w:val="00237F46"/>
    <w:rsid w:val="00244BD3"/>
    <w:rsid w:val="00246B0A"/>
    <w:rsid w:val="002504E0"/>
    <w:rsid w:val="00251363"/>
    <w:rsid w:val="002565BF"/>
    <w:rsid w:val="00262BF4"/>
    <w:rsid w:val="00267E5E"/>
    <w:rsid w:val="002712A3"/>
    <w:rsid w:val="00281A58"/>
    <w:rsid w:val="00286B65"/>
    <w:rsid w:val="00287A13"/>
    <w:rsid w:val="00290618"/>
    <w:rsid w:val="00290621"/>
    <w:rsid w:val="00290B8D"/>
    <w:rsid w:val="00292FC4"/>
    <w:rsid w:val="0029351F"/>
    <w:rsid w:val="00294DD8"/>
    <w:rsid w:val="0029517D"/>
    <w:rsid w:val="00297C11"/>
    <w:rsid w:val="002A12B0"/>
    <w:rsid w:val="002A74A0"/>
    <w:rsid w:val="002B41D3"/>
    <w:rsid w:val="002B47E9"/>
    <w:rsid w:val="002B7C2B"/>
    <w:rsid w:val="002C0C07"/>
    <w:rsid w:val="002C43F3"/>
    <w:rsid w:val="002C6FA4"/>
    <w:rsid w:val="002C6FDB"/>
    <w:rsid w:val="002D1252"/>
    <w:rsid w:val="002D18E4"/>
    <w:rsid w:val="002D6C78"/>
    <w:rsid w:val="002E1F2A"/>
    <w:rsid w:val="002E45FC"/>
    <w:rsid w:val="002F0008"/>
    <w:rsid w:val="002F2843"/>
    <w:rsid w:val="002F6C2F"/>
    <w:rsid w:val="00301306"/>
    <w:rsid w:val="0030378A"/>
    <w:rsid w:val="00303FDD"/>
    <w:rsid w:val="00320C4A"/>
    <w:rsid w:val="0032183E"/>
    <w:rsid w:val="00322FBF"/>
    <w:rsid w:val="00325F1B"/>
    <w:rsid w:val="00326CA4"/>
    <w:rsid w:val="00326ED2"/>
    <w:rsid w:val="00333178"/>
    <w:rsid w:val="00334DD9"/>
    <w:rsid w:val="0035379B"/>
    <w:rsid w:val="003572E1"/>
    <w:rsid w:val="00357BD5"/>
    <w:rsid w:val="00357EA8"/>
    <w:rsid w:val="00364191"/>
    <w:rsid w:val="00364869"/>
    <w:rsid w:val="00364AC3"/>
    <w:rsid w:val="00380B37"/>
    <w:rsid w:val="00381196"/>
    <w:rsid w:val="00381E96"/>
    <w:rsid w:val="003820D2"/>
    <w:rsid w:val="00383331"/>
    <w:rsid w:val="003847A9"/>
    <w:rsid w:val="0038524B"/>
    <w:rsid w:val="0038596C"/>
    <w:rsid w:val="0039012E"/>
    <w:rsid w:val="00394FEC"/>
    <w:rsid w:val="003950EF"/>
    <w:rsid w:val="003A0B48"/>
    <w:rsid w:val="003A2614"/>
    <w:rsid w:val="003B1FA4"/>
    <w:rsid w:val="003C18EC"/>
    <w:rsid w:val="003C39B0"/>
    <w:rsid w:val="003C4FA4"/>
    <w:rsid w:val="003C5270"/>
    <w:rsid w:val="003D1065"/>
    <w:rsid w:val="003D5EC2"/>
    <w:rsid w:val="003D7548"/>
    <w:rsid w:val="003E1C9C"/>
    <w:rsid w:val="003E5CBD"/>
    <w:rsid w:val="003F155F"/>
    <w:rsid w:val="003F1610"/>
    <w:rsid w:val="003F51F8"/>
    <w:rsid w:val="003F7BD7"/>
    <w:rsid w:val="003F7E04"/>
    <w:rsid w:val="00401BE8"/>
    <w:rsid w:val="00401E40"/>
    <w:rsid w:val="0040294A"/>
    <w:rsid w:val="00403210"/>
    <w:rsid w:val="0040732F"/>
    <w:rsid w:val="004140E0"/>
    <w:rsid w:val="00415C2D"/>
    <w:rsid w:val="00415D86"/>
    <w:rsid w:val="004165C4"/>
    <w:rsid w:val="00420508"/>
    <w:rsid w:val="00421650"/>
    <w:rsid w:val="00423191"/>
    <w:rsid w:val="00425434"/>
    <w:rsid w:val="00426E50"/>
    <w:rsid w:val="00430E9A"/>
    <w:rsid w:val="00436AC5"/>
    <w:rsid w:val="00436FEA"/>
    <w:rsid w:val="00444E1C"/>
    <w:rsid w:val="00445076"/>
    <w:rsid w:val="00446AEF"/>
    <w:rsid w:val="0045210C"/>
    <w:rsid w:val="00452D1A"/>
    <w:rsid w:val="00453D1D"/>
    <w:rsid w:val="00457322"/>
    <w:rsid w:val="004659BA"/>
    <w:rsid w:val="00477796"/>
    <w:rsid w:val="00484BE7"/>
    <w:rsid w:val="00485322"/>
    <w:rsid w:val="00485A19"/>
    <w:rsid w:val="00485F57"/>
    <w:rsid w:val="00486474"/>
    <w:rsid w:val="00491F09"/>
    <w:rsid w:val="004924C1"/>
    <w:rsid w:val="00492A2A"/>
    <w:rsid w:val="00492C2C"/>
    <w:rsid w:val="00492F5B"/>
    <w:rsid w:val="00495EA5"/>
    <w:rsid w:val="00497CEA"/>
    <w:rsid w:val="00497EF1"/>
    <w:rsid w:val="004A0F33"/>
    <w:rsid w:val="004A59DC"/>
    <w:rsid w:val="004B101C"/>
    <w:rsid w:val="004B71D0"/>
    <w:rsid w:val="004C67D5"/>
    <w:rsid w:val="004D180E"/>
    <w:rsid w:val="004D54FD"/>
    <w:rsid w:val="004D56F7"/>
    <w:rsid w:val="004D61E8"/>
    <w:rsid w:val="004D6541"/>
    <w:rsid w:val="004E0410"/>
    <w:rsid w:val="004E2215"/>
    <w:rsid w:val="004E25E2"/>
    <w:rsid w:val="004E2ED4"/>
    <w:rsid w:val="004E6DD5"/>
    <w:rsid w:val="004F1121"/>
    <w:rsid w:val="004F136C"/>
    <w:rsid w:val="004F20B3"/>
    <w:rsid w:val="0050161C"/>
    <w:rsid w:val="00502150"/>
    <w:rsid w:val="0051327A"/>
    <w:rsid w:val="00514242"/>
    <w:rsid w:val="0051435D"/>
    <w:rsid w:val="0052296C"/>
    <w:rsid w:val="00523022"/>
    <w:rsid w:val="00523E61"/>
    <w:rsid w:val="005243A6"/>
    <w:rsid w:val="0052487D"/>
    <w:rsid w:val="0052620B"/>
    <w:rsid w:val="00527A00"/>
    <w:rsid w:val="00537D7D"/>
    <w:rsid w:val="00541530"/>
    <w:rsid w:val="00542FA5"/>
    <w:rsid w:val="0054466E"/>
    <w:rsid w:val="0054467E"/>
    <w:rsid w:val="00545A4A"/>
    <w:rsid w:val="00546EDA"/>
    <w:rsid w:val="0055448B"/>
    <w:rsid w:val="005548FE"/>
    <w:rsid w:val="0055756F"/>
    <w:rsid w:val="00561B17"/>
    <w:rsid w:val="005630E6"/>
    <w:rsid w:val="00574112"/>
    <w:rsid w:val="005767FD"/>
    <w:rsid w:val="00581E4D"/>
    <w:rsid w:val="00585783"/>
    <w:rsid w:val="005863F0"/>
    <w:rsid w:val="0059315E"/>
    <w:rsid w:val="00596945"/>
    <w:rsid w:val="005A19AA"/>
    <w:rsid w:val="005A1BF4"/>
    <w:rsid w:val="005A3677"/>
    <w:rsid w:val="005A691D"/>
    <w:rsid w:val="005A6C53"/>
    <w:rsid w:val="005A7E6F"/>
    <w:rsid w:val="005B103E"/>
    <w:rsid w:val="005B5CF5"/>
    <w:rsid w:val="005B6465"/>
    <w:rsid w:val="005C1163"/>
    <w:rsid w:val="005C3F40"/>
    <w:rsid w:val="005C4BDA"/>
    <w:rsid w:val="005C4F8A"/>
    <w:rsid w:val="005C651F"/>
    <w:rsid w:val="005C6EE9"/>
    <w:rsid w:val="005D508E"/>
    <w:rsid w:val="005D788E"/>
    <w:rsid w:val="005E3153"/>
    <w:rsid w:val="005E331C"/>
    <w:rsid w:val="005F14AF"/>
    <w:rsid w:val="005F3112"/>
    <w:rsid w:val="00601C4A"/>
    <w:rsid w:val="00603224"/>
    <w:rsid w:val="00603C42"/>
    <w:rsid w:val="00604445"/>
    <w:rsid w:val="006105FC"/>
    <w:rsid w:val="00610FD8"/>
    <w:rsid w:val="006120D7"/>
    <w:rsid w:val="0061407A"/>
    <w:rsid w:val="006172D6"/>
    <w:rsid w:val="00622C1E"/>
    <w:rsid w:val="0063326D"/>
    <w:rsid w:val="006337F0"/>
    <w:rsid w:val="00635B87"/>
    <w:rsid w:val="00635EDE"/>
    <w:rsid w:val="00636913"/>
    <w:rsid w:val="00640B63"/>
    <w:rsid w:val="00641C07"/>
    <w:rsid w:val="00647B11"/>
    <w:rsid w:val="00651B66"/>
    <w:rsid w:val="006651FF"/>
    <w:rsid w:val="00672206"/>
    <w:rsid w:val="00673A58"/>
    <w:rsid w:val="006814F6"/>
    <w:rsid w:val="00681597"/>
    <w:rsid w:val="00681D93"/>
    <w:rsid w:val="00696B95"/>
    <w:rsid w:val="006A1541"/>
    <w:rsid w:val="006B35CA"/>
    <w:rsid w:val="006B69AD"/>
    <w:rsid w:val="006B76A1"/>
    <w:rsid w:val="006C023F"/>
    <w:rsid w:val="006C152F"/>
    <w:rsid w:val="006C5DB3"/>
    <w:rsid w:val="006C64DC"/>
    <w:rsid w:val="006D02C2"/>
    <w:rsid w:val="006D0A38"/>
    <w:rsid w:val="006E1BC2"/>
    <w:rsid w:val="006E2579"/>
    <w:rsid w:val="006E647E"/>
    <w:rsid w:val="006E6C78"/>
    <w:rsid w:val="006F17BC"/>
    <w:rsid w:val="006F538D"/>
    <w:rsid w:val="006F6561"/>
    <w:rsid w:val="00702961"/>
    <w:rsid w:val="00705F04"/>
    <w:rsid w:val="00711478"/>
    <w:rsid w:val="0072173C"/>
    <w:rsid w:val="00723991"/>
    <w:rsid w:val="00727E9D"/>
    <w:rsid w:val="00730B74"/>
    <w:rsid w:val="00731CAD"/>
    <w:rsid w:val="00732F36"/>
    <w:rsid w:val="00735835"/>
    <w:rsid w:val="00736207"/>
    <w:rsid w:val="0073645E"/>
    <w:rsid w:val="007368CF"/>
    <w:rsid w:val="00736EDE"/>
    <w:rsid w:val="007374A2"/>
    <w:rsid w:val="0073760A"/>
    <w:rsid w:val="00742D20"/>
    <w:rsid w:val="0074395A"/>
    <w:rsid w:val="0074493E"/>
    <w:rsid w:val="00744D3B"/>
    <w:rsid w:val="0074575A"/>
    <w:rsid w:val="0074705D"/>
    <w:rsid w:val="007518DE"/>
    <w:rsid w:val="00751BD3"/>
    <w:rsid w:val="00757BC5"/>
    <w:rsid w:val="007606BE"/>
    <w:rsid w:val="00761D56"/>
    <w:rsid w:val="00761F52"/>
    <w:rsid w:val="00765C54"/>
    <w:rsid w:val="007709D3"/>
    <w:rsid w:val="0077198A"/>
    <w:rsid w:val="00781D53"/>
    <w:rsid w:val="0078227A"/>
    <w:rsid w:val="00782EAA"/>
    <w:rsid w:val="00786553"/>
    <w:rsid w:val="00791C91"/>
    <w:rsid w:val="00791F4A"/>
    <w:rsid w:val="00793FE2"/>
    <w:rsid w:val="007955B0"/>
    <w:rsid w:val="00795FB9"/>
    <w:rsid w:val="00796A65"/>
    <w:rsid w:val="007A3352"/>
    <w:rsid w:val="007A49D5"/>
    <w:rsid w:val="007A58BB"/>
    <w:rsid w:val="007D1632"/>
    <w:rsid w:val="007D435D"/>
    <w:rsid w:val="007D5883"/>
    <w:rsid w:val="007E0F07"/>
    <w:rsid w:val="007E0FD5"/>
    <w:rsid w:val="007E311A"/>
    <w:rsid w:val="007E7A7E"/>
    <w:rsid w:val="007F216A"/>
    <w:rsid w:val="007F3954"/>
    <w:rsid w:val="008036FC"/>
    <w:rsid w:val="00804CC3"/>
    <w:rsid w:val="008062A4"/>
    <w:rsid w:val="00811106"/>
    <w:rsid w:val="00813601"/>
    <w:rsid w:val="008139D4"/>
    <w:rsid w:val="00813EB5"/>
    <w:rsid w:val="00815E18"/>
    <w:rsid w:val="00816F9C"/>
    <w:rsid w:val="00817A3F"/>
    <w:rsid w:val="00817C56"/>
    <w:rsid w:val="00820F88"/>
    <w:rsid w:val="00821190"/>
    <w:rsid w:val="00824D23"/>
    <w:rsid w:val="0082651F"/>
    <w:rsid w:val="008266FC"/>
    <w:rsid w:val="00826EB1"/>
    <w:rsid w:val="00833893"/>
    <w:rsid w:val="008357D2"/>
    <w:rsid w:val="008363EC"/>
    <w:rsid w:val="00845E62"/>
    <w:rsid w:val="00852498"/>
    <w:rsid w:val="008533D8"/>
    <w:rsid w:val="008565AD"/>
    <w:rsid w:val="008618BE"/>
    <w:rsid w:val="00873867"/>
    <w:rsid w:val="00875346"/>
    <w:rsid w:val="0088254B"/>
    <w:rsid w:val="00887E35"/>
    <w:rsid w:val="00891121"/>
    <w:rsid w:val="008917FD"/>
    <w:rsid w:val="008976CF"/>
    <w:rsid w:val="008A0B08"/>
    <w:rsid w:val="008A1FF5"/>
    <w:rsid w:val="008A5949"/>
    <w:rsid w:val="008A715F"/>
    <w:rsid w:val="008A7445"/>
    <w:rsid w:val="008A75B5"/>
    <w:rsid w:val="008A772B"/>
    <w:rsid w:val="008B5466"/>
    <w:rsid w:val="008C1DDA"/>
    <w:rsid w:val="008C2333"/>
    <w:rsid w:val="008C5D92"/>
    <w:rsid w:val="008C6D44"/>
    <w:rsid w:val="008D11E7"/>
    <w:rsid w:val="008D40DF"/>
    <w:rsid w:val="008D5347"/>
    <w:rsid w:val="008E3B03"/>
    <w:rsid w:val="008E5458"/>
    <w:rsid w:val="008E55C9"/>
    <w:rsid w:val="008F54E0"/>
    <w:rsid w:val="008F6ED1"/>
    <w:rsid w:val="0090272E"/>
    <w:rsid w:val="00902C53"/>
    <w:rsid w:val="00910522"/>
    <w:rsid w:val="00910DDA"/>
    <w:rsid w:val="00920657"/>
    <w:rsid w:val="009267A0"/>
    <w:rsid w:val="009268E2"/>
    <w:rsid w:val="00930474"/>
    <w:rsid w:val="00931A3B"/>
    <w:rsid w:val="00933F40"/>
    <w:rsid w:val="00935CA8"/>
    <w:rsid w:val="009521E1"/>
    <w:rsid w:val="00952F5F"/>
    <w:rsid w:val="00953097"/>
    <w:rsid w:val="00953A2E"/>
    <w:rsid w:val="0095644C"/>
    <w:rsid w:val="00956519"/>
    <w:rsid w:val="00956977"/>
    <w:rsid w:val="00957ACC"/>
    <w:rsid w:val="00960C36"/>
    <w:rsid w:val="00965455"/>
    <w:rsid w:val="00966268"/>
    <w:rsid w:val="00966EB5"/>
    <w:rsid w:val="00973D0B"/>
    <w:rsid w:val="00975C93"/>
    <w:rsid w:val="00977776"/>
    <w:rsid w:val="00983002"/>
    <w:rsid w:val="00983D71"/>
    <w:rsid w:val="00985224"/>
    <w:rsid w:val="00991423"/>
    <w:rsid w:val="00993EFB"/>
    <w:rsid w:val="00995E6E"/>
    <w:rsid w:val="00997EF4"/>
    <w:rsid w:val="009A0E3B"/>
    <w:rsid w:val="009A301A"/>
    <w:rsid w:val="009A7019"/>
    <w:rsid w:val="009B0B0F"/>
    <w:rsid w:val="009B36D2"/>
    <w:rsid w:val="009B4272"/>
    <w:rsid w:val="009B4289"/>
    <w:rsid w:val="009B62FF"/>
    <w:rsid w:val="009B69E4"/>
    <w:rsid w:val="009C57CC"/>
    <w:rsid w:val="009C6207"/>
    <w:rsid w:val="009D1BDB"/>
    <w:rsid w:val="009D47B0"/>
    <w:rsid w:val="009E0410"/>
    <w:rsid w:val="009E06C3"/>
    <w:rsid w:val="009E2BA8"/>
    <w:rsid w:val="009E4B48"/>
    <w:rsid w:val="009E7115"/>
    <w:rsid w:val="009E78FF"/>
    <w:rsid w:val="009F1F6A"/>
    <w:rsid w:val="009F2615"/>
    <w:rsid w:val="009F2ACB"/>
    <w:rsid w:val="009F2FA2"/>
    <w:rsid w:val="00A05F68"/>
    <w:rsid w:val="00A07588"/>
    <w:rsid w:val="00A07C90"/>
    <w:rsid w:val="00A11A40"/>
    <w:rsid w:val="00A12363"/>
    <w:rsid w:val="00A21039"/>
    <w:rsid w:val="00A2513E"/>
    <w:rsid w:val="00A2594E"/>
    <w:rsid w:val="00A319D2"/>
    <w:rsid w:val="00A32153"/>
    <w:rsid w:val="00A321E3"/>
    <w:rsid w:val="00A351A1"/>
    <w:rsid w:val="00A37D0D"/>
    <w:rsid w:val="00A37E5A"/>
    <w:rsid w:val="00A40292"/>
    <w:rsid w:val="00A41ACC"/>
    <w:rsid w:val="00A43DF1"/>
    <w:rsid w:val="00A45E9F"/>
    <w:rsid w:val="00A50AFF"/>
    <w:rsid w:val="00A52C5F"/>
    <w:rsid w:val="00A5496B"/>
    <w:rsid w:val="00A56138"/>
    <w:rsid w:val="00A65EC0"/>
    <w:rsid w:val="00A669DE"/>
    <w:rsid w:val="00A708C1"/>
    <w:rsid w:val="00A728D5"/>
    <w:rsid w:val="00A7380F"/>
    <w:rsid w:val="00A73F4B"/>
    <w:rsid w:val="00A75320"/>
    <w:rsid w:val="00A80011"/>
    <w:rsid w:val="00A80460"/>
    <w:rsid w:val="00A81FD8"/>
    <w:rsid w:val="00A829E5"/>
    <w:rsid w:val="00A853B2"/>
    <w:rsid w:val="00A86874"/>
    <w:rsid w:val="00A902F6"/>
    <w:rsid w:val="00A90A33"/>
    <w:rsid w:val="00A93531"/>
    <w:rsid w:val="00A96114"/>
    <w:rsid w:val="00AA2251"/>
    <w:rsid w:val="00AA2469"/>
    <w:rsid w:val="00AA4EB6"/>
    <w:rsid w:val="00AA7019"/>
    <w:rsid w:val="00AA777D"/>
    <w:rsid w:val="00AB1BF9"/>
    <w:rsid w:val="00AB7103"/>
    <w:rsid w:val="00AC2AF0"/>
    <w:rsid w:val="00AC7AB1"/>
    <w:rsid w:val="00AD0120"/>
    <w:rsid w:val="00AD04E7"/>
    <w:rsid w:val="00AD090E"/>
    <w:rsid w:val="00AD29C2"/>
    <w:rsid w:val="00AE0AEB"/>
    <w:rsid w:val="00AF2756"/>
    <w:rsid w:val="00AF34C7"/>
    <w:rsid w:val="00B01E8C"/>
    <w:rsid w:val="00B02F71"/>
    <w:rsid w:val="00B03B15"/>
    <w:rsid w:val="00B04224"/>
    <w:rsid w:val="00B13BCC"/>
    <w:rsid w:val="00B147F9"/>
    <w:rsid w:val="00B14F4F"/>
    <w:rsid w:val="00B20052"/>
    <w:rsid w:val="00B32353"/>
    <w:rsid w:val="00B36E37"/>
    <w:rsid w:val="00B42644"/>
    <w:rsid w:val="00B457C8"/>
    <w:rsid w:val="00B469EE"/>
    <w:rsid w:val="00B511C3"/>
    <w:rsid w:val="00B5123A"/>
    <w:rsid w:val="00B548D7"/>
    <w:rsid w:val="00B5530D"/>
    <w:rsid w:val="00B639DA"/>
    <w:rsid w:val="00B63DA0"/>
    <w:rsid w:val="00B64857"/>
    <w:rsid w:val="00B7296F"/>
    <w:rsid w:val="00B74AFD"/>
    <w:rsid w:val="00B8006D"/>
    <w:rsid w:val="00B8296F"/>
    <w:rsid w:val="00B8657B"/>
    <w:rsid w:val="00B86784"/>
    <w:rsid w:val="00B8775B"/>
    <w:rsid w:val="00B920C0"/>
    <w:rsid w:val="00B92891"/>
    <w:rsid w:val="00B93411"/>
    <w:rsid w:val="00B9691B"/>
    <w:rsid w:val="00BA1FDB"/>
    <w:rsid w:val="00BA260D"/>
    <w:rsid w:val="00BA46F2"/>
    <w:rsid w:val="00BA4934"/>
    <w:rsid w:val="00BA4FCE"/>
    <w:rsid w:val="00BA50E0"/>
    <w:rsid w:val="00BA567F"/>
    <w:rsid w:val="00BA7D6C"/>
    <w:rsid w:val="00BB237E"/>
    <w:rsid w:val="00BB4970"/>
    <w:rsid w:val="00BB51B6"/>
    <w:rsid w:val="00BB671E"/>
    <w:rsid w:val="00BC0391"/>
    <w:rsid w:val="00BC1391"/>
    <w:rsid w:val="00BC318B"/>
    <w:rsid w:val="00BC33CF"/>
    <w:rsid w:val="00BC4F61"/>
    <w:rsid w:val="00BC63DB"/>
    <w:rsid w:val="00BC73EC"/>
    <w:rsid w:val="00BD113B"/>
    <w:rsid w:val="00BD4C45"/>
    <w:rsid w:val="00BD6C89"/>
    <w:rsid w:val="00BD7F42"/>
    <w:rsid w:val="00BE39A8"/>
    <w:rsid w:val="00BE7A19"/>
    <w:rsid w:val="00BF00F6"/>
    <w:rsid w:val="00BF7A51"/>
    <w:rsid w:val="00C01F7F"/>
    <w:rsid w:val="00C032E9"/>
    <w:rsid w:val="00C0357C"/>
    <w:rsid w:val="00C1236B"/>
    <w:rsid w:val="00C225B4"/>
    <w:rsid w:val="00C27184"/>
    <w:rsid w:val="00C31B94"/>
    <w:rsid w:val="00C350DE"/>
    <w:rsid w:val="00C4173F"/>
    <w:rsid w:val="00C41E00"/>
    <w:rsid w:val="00C47E76"/>
    <w:rsid w:val="00C51805"/>
    <w:rsid w:val="00C6168F"/>
    <w:rsid w:val="00C706AE"/>
    <w:rsid w:val="00C70D84"/>
    <w:rsid w:val="00C73FF2"/>
    <w:rsid w:val="00C77092"/>
    <w:rsid w:val="00C7754B"/>
    <w:rsid w:val="00C8022E"/>
    <w:rsid w:val="00C813DA"/>
    <w:rsid w:val="00C81E79"/>
    <w:rsid w:val="00C855C1"/>
    <w:rsid w:val="00C86D62"/>
    <w:rsid w:val="00C877F7"/>
    <w:rsid w:val="00C87CA7"/>
    <w:rsid w:val="00C937E6"/>
    <w:rsid w:val="00C9677A"/>
    <w:rsid w:val="00CA119E"/>
    <w:rsid w:val="00CA2676"/>
    <w:rsid w:val="00CA3A6D"/>
    <w:rsid w:val="00CA50DC"/>
    <w:rsid w:val="00CA6F54"/>
    <w:rsid w:val="00CA7D43"/>
    <w:rsid w:val="00CB174C"/>
    <w:rsid w:val="00CB42B5"/>
    <w:rsid w:val="00CB46B8"/>
    <w:rsid w:val="00CB7998"/>
    <w:rsid w:val="00CC096C"/>
    <w:rsid w:val="00CC258A"/>
    <w:rsid w:val="00CC317C"/>
    <w:rsid w:val="00CC499D"/>
    <w:rsid w:val="00CC6AB6"/>
    <w:rsid w:val="00CD1306"/>
    <w:rsid w:val="00CE1B37"/>
    <w:rsid w:val="00CE5238"/>
    <w:rsid w:val="00CE704E"/>
    <w:rsid w:val="00CF18C6"/>
    <w:rsid w:val="00CF222A"/>
    <w:rsid w:val="00D03AA8"/>
    <w:rsid w:val="00D04D28"/>
    <w:rsid w:val="00D068D9"/>
    <w:rsid w:val="00D11904"/>
    <w:rsid w:val="00D11A2F"/>
    <w:rsid w:val="00D1242E"/>
    <w:rsid w:val="00D1471D"/>
    <w:rsid w:val="00D166B1"/>
    <w:rsid w:val="00D16E78"/>
    <w:rsid w:val="00D17877"/>
    <w:rsid w:val="00D235A2"/>
    <w:rsid w:val="00D23696"/>
    <w:rsid w:val="00D31E4C"/>
    <w:rsid w:val="00D32156"/>
    <w:rsid w:val="00D327B2"/>
    <w:rsid w:val="00D3793F"/>
    <w:rsid w:val="00D415DD"/>
    <w:rsid w:val="00D4273D"/>
    <w:rsid w:val="00D43096"/>
    <w:rsid w:val="00D446AA"/>
    <w:rsid w:val="00D478C7"/>
    <w:rsid w:val="00D5006D"/>
    <w:rsid w:val="00D50AF4"/>
    <w:rsid w:val="00D51864"/>
    <w:rsid w:val="00D53540"/>
    <w:rsid w:val="00D55D32"/>
    <w:rsid w:val="00D56CE7"/>
    <w:rsid w:val="00D60D96"/>
    <w:rsid w:val="00D614CF"/>
    <w:rsid w:val="00D63F5B"/>
    <w:rsid w:val="00D71F3D"/>
    <w:rsid w:val="00D81061"/>
    <w:rsid w:val="00D84645"/>
    <w:rsid w:val="00D86BBC"/>
    <w:rsid w:val="00D94678"/>
    <w:rsid w:val="00DA4F86"/>
    <w:rsid w:val="00DA64F4"/>
    <w:rsid w:val="00DA70D1"/>
    <w:rsid w:val="00DB1482"/>
    <w:rsid w:val="00DB245B"/>
    <w:rsid w:val="00DB5EFB"/>
    <w:rsid w:val="00DB6C7A"/>
    <w:rsid w:val="00DC0045"/>
    <w:rsid w:val="00DC0CE1"/>
    <w:rsid w:val="00DC4706"/>
    <w:rsid w:val="00DC5E74"/>
    <w:rsid w:val="00DC7369"/>
    <w:rsid w:val="00DD0736"/>
    <w:rsid w:val="00DD0BDB"/>
    <w:rsid w:val="00DD10D5"/>
    <w:rsid w:val="00DD190A"/>
    <w:rsid w:val="00DD296C"/>
    <w:rsid w:val="00DD6DC1"/>
    <w:rsid w:val="00DE37B0"/>
    <w:rsid w:val="00DE4AEF"/>
    <w:rsid w:val="00DE6860"/>
    <w:rsid w:val="00DE6F29"/>
    <w:rsid w:val="00DE72D0"/>
    <w:rsid w:val="00DE7DAC"/>
    <w:rsid w:val="00DF0E68"/>
    <w:rsid w:val="00DF23F8"/>
    <w:rsid w:val="00DF46F6"/>
    <w:rsid w:val="00DF6801"/>
    <w:rsid w:val="00DF6C95"/>
    <w:rsid w:val="00E00753"/>
    <w:rsid w:val="00E02CD2"/>
    <w:rsid w:val="00E02D31"/>
    <w:rsid w:val="00E03325"/>
    <w:rsid w:val="00E042F3"/>
    <w:rsid w:val="00E043AE"/>
    <w:rsid w:val="00E04443"/>
    <w:rsid w:val="00E10200"/>
    <w:rsid w:val="00E14C52"/>
    <w:rsid w:val="00E21C93"/>
    <w:rsid w:val="00E22240"/>
    <w:rsid w:val="00E275A2"/>
    <w:rsid w:val="00E27DB2"/>
    <w:rsid w:val="00E316A3"/>
    <w:rsid w:val="00E37A43"/>
    <w:rsid w:val="00E44588"/>
    <w:rsid w:val="00E44BEB"/>
    <w:rsid w:val="00E44C1B"/>
    <w:rsid w:val="00E45830"/>
    <w:rsid w:val="00E459E1"/>
    <w:rsid w:val="00E47882"/>
    <w:rsid w:val="00E553BD"/>
    <w:rsid w:val="00E65B1E"/>
    <w:rsid w:val="00E71B7B"/>
    <w:rsid w:val="00E72C84"/>
    <w:rsid w:val="00E7421B"/>
    <w:rsid w:val="00E74B63"/>
    <w:rsid w:val="00E755DF"/>
    <w:rsid w:val="00E758DB"/>
    <w:rsid w:val="00E81C49"/>
    <w:rsid w:val="00E84BD2"/>
    <w:rsid w:val="00E90AB4"/>
    <w:rsid w:val="00E91C10"/>
    <w:rsid w:val="00E923B2"/>
    <w:rsid w:val="00E94139"/>
    <w:rsid w:val="00E96830"/>
    <w:rsid w:val="00EA00BD"/>
    <w:rsid w:val="00EA2140"/>
    <w:rsid w:val="00EA626D"/>
    <w:rsid w:val="00EB2017"/>
    <w:rsid w:val="00EB369A"/>
    <w:rsid w:val="00EC0DF9"/>
    <w:rsid w:val="00EC4EC9"/>
    <w:rsid w:val="00EC5073"/>
    <w:rsid w:val="00EC682A"/>
    <w:rsid w:val="00ED17BA"/>
    <w:rsid w:val="00ED5803"/>
    <w:rsid w:val="00ED7F15"/>
    <w:rsid w:val="00EE0023"/>
    <w:rsid w:val="00EE25A8"/>
    <w:rsid w:val="00EE4DD3"/>
    <w:rsid w:val="00EF6CDC"/>
    <w:rsid w:val="00F0233E"/>
    <w:rsid w:val="00F02E5F"/>
    <w:rsid w:val="00F054A8"/>
    <w:rsid w:val="00F100B4"/>
    <w:rsid w:val="00F10D5F"/>
    <w:rsid w:val="00F1170B"/>
    <w:rsid w:val="00F14246"/>
    <w:rsid w:val="00F144BD"/>
    <w:rsid w:val="00F17001"/>
    <w:rsid w:val="00F17A2C"/>
    <w:rsid w:val="00F3116B"/>
    <w:rsid w:val="00F32018"/>
    <w:rsid w:val="00F334F2"/>
    <w:rsid w:val="00F44316"/>
    <w:rsid w:val="00F50AFF"/>
    <w:rsid w:val="00F529C5"/>
    <w:rsid w:val="00F6041B"/>
    <w:rsid w:val="00F65FF0"/>
    <w:rsid w:val="00F72061"/>
    <w:rsid w:val="00F73CF0"/>
    <w:rsid w:val="00F802D5"/>
    <w:rsid w:val="00F853AC"/>
    <w:rsid w:val="00F91958"/>
    <w:rsid w:val="00F92F89"/>
    <w:rsid w:val="00F9404A"/>
    <w:rsid w:val="00F96524"/>
    <w:rsid w:val="00F965EF"/>
    <w:rsid w:val="00FA3396"/>
    <w:rsid w:val="00FA540D"/>
    <w:rsid w:val="00FA6222"/>
    <w:rsid w:val="00FA742B"/>
    <w:rsid w:val="00FB577A"/>
    <w:rsid w:val="00FC1425"/>
    <w:rsid w:val="00FC34A6"/>
    <w:rsid w:val="00FC522A"/>
    <w:rsid w:val="00FC6D2D"/>
    <w:rsid w:val="00FC6EAB"/>
    <w:rsid w:val="00FD3125"/>
    <w:rsid w:val="00FD3177"/>
    <w:rsid w:val="00FE239A"/>
    <w:rsid w:val="00FE512A"/>
    <w:rsid w:val="00FF1607"/>
    <w:rsid w:val="00FF2757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78D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F78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59"/>
    <w:rsid w:val="000F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0F78D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F78D7"/>
    <w:rPr>
      <w:rFonts w:ascii="Calibri" w:hAnsi="Calibri"/>
      <w:szCs w:val="21"/>
    </w:rPr>
  </w:style>
  <w:style w:type="character" w:styleId="Regelnummer">
    <w:name w:val="line number"/>
    <w:basedOn w:val="Standaardalinea-lettertype"/>
    <w:uiPriority w:val="99"/>
    <w:semiHidden/>
    <w:unhideWhenUsed/>
    <w:rsid w:val="003D7548"/>
  </w:style>
  <w:style w:type="paragraph" w:styleId="Koptekst">
    <w:name w:val="header"/>
    <w:basedOn w:val="Standaard"/>
    <w:link w:val="KoptekstChar"/>
    <w:uiPriority w:val="99"/>
    <w:unhideWhenUsed/>
    <w:rsid w:val="00C6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168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6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168F"/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68F"/>
    <w:rPr>
      <w:rFonts w:ascii="Tahoma" w:eastAsiaTheme="minorEastAsi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40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407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407A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40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407A"/>
    <w:rPr>
      <w:rFonts w:eastAsiaTheme="minorEastAsia"/>
      <w:b/>
      <w:bCs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78D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F78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59"/>
    <w:rsid w:val="000F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0F78D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F78D7"/>
    <w:rPr>
      <w:rFonts w:ascii="Calibri" w:hAnsi="Calibri"/>
      <w:szCs w:val="21"/>
    </w:rPr>
  </w:style>
  <w:style w:type="character" w:styleId="Regelnummer">
    <w:name w:val="line number"/>
    <w:basedOn w:val="Standaardalinea-lettertype"/>
    <w:uiPriority w:val="99"/>
    <w:semiHidden/>
    <w:unhideWhenUsed/>
    <w:rsid w:val="003D7548"/>
  </w:style>
  <w:style w:type="paragraph" w:styleId="Koptekst">
    <w:name w:val="header"/>
    <w:basedOn w:val="Standaard"/>
    <w:link w:val="KoptekstChar"/>
    <w:uiPriority w:val="99"/>
    <w:unhideWhenUsed/>
    <w:rsid w:val="00C6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168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6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168F"/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68F"/>
    <w:rPr>
      <w:rFonts w:ascii="Tahoma" w:eastAsiaTheme="minorEastAsi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40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407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407A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40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407A"/>
    <w:rPr>
      <w:rFonts w:eastAsiaTheme="minorEastAsia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C7C6-6D79-4A01-AFCE-77BEFBC6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Richter, AE (bkk)</dc:creator>
  <cp:lastModifiedBy>Richter, AE (bkk)</cp:lastModifiedBy>
  <cp:revision>4</cp:revision>
  <dcterms:created xsi:type="dcterms:W3CDTF">2021-04-25T20:56:00Z</dcterms:created>
  <dcterms:modified xsi:type="dcterms:W3CDTF">2021-04-25T21:02:00Z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18744</vt:lpwstr>
  </property>
  <property fmtid="{D5CDD505-2E9C-101B-9397-08002B2CF9AE}" pid="3" name="WnCSubscriberId">
    <vt:lpwstr>5225</vt:lpwstr>
  </property>
  <property fmtid="{D5CDD505-2E9C-101B-9397-08002B2CF9AE}" pid="4" name="WnCOutputStyleId">
    <vt:lpwstr>1004</vt:lpwstr>
  </property>
  <property fmtid="{D5CDD505-2E9C-101B-9397-08002B2CF9AE}" pid="5" name="RWProductId">
    <vt:lpwstr>WnC</vt:lpwstr>
  </property>
  <property fmtid="{D5CDD505-2E9C-101B-9397-08002B2CF9AE}" pid="6" name="WnC4Folder">
    <vt:lpwstr>Documents///Supplementary Tables S1-S3_Richter et al 27092020</vt:lpwstr>
  </property>
</Properties>
</file>