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99B1" w14:textId="77777777" w:rsidR="009C1FDD" w:rsidRPr="00B60392" w:rsidRDefault="009C1FDD" w:rsidP="009C1FDD">
      <w:pPr>
        <w:pStyle w:val="Heading1"/>
      </w:pPr>
      <w:r w:rsidRPr="00B60392">
        <w:t>Supplementary Materials</w:t>
      </w:r>
    </w:p>
    <w:p w14:paraId="41EECDF9" w14:textId="1F6667DE" w:rsidR="00F64E87" w:rsidRPr="00587481" w:rsidRDefault="009C1FDD" w:rsidP="00587481">
      <w:pPr>
        <w:pStyle w:val="Heading2"/>
        <w:jc w:val="left"/>
        <w:rPr>
          <w:b w:val="0"/>
          <w:i/>
        </w:rPr>
      </w:pPr>
      <w:r w:rsidRPr="00B60392">
        <w:t>Supplementary Figures</w:t>
      </w:r>
      <w:bookmarkStart w:id="0" w:name="_Ref44429264"/>
      <w:bookmarkStart w:id="1" w:name="_Ref41579248"/>
      <w:r w:rsidR="00587481">
        <w:br/>
      </w:r>
      <w:r w:rsidR="00587481">
        <w:br/>
      </w:r>
      <w:r w:rsidR="00F64E87" w:rsidRPr="00587481">
        <w:rPr>
          <w:b w:val="0"/>
          <w:i/>
          <w:sz w:val="22"/>
        </w:rPr>
        <w:t xml:space="preserve">Supplementary Figure </w:t>
      </w:r>
      <w:r w:rsidR="00270E9B">
        <w:rPr>
          <w:b w:val="0"/>
          <w:i/>
          <w:sz w:val="22"/>
        </w:rPr>
        <w:t>S1</w:t>
      </w:r>
      <w:r w:rsidR="00F64E87" w:rsidRPr="00587481">
        <w:rPr>
          <w:b w:val="0"/>
          <w:i/>
          <w:sz w:val="22"/>
        </w:rPr>
        <w:t>: Meta-analysis of the association of one standard deviation increase in birth weight with annual earnings, twin studies only</w:t>
      </w:r>
    </w:p>
    <w:p w14:paraId="0160A71F" w14:textId="781FF26C" w:rsidR="00F64E87" w:rsidRDefault="00F64E87" w:rsidP="00F64E87">
      <w:pPr>
        <w:pStyle w:val="Caption"/>
        <w:keepNext/>
        <w:rPr>
          <w:rFonts w:cs="Times New Roman"/>
          <w:color w:val="auto"/>
          <w:sz w:val="22"/>
          <w:szCs w:val="22"/>
        </w:rPr>
      </w:pPr>
      <w:r>
        <w:rPr>
          <w:rFonts w:cs="Times New Roman"/>
          <w:noProof/>
          <w:color w:val="auto"/>
          <w:sz w:val="22"/>
          <w:szCs w:val="22"/>
          <w:lang w:eastAsia="en-GB"/>
        </w:rPr>
        <w:drawing>
          <wp:inline distT="0" distB="0" distL="0" distR="0" wp14:anchorId="2C7BD1F7" wp14:editId="2532C7A6">
            <wp:extent cx="5760720" cy="2880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_1SD_LnW_SortSample_twinsonly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1E7F4" w14:textId="6341C920" w:rsidR="00F64E87" w:rsidRPr="00265955" w:rsidRDefault="00F64E87" w:rsidP="00F64E87">
      <w:pPr>
        <w:pStyle w:val="Caption"/>
        <w:keepNext/>
        <w:rPr>
          <w:color w:val="auto"/>
          <w:sz w:val="22"/>
          <w:szCs w:val="22"/>
        </w:rPr>
      </w:pPr>
      <w:r w:rsidRPr="00265955">
        <w:rPr>
          <w:color w:val="auto"/>
          <w:sz w:val="22"/>
          <w:szCs w:val="22"/>
        </w:rPr>
        <w:t xml:space="preserve">Supplementary Figure </w:t>
      </w:r>
      <w:r w:rsidR="00270E9B">
        <w:rPr>
          <w:color w:val="auto"/>
          <w:sz w:val="22"/>
          <w:szCs w:val="22"/>
        </w:rPr>
        <w:t>S2</w:t>
      </w:r>
      <w:r w:rsidRPr="00265955">
        <w:rPr>
          <w:color w:val="auto"/>
          <w:sz w:val="22"/>
          <w:szCs w:val="22"/>
        </w:rPr>
        <w:t>: Meta-analysis of the association of one stand</w:t>
      </w:r>
      <w:r w:rsidR="00587481">
        <w:rPr>
          <w:color w:val="auto"/>
          <w:sz w:val="22"/>
          <w:szCs w:val="22"/>
        </w:rPr>
        <w:t xml:space="preserve">ard deviation increase in birth </w:t>
      </w:r>
      <w:r w:rsidRPr="00265955">
        <w:rPr>
          <w:color w:val="auto"/>
          <w:sz w:val="22"/>
          <w:szCs w:val="22"/>
        </w:rPr>
        <w:t>weight with annual earnings, high income countries only</w:t>
      </w:r>
    </w:p>
    <w:p w14:paraId="5FBC47FE" w14:textId="77777777" w:rsidR="00F64E87" w:rsidRPr="0014096D" w:rsidRDefault="00F64E87" w:rsidP="00F64E87">
      <w:pPr>
        <w:pStyle w:val="Caption"/>
        <w:keepNext/>
        <w:rPr>
          <w:rFonts w:cs="Times New Roman"/>
          <w:i w:val="0"/>
          <w:color w:val="auto"/>
          <w:sz w:val="22"/>
          <w:szCs w:val="22"/>
        </w:rPr>
      </w:pPr>
      <w:r>
        <w:rPr>
          <w:rFonts w:cs="Times New Roman"/>
          <w:i w:val="0"/>
          <w:noProof/>
          <w:color w:val="auto"/>
          <w:sz w:val="22"/>
          <w:szCs w:val="22"/>
          <w:lang w:eastAsia="en-GB"/>
        </w:rPr>
        <w:drawing>
          <wp:inline distT="0" distB="0" distL="0" distR="0" wp14:anchorId="5522B8A2" wp14:editId="30120521">
            <wp:extent cx="5760720" cy="288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_1SD_LnW_SortSample_noChina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4D7B" w14:textId="77777777" w:rsidR="00F64E87" w:rsidRDefault="00F64E87" w:rsidP="009C1FDD">
      <w:pPr>
        <w:pStyle w:val="Caption"/>
        <w:keepNext/>
        <w:rPr>
          <w:rFonts w:cs="Times New Roman"/>
          <w:color w:val="auto"/>
          <w:sz w:val="22"/>
          <w:szCs w:val="22"/>
        </w:rPr>
      </w:pPr>
    </w:p>
    <w:p w14:paraId="5D82A570" w14:textId="77777777" w:rsidR="00F64E87" w:rsidRDefault="00F64E87" w:rsidP="009C1FDD">
      <w:pPr>
        <w:pStyle w:val="Caption"/>
        <w:keepNext/>
        <w:rPr>
          <w:rFonts w:cs="Times New Roman"/>
          <w:color w:val="auto"/>
          <w:sz w:val="22"/>
          <w:szCs w:val="22"/>
        </w:rPr>
      </w:pPr>
    </w:p>
    <w:p w14:paraId="581893E6" w14:textId="6CFB3574" w:rsidR="00F64E87" w:rsidRDefault="00F64E87" w:rsidP="009C1FDD">
      <w:pPr>
        <w:pStyle w:val="Caption"/>
        <w:keepNext/>
        <w:rPr>
          <w:rFonts w:cs="Times New Roman"/>
          <w:color w:val="auto"/>
          <w:sz w:val="22"/>
          <w:szCs w:val="22"/>
        </w:rPr>
      </w:pPr>
    </w:p>
    <w:p w14:paraId="7C3E8F55" w14:textId="77777777" w:rsidR="00F64E87" w:rsidRPr="00F64E87" w:rsidRDefault="00F64E87" w:rsidP="00F64E87"/>
    <w:p w14:paraId="4194D5C6" w14:textId="33550AF8" w:rsidR="009C1FDD" w:rsidRPr="00245961" w:rsidRDefault="009C1FDD" w:rsidP="009C1FDD">
      <w:pPr>
        <w:pStyle w:val="Caption"/>
        <w:keepNext/>
        <w:rPr>
          <w:rFonts w:cs="Times New Roman"/>
          <w:color w:val="auto"/>
          <w:sz w:val="22"/>
          <w:szCs w:val="22"/>
        </w:rPr>
      </w:pPr>
      <w:r w:rsidRPr="00245961">
        <w:rPr>
          <w:rFonts w:cs="Times New Roman"/>
          <w:color w:val="auto"/>
          <w:sz w:val="22"/>
          <w:szCs w:val="22"/>
        </w:rPr>
        <w:lastRenderedPageBreak/>
        <w:t xml:space="preserve">Supplementary Figure </w:t>
      </w:r>
      <w:bookmarkEnd w:id="0"/>
      <w:r w:rsidR="00270E9B">
        <w:rPr>
          <w:rFonts w:cs="Times New Roman"/>
          <w:color w:val="auto"/>
          <w:sz w:val="22"/>
          <w:szCs w:val="22"/>
        </w:rPr>
        <w:t>S3</w:t>
      </w:r>
      <w:r w:rsidRPr="00245961">
        <w:rPr>
          <w:rFonts w:cs="Times New Roman"/>
          <w:color w:val="auto"/>
          <w:sz w:val="22"/>
          <w:szCs w:val="22"/>
        </w:rPr>
        <w:t>: Meta-analysis of the associ</w:t>
      </w:r>
      <w:r>
        <w:rPr>
          <w:rFonts w:cs="Times New Roman"/>
          <w:color w:val="auto"/>
          <w:sz w:val="22"/>
          <w:szCs w:val="22"/>
        </w:rPr>
        <w:t xml:space="preserve">ation of one standard deviation increase </w:t>
      </w:r>
      <w:r w:rsidRPr="00245961">
        <w:rPr>
          <w:rFonts w:cs="Times New Roman"/>
          <w:color w:val="auto"/>
          <w:sz w:val="22"/>
          <w:szCs w:val="22"/>
        </w:rPr>
        <w:t>in birth weight with annual earnings, by continuous birth weight measure</w:t>
      </w:r>
    </w:p>
    <w:p w14:paraId="05D9EBDE" w14:textId="67588BEE" w:rsidR="009C1FDD" w:rsidRPr="00B60392" w:rsidRDefault="00EB5FF4" w:rsidP="009C1FDD">
      <w:pPr>
        <w:keepNext/>
        <w:rPr>
          <w:rFonts w:cs="Times New Roman"/>
        </w:rPr>
      </w:pPr>
      <w:r>
        <w:rPr>
          <w:rFonts w:cs="Times New Roman"/>
          <w:noProof/>
          <w:lang w:eastAsia="en-GB"/>
        </w:rPr>
        <w:drawing>
          <wp:inline distT="0" distB="0" distL="0" distR="0" wp14:anchorId="4AFD0972" wp14:editId="0CDCF7D2">
            <wp:extent cx="5760720" cy="4608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_1SD_LnW_SortSample.linlog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C0034F2" w14:textId="0F0C5857" w:rsidR="00270E9B" w:rsidRPr="00270E9B" w:rsidRDefault="00270E9B" w:rsidP="00270E9B">
      <w:pPr>
        <w:pStyle w:val="Caption"/>
        <w:keepNext/>
        <w:rPr>
          <w:color w:val="auto"/>
          <w:sz w:val="22"/>
        </w:rPr>
      </w:pPr>
      <w:r w:rsidRPr="00270E9B">
        <w:rPr>
          <w:color w:val="auto"/>
          <w:sz w:val="22"/>
        </w:rPr>
        <w:t xml:space="preserve">Supplementary Figure </w:t>
      </w:r>
      <w:r>
        <w:rPr>
          <w:color w:val="auto"/>
          <w:sz w:val="22"/>
        </w:rPr>
        <w:t>S4</w:t>
      </w:r>
      <w:r w:rsidRPr="00270E9B">
        <w:rPr>
          <w:color w:val="auto"/>
          <w:sz w:val="22"/>
        </w:rPr>
        <w:t xml:space="preserve">: Meta-analysis of the association of one standard deviation increase in birth eight with annual earnings, studies </w:t>
      </w:r>
      <w:r w:rsidR="00E64856">
        <w:rPr>
          <w:color w:val="auto"/>
          <w:sz w:val="22"/>
        </w:rPr>
        <w:t>that do not</w:t>
      </w:r>
      <w:r w:rsidRPr="00270E9B">
        <w:rPr>
          <w:color w:val="auto"/>
          <w:sz w:val="22"/>
        </w:rPr>
        <w:t xml:space="preserve"> adjust for education</w:t>
      </w:r>
      <w:bookmarkStart w:id="2" w:name="_GoBack"/>
      <w:bookmarkEnd w:id="2"/>
    </w:p>
    <w:p w14:paraId="6E5F9A36" w14:textId="797B14E5" w:rsidR="00794DCF" w:rsidRDefault="00270E9B" w:rsidP="00794DCF">
      <w:r>
        <w:rPr>
          <w:noProof/>
          <w:lang w:eastAsia="en-GB"/>
        </w:rPr>
        <w:drawing>
          <wp:inline distT="0" distB="0" distL="0" distR="0" wp14:anchorId="6809FD10" wp14:editId="63924533">
            <wp:extent cx="5760720" cy="2880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_1SD_LnW_noEdu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D9E50" w14:textId="77777777" w:rsidR="00270E9B" w:rsidRDefault="00270E9B" w:rsidP="00794DCF"/>
    <w:p w14:paraId="2BFAB264" w14:textId="2165E7AE" w:rsidR="009C1FDD" w:rsidRDefault="00794DCF" w:rsidP="00794DCF">
      <w:pPr>
        <w:pStyle w:val="Heading2"/>
      </w:pPr>
      <w:r>
        <w:lastRenderedPageBreak/>
        <w:t>Appendix 1</w:t>
      </w:r>
    </w:p>
    <w:p w14:paraId="4B9A8077" w14:textId="77777777" w:rsidR="009C1FDD" w:rsidRDefault="009C1FDD" w:rsidP="009C1FDD">
      <w:pPr>
        <w:pStyle w:val="Caption"/>
        <w:keepNext/>
        <w:rPr>
          <w:rFonts w:cs="Times New Roman"/>
          <w:color w:val="auto"/>
          <w:sz w:val="22"/>
          <w:szCs w:val="22"/>
        </w:rPr>
      </w:pPr>
    </w:p>
    <w:p w14:paraId="1D76D885" w14:textId="77777777" w:rsidR="00794DCF" w:rsidRDefault="00794DCF" w:rsidP="00794DCF">
      <w:pPr>
        <w:pStyle w:val="Caption"/>
        <w:keepNext/>
      </w:pPr>
      <w:r>
        <w:rPr>
          <w:rFonts w:cs="Times New Roman"/>
          <w:noProof/>
          <w:color w:val="auto"/>
          <w:sz w:val="22"/>
          <w:szCs w:val="22"/>
          <w:lang w:eastAsia="en-GB"/>
        </w:rPr>
        <w:drawing>
          <wp:inline distT="0" distB="0" distL="0" distR="0" wp14:anchorId="19DEC697" wp14:editId="5B2AFD11">
            <wp:extent cx="5760720" cy="41897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w_vs_lnbw_simplo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42C8" w14:textId="453B40D0" w:rsidR="009C1FDD" w:rsidRPr="00794DCF" w:rsidRDefault="00794DCF" w:rsidP="00794DCF">
      <w:pPr>
        <w:pStyle w:val="Caption"/>
        <w:rPr>
          <w:rFonts w:cs="Times New Roman"/>
          <w:color w:val="auto"/>
          <w:sz w:val="24"/>
          <w:szCs w:val="22"/>
        </w:rPr>
      </w:pPr>
      <w:r w:rsidRPr="00794DCF">
        <w:rPr>
          <w:color w:val="auto"/>
          <w:sz w:val="20"/>
        </w:rPr>
        <w:t>Note: the coefficients are based on regressions of normally distributed simulated earnings and birth weight data.</w:t>
      </w:r>
    </w:p>
    <w:p w14:paraId="1686984B" w14:textId="6BE7DCF9" w:rsidR="00BB01B3" w:rsidRPr="006A7019" w:rsidRDefault="00BB01B3" w:rsidP="005621EA">
      <w:pPr>
        <w:rPr>
          <w:rFonts w:cs="Arial"/>
        </w:rPr>
      </w:pPr>
    </w:p>
    <w:sectPr w:rsidR="00BB01B3" w:rsidRPr="006A7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7BD"/>
    <w:multiLevelType w:val="hybridMultilevel"/>
    <w:tmpl w:val="AC0822FC"/>
    <w:lvl w:ilvl="0" w:tplc="6310D5C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D"/>
    <w:rsid w:val="00013B42"/>
    <w:rsid w:val="00030026"/>
    <w:rsid w:val="000A3D91"/>
    <w:rsid w:val="000C0D7D"/>
    <w:rsid w:val="000F1A61"/>
    <w:rsid w:val="00105133"/>
    <w:rsid w:val="00107904"/>
    <w:rsid w:val="0011314D"/>
    <w:rsid w:val="00135444"/>
    <w:rsid w:val="0014096D"/>
    <w:rsid w:val="001533D5"/>
    <w:rsid w:val="0016624F"/>
    <w:rsid w:val="00173A19"/>
    <w:rsid w:val="00193D81"/>
    <w:rsid w:val="001E3033"/>
    <w:rsid w:val="00213168"/>
    <w:rsid w:val="002134FB"/>
    <w:rsid w:val="00223B15"/>
    <w:rsid w:val="0023167D"/>
    <w:rsid w:val="0024137E"/>
    <w:rsid w:val="0024351C"/>
    <w:rsid w:val="00265955"/>
    <w:rsid w:val="00270E9B"/>
    <w:rsid w:val="002803B9"/>
    <w:rsid w:val="00281E27"/>
    <w:rsid w:val="002A7958"/>
    <w:rsid w:val="002C0A83"/>
    <w:rsid w:val="002C6DDA"/>
    <w:rsid w:val="002C77DD"/>
    <w:rsid w:val="00332580"/>
    <w:rsid w:val="0038494F"/>
    <w:rsid w:val="00394254"/>
    <w:rsid w:val="003A589F"/>
    <w:rsid w:val="003B5878"/>
    <w:rsid w:val="003C4D33"/>
    <w:rsid w:val="003D0965"/>
    <w:rsid w:val="003F7F55"/>
    <w:rsid w:val="004054E9"/>
    <w:rsid w:val="004064A2"/>
    <w:rsid w:val="00416A7E"/>
    <w:rsid w:val="004528A4"/>
    <w:rsid w:val="0047749E"/>
    <w:rsid w:val="00484F82"/>
    <w:rsid w:val="004A23B8"/>
    <w:rsid w:val="004A2D9C"/>
    <w:rsid w:val="004D551F"/>
    <w:rsid w:val="004D721E"/>
    <w:rsid w:val="00503503"/>
    <w:rsid w:val="00510105"/>
    <w:rsid w:val="00516C14"/>
    <w:rsid w:val="005621EA"/>
    <w:rsid w:val="00587481"/>
    <w:rsid w:val="005A41DC"/>
    <w:rsid w:val="005B4F40"/>
    <w:rsid w:val="005C1074"/>
    <w:rsid w:val="005D2AC4"/>
    <w:rsid w:val="005D3989"/>
    <w:rsid w:val="005F435F"/>
    <w:rsid w:val="006240BD"/>
    <w:rsid w:val="00640E6C"/>
    <w:rsid w:val="0064167D"/>
    <w:rsid w:val="00642970"/>
    <w:rsid w:val="0064315F"/>
    <w:rsid w:val="00645F5C"/>
    <w:rsid w:val="006462AD"/>
    <w:rsid w:val="00652D5C"/>
    <w:rsid w:val="00656120"/>
    <w:rsid w:val="0065672D"/>
    <w:rsid w:val="006718D7"/>
    <w:rsid w:val="0067392F"/>
    <w:rsid w:val="00675446"/>
    <w:rsid w:val="00684EEE"/>
    <w:rsid w:val="00685CBC"/>
    <w:rsid w:val="006863F6"/>
    <w:rsid w:val="00692260"/>
    <w:rsid w:val="006A7019"/>
    <w:rsid w:val="006E562E"/>
    <w:rsid w:val="00720333"/>
    <w:rsid w:val="00744580"/>
    <w:rsid w:val="0075779A"/>
    <w:rsid w:val="00776BC6"/>
    <w:rsid w:val="007836B0"/>
    <w:rsid w:val="007855B7"/>
    <w:rsid w:val="00791B2C"/>
    <w:rsid w:val="00794DCF"/>
    <w:rsid w:val="00797A8F"/>
    <w:rsid w:val="007B0B7C"/>
    <w:rsid w:val="007C2646"/>
    <w:rsid w:val="007C738C"/>
    <w:rsid w:val="007D0967"/>
    <w:rsid w:val="007D73B8"/>
    <w:rsid w:val="007E11FB"/>
    <w:rsid w:val="007F1A88"/>
    <w:rsid w:val="007F48CF"/>
    <w:rsid w:val="008008D1"/>
    <w:rsid w:val="00805342"/>
    <w:rsid w:val="00807A75"/>
    <w:rsid w:val="00812462"/>
    <w:rsid w:val="00822F63"/>
    <w:rsid w:val="00824376"/>
    <w:rsid w:val="00827142"/>
    <w:rsid w:val="00837A3F"/>
    <w:rsid w:val="00865965"/>
    <w:rsid w:val="008717E8"/>
    <w:rsid w:val="00872AA5"/>
    <w:rsid w:val="008863DA"/>
    <w:rsid w:val="008952E7"/>
    <w:rsid w:val="0089751D"/>
    <w:rsid w:val="008C0A5A"/>
    <w:rsid w:val="008C79CD"/>
    <w:rsid w:val="00923CCC"/>
    <w:rsid w:val="00961D1C"/>
    <w:rsid w:val="009744DB"/>
    <w:rsid w:val="009A309C"/>
    <w:rsid w:val="009B1808"/>
    <w:rsid w:val="009C1FDD"/>
    <w:rsid w:val="009C4191"/>
    <w:rsid w:val="009F5900"/>
    <w:rsid w:val="00A045CF"/>
    <w:rsid w:val="00A231D9"/>
    <w:rsid w:val="00A50157"/>
    <w:rsid w:val="00A54E83"/>
    <w:rsid w:val="00A97670"/>
    <w:rsid w:val="00AB094E"/>
    <w:rsid w:val="00AD07F8"/>
    <w:rsid w:val="00B110C4"/>
    <w:rsid w:val="00B22D19"/>
    <w:rsid w:val="00B2730C"/>
    <w:rsid w:val="00B3425A"/>
    <w:rsid w:val="00B4260F"/>
    <w:rsid w:val="00B549B4"/>
    <w:rsid w:val="00B9339B"/>
    <w:rsid w:val="00B9666C"/>
    <w:rsid w:val="00BB01AB"/>
    <w:rsid w:val="00BB01B3"/>
    <w:rsid w:val="00BB2581"/>
    <w:rsid w:val="00BE1DCB"/>
    <w:rsid w:val="00BF4461"/>
    <w:rsid w:val="00BF4AEF"/>
    <w:rsid w:val="00BF76B3"/>
    <w:rsid w:val="00C0259B"/>
    <w:rsid w:val="00C101BE"/>
    <w:rsid w:val="00C220AD"/>
    <w:rsid w:val="00C265BC"/>
    <w:rsid w:val="00C30A44"/>
    <w:rsid w:val="00C73761"/>
    <w:rsid w:val="00C842F8"/>
    <w:rsid w:val="00C94F5E"/>
    <w:rsid w:val="00C96740"/>
    <w:rsid w:val="00CA10C9"/>
    <w:rsid w:val="00CB4254"/>
    <w:rsid w:val="00CD125E"/>
    <w:rsid w:val="00CD63DA"/>
    <w:rsid w:val="00CE21CA"/>
    <w:rsid w:val="00CE52F9"/>
    <w:rsid w:val="00D0381E"/>
    <w:rsid w:val="00D04EF7"/>
    <w:rsid w:val="00D25739"/>
    <w:rsid w:val="00D335E0"/>
    <w:rsid w:val="00D343AC"/>
    <w:rsid w:val="00D427B5"/>
    <w:rsid w:val="00D55CD4"/>
    <w:rsid w:val="00D72C8B"/>
    <w:rsid w:val="00DE518A"/>
    <w:rsid w:val="00DF4BAC"/>
    <w:rsid w:val="00E02105"/>
    <w:rsid w:val="00E06BB6"/>
    <w:rsid w:val="00E40E5D"/>
    <w:rsid w:val="00E539D4"/>
    <w:rsid w:val="00E54EDD"/>
    <w:rsid w:val="00E64856"/>
    <w:rsid w:val="00E666D0"/>
    <w:rsid w:val="00E74E13"/>
    <w:rsid w:val="00E76C8A"/>
    <w:rsid w:val="00E86E3C"/>
    <w:rsid w:val="00E900C9"/>
    <w:rsid w:val="00EB5FF4"/>
    <w:rsid w:val="00EC2804"/>
    <w:rsid w:val="00ED0AB4"/>
    <w:rsid w:val="00F0171D"/>
    <w:rsid w:val="00F10AF2"/>
    <w:rsid w:val="00F16945"/>
    <w:rsid w:val="00F302A6"/>
    <w:rsid w:val="00F350ED"/>
    <w:rsid w:val="00F36134"/>
    <w:rsid w:val="00F52101"/>
    <w:rsid w:val="00F64E87"/>
    <w:rsid w:val="00F95A27"/>
    <w:rsid w:val="00FB5C52"/>
    <w:rsid w:val="00FD57D0"/>
    <w:rsid w:val="00FE2DB6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642D6"/>
  <w15:chartTrackingRefBased/>
  <w15:docId w15:val="{7DAE9DA8-ABD0-4318-9D22-5A48E15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DD"/>
    <w:pPr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1FDD"/>
    <w:pPr>
      <w:keepNext/>
      <w:keepLines/>
      <w:spacing w:before="240" w:after="0"/>
      <w:outlineLvl w:val="0"/>
    </w:pPr>
    <w:rPr>
      <w:rFonts w:eastAsiaTheme="majorEastAsia" w:cs="Times New Roman"/>
      <w:b/>
      <w:sz w:val="28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1FDD"/>
    <w:pPr>
      <w:outlineLvl w:val="1"/>
    </w:pPr>
    <w:rPr>
      <w:rFonts w:cs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FDD"/>
    <w:rPr>
      <w:rFonts w:ascii="Times New Roman" w:eastAsiaTheme="majorEastAsia" w:hAnsi="Times New Roman" w:cs="Times New Roman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1FDD"/>
    <w:rPr>
      <w:rFonts w:ascii="Times New Roman" w:hAnsi="Times New Roman" w:cs="Times New Roman"/>
      <w:b/>
      <w:sz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1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FDD"/>
    <w:rPr>
      <w:rFonts w:ascii="Times New Roman" w:hAnsi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C1FDD"/>
    <w:pPr>
      <w:ind w:left="720"/>
      <w:contextualSpacing/>
    </w:pPr>
  </w:style>
  <w:style w:type="table" w:styleId="TableGrid">
    <w:name w:val="Table Grid"/>
    <w:basedOn w:val="TableNormal"/>
    <w:uiPriority w:val="59"/>
    <w:rsid w:val="009C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1FDD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C1FD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1FDD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D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3087-E7BE-42E2-9806-EA52EF80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J. Lambiris</dc:creator>
  <cp:keywords/>
  <dc:description/>
  <cp:lastModifiedBy>Mark J. Lambiris</cp:lastModifiedBy>
  <cp:revision>6</cp:revision>
  <dcterms:created xsi:type="dcterms:W3CDTF">2021-05-04T15:17:00Z</dcterms:created>
  <dcterms:modified xsi:type="dcterms:W3CDTF">2021-05-17T16:08:00Z</dcterms:modified>
</cp:coreProperties>
</file>