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9BC3" w14:textId="58EC64D0" w:rsidR="00F731ED" w:rsidRDefault="00F731ED" w:rsidP="00F731ED">
      <w:pPr>
        <w:rPr>
          <w:noProof/>
        </w:rPr>
      </w:pPr>
      <w:r>
        <w:rPr>
          <w:noProof/>
        </w:rPr>
        <w:t>Supplementary</w:t>
      </w:r>
      <w:r>
        <w:rPr>
          <w:noProof/>
        </w:rPr>
        <w:drawing>
          <wp:inline distT="0" distB="0" distL="0" distR="0" wp14:anchorId="37E3F38F" wp14:editId="3F0374B7">
            <wp:extent cx="7474226" cy="5229906"/>
            <wp:effectExtent l="0" t="0" r="0" b="8890"/>
            <wp:docPr id="2110616006" name="Picture 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616006" name="Picture 4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802" cy="5232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8955B1" w14:textId="447FF01D" w:rsidR="00F731ED" w:rsidRDefault="00F731ED" w:rsidP="00F731ED">
      <w:r>
        <w:t xml:space="preserve">Figure </w:t>
      </w:r>
      <w:r w:rsidR="004F75D0">
        <w:t>S</w:t>
      </w:r>
      <w:r w:rsidR="00706C96">
        <w:t>1</w:t>
      </w:r>
      <w:r>
        <w:t xml:space="preserve">: Flow chart of study participants </w:t>
      </w:r>
    </w:p>
    <w:p w14:paraId="3087BB04" w14:textId="77777777" w:rsidR="00433A40" w:rsidRDefault="00433A40" w:rsidP="00FD4D82">
      <w:pPr>
        <w:sectPr w:rsidR="00433A40" w:rsidSect="00F731ED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21E47FE" w14:textId="22300EC0" w:rsidR="00433A40" w:rsidRDefault="00F63842" w:rsidP="00433A40">
      <w:r>
        <w:rPr>
          <w:noProof/>
        </w:rPr>
        <w:lastRenderedPageBreak/>
        <w:drawing>
          <wp:inline distT="0" distB="0" distL="0" distR="0" wp14:anchorId="02304E89" wp14:editId="6219BD68">
            <wp:extent cx="8298180" cy="3326023"/>
            <wp:effectExtent l="0" t="0" r="7620" b="8255"/>
            <wp:docPr id="1275344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496" cy="3335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19937E" w14:textId="48A18756" w:rsidR="00F731ED" w:rsidRDefault="00433A40" w:rsidP="00433A40">
      <w:pPr>
        <w:sectPr w:rsidR="00F731ED" w:rsidSect="00F731ED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Figure </w:t>
      </w:r>
      <w:r w:rsidR="004F75D0">
        <w:t>S</w:t>
      </w:r>
      <w:r w:rsidR="00706C96">
        <w:t>2</w:t>
      </w:r>
      <w:r>
        <w:t xml:space="preserve">: </w:t>
      </w:r>
      <w:r w:rsidRPr="00721541">
        <w:t>Directed acyclic graph (DAG) for the relationship between birthweight and diabetes, hypertension or ischemic heart disease identifying the minimum sufficient set of potential confounders dotted boxes and a potential mediator (which were not conditioned on) in a circle. Unobserved variables were not included</w:t>
      </w:r>
      <w:r w:rsidR="000757CC">
        <w:t>.</w:t>
      </w:r>
    </w:p>
    <w:p w14:paraId="71E2822D" w14:textId="1069C458" w:rsidR="00FD4D82" w:rsidRDefault="00FD4D82" w:rsidP="00FD4D82">
      <w:r>
        <w:lastRenderedPageBreak/>
        <w:t xml:space="preserve">Table </w:t>
      </w:r>
      <w:r w:rsidR="004F75D0">
        <w:t>S</w:t>
      </w:r>
      <w:r>
        <w:t>1:</w:t>
      </w:r>
      <w:r w:rsidR="00FA01B9">
        <w:t xml:space="preserve"> Variable definitions 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577"/>
        <w:gridCol w:w="4506"/>
        <w:gridCol w:w="2171"/>
      </w:tblGrid>
      <w:tr w:rsidR="00046370" w14:paraId="66AFFAA4" w14:textId="7848FD40" w:rsidTr="00046370">
        <w:trPr>
          <w:trHeight w:val="264"/>
        </w:trPr>
        <w:tc>
          <w:tcPr>
            <w:tcW w:w="2577" w:type="dxa"/>
          </w:tcPr>
          <w:p w14:paraId="2F94BFDA" w14:textId="7090743B" w:rsidR="00046370" w:rsidRDefault="00046370" w:rsidP="00046370">
            <w:r>
              <w:t>Variable</w:t>
            </w:r>
          </w:p>
        </w:tc>
        <w:tc>
          <w:tcPr>
            <w:tcW w:w="4506" w:type="dxa"/>
          </w:tcPr>
          <w:p w14:paraId="7890D107" w14:textId="210EBF16" w:rsidR="00046370" w:rsidRDefault="00046370" w:rsidP="00046370">
            <w:r>
              <w:t>Definition</w:t>
            </w:r>
          </w:p>
        </w:tc>
        <w:tc>
          <w:tcPr>
            <w:tcW w:w="2171" w:type="dxa"/>
          </w:tcPr>
          <w:p w14:paraId="5BE4CE24" w14:textId="55B5DBE3" w:rsidR="00046370" w:rsidRDefault="00046370" w:rsidP="00046370">
            <w:r>
              <w:t xml:space="preserve">Data source </w:t>
            </w:r>
          </w:p>
        </w:tc>
      </w:tr>
      <w:tr w:rsidR="00046370" w14:paraId="350180A8" w14:textId="628742E3" w:rsidTr="00046370">
        <w:trPr>
          <w:trHeight w:val="264"/>
        </w:trPr>
        <w:tc>
          <w:tcPr>
            <w:tcW w:w="2577" w:type="dxa"/>
          </w:tcPr>
          <w:p w14:paraId="082F6496" w14:textId="5ACEDCF7" w:rsidR="00046370" w:rsidRDefault="00046370" w:rsidP="00046370">
            <w:r>
              <w:t>Primary Exposure</w:t>
            </w:r>
          </w:p>
        </w:tc>
        <w:tc>
          <w:tcPr>
            <w:tcW w:w="4506" w:type="dxa"/>
          </w:tcPr>
          <w:p w14:paraId="1D327D66" w14:textId="285F6744" w:rsidR="00046370" w:rsidRDefault="00046370" w:rsidP="00046370"/>
        </w:tc>
        <w:tc>
          <w:tcPr>
            <w:tcW w:w="2171" w:type="dxa"/>
          </w:tcPr>
          <w:p w14:paraId="6A2DB3A3" w14:textId="77777777" w:rsidR="00046370" w:rsidRDefault="00046370" w:rsidP="00046370"/>
        </w:tc>
      </w:tr>
      <w:tr w:rsidR="00046370" w14:paraId="2F87E0A9" w14:textId="69A0703C" w:rsidTr="00046370">
        <w:trPr>
          <w:trHeight w:val="540"/>
        </w:trPr>
        <w:tc>
          <w:tcPr>
            <w:tcW w:w="2577" w:type="dxa"/>
          </w:tcPr>
          <w:p w14:paraId="15B17544" w14:textId="15B9734B" w:rsidR="00046370" w:rsidRDefault="00046370" w:rsidP="00046370">
            <w:r>
              <w:t xml:space="preserve">    Birthweight </w:t>
            </w:r>
          </w:p>
        </w:tc>
        <w:tc>
          <w:tcPr>
            <w:tcW w:w="4506" w:type="dxa"/>
          </w:tcPr>
          <w:p w14:paraId="53EC6913" w14:textId="0E455ACF" w:rsidR="00046370" w:rsidRDefault="00046370" w:rsidP="00046370">
            <w:r>
              <w:t>Birthweight categorized as: &lt;2500g, 2500-4000g and &gt;4000g</w:t>
            </w:r>
          </w:p>
        </w:tc>
        <w:tc>
          <w:tcPr>
            <w:tcW w:w="2171" w:type="dxa"/>
          </w:tcPr>
          <w:p w14:paraId="2ADE21B9" w14:textId="3CC1649D" w:rsidR="00046370" w:rsidRDefault="00046370" w:rsidP="00046370">
            <w:r>
              <w:t>MOMBABY</w:t>
            </w:r>
          </w:p>
        </w:tc>
      </w:tr>
      <w:tr w:rsidR="00046370" w14:paraId="26742A71" w14:textId="2355767D" w:rsidTr="00046370">
        <w:trPr>
          <w:trHeight w:val="264"/>
        </w:trPr>
        <w:tc>
          <w:tcPr>
            <w:tcW w:w="2577" w:type="dxa"/>
          </w:tcPr>
          <w:p w14:paraId="0AC2764F" w14:textId="0B10D59A" w:rsidR="00046370" w:rsidRDefault="00046370" w:rsidP="00046370">
            <w:r>
              <w:t>Primary Outcome</w:t>
            </w:r>
          </w:p>
        </w:tc>
        <w:tc>
          <w:tcPr>
            <w:tcW w:w="4506" w:type="dxa"/>
          </w:tcPr>
          <w:p w14:paraId="6141700A" w14:textId="36F83E19" w:rsidR="00046370" w:rsidRDefault="00046370" w:rsidP="00046370"/>
        </w:tc>
        <w:tc>
          <w:tcPr>
            <w:tcW w:w="2171" w:type="dxa"/>
          </w:tcPr>
          <w:p w14:paraId="3FD9A247" w14:textId="77777777" w:rsidR="00046370" w:rsidRDefault="00046370" w:rsidP="00046370"/>
        </w:tc>
      </w:tr>
      <w:tr w:rsidR="00046370" w14:paraId="63BCCC2E" w14:textId="052D3834" w:rsidTr="00046370">
        <w:trPr>
          <w:trHeight w:val="3739"/>
        </w:trPr>
        <w:tc>
          <w:tcPr>
            <w:tcW w:w="2577" w:type="dxa"/>
          </w:tcPr>
          <w:p w14:paraId="518CFFBA" w14:textId="305FBDDA" w:rsidR="00046370" w:rsidRDefault="00046370" w:rsidP="00046370">
            <w:r>
              <w:t xml:space="preserve">    Cardiometabolic outcomes</w:t>
            </w:r>
          </w:p>
        </w:tc>
        <w:tc>
          <w:tcPr>
            <w:tcW w:w="4506" w:type="dxa"/>
          </w:tcPr>
          <w:p w14:paraId="29E790D7" w14:textId="3ED53482" w:rsidR="0085171A" w:rsidRDefault="00046370" w:rsidP="0085171A">
            <w:pPr>
              <w:pStyle w:val="ListParagraph"/>
              <w:numPr>
                <w:ilvl w:val="0"/>
                <w:numId w:val="3"/>
              </w:numPr>
            </w:pPr>
            <w:r>
              <w:t>Incident chronic diabetes</w:t>
            </w:r>
            <w:r w:rsidR="00BC2CBF">
              <w:t xml:space="preserve">: </w:t>
            </w:r>
            <w:r w:rsidR="0085171A">
              <w:t>Two</w:t>
            </w:r>
            <w:r w:rsidR="0085171A" w:rsidRPr="0085171A">
              <w:t xml:space="preserve"> physician billing claims with a diagnosis for diabetes (OHIP diagnosis code: 250) or </w:t>
            </w:r>
            <w:r w:rsidR="0085171A">
              <w:t xml:space="preserve">one </w:t>
            </w:r>
            <w:r w:rsidR="0085171A" w:rsidRPr="0085171A">
              <w:t>inpatient hospitalization or same day surgery record with a diagnosis for diabetes (ICD-9 diagnosis code: 250; ICD-10 diagnosis codes: E10, E11, E13, E14; in any diagnostic code space) within a 2-year period</w:t>
            </w:r>
            <w:r w:rsidR="00C52F4C">
              <w:t>, as per Shariff et al. Lancet Public Health 2022;7(7): e366-377.</w:t>
            </w:r>
          </w:p>
          <w:p w14:paraId="7D7D6974" w14:textId="0AE6BCDE" w:rsidR="00046370" w:rsidRDefault="00046370" w:rsidP="00046370">
            <w:pPr>
              <w:pStyle w:val="ListParagraph"/>
              <w:numPr>
                <w:ilvl w:val="0"/>
                <w:numId w:val="3"/>
              </w:numPr>
            </w:pPr>
            <w:r>
              <w:t>Incident chronic hypertension</w:t>
            </w:r>
            <w:r w:rsidR="00BC2CBF">
              <w:t xml:space="preserve">: </w:t>
            </w:r>
            <w:r w:rsidR="0085171A">
              <w:t>O</w:t>
            </w:r>
            <w:r w:rsidR="0085171A" w:rsidRPr="00BC2CBF">
              <w:t>ne hospital admission/</w:t>
            </w:r>
            <w:r w:rsidR="0085171A">
              <w:t>same day surgery</w:t>
            </w:r>
            <w:r w:rsidR="0085171A" w:rsidRPr="00BC2CBF">
              <w:t xml:space="preserve"> record with a hypertension diagnosis (ICD</w:t>
            </w:r>
            <w:r w:rsidR="0085171A">
              <w:t>-9</w:t>
            </w:r>
            <w:r w:rsidR="0085171A" w:rsidRPr="00BC2CBF">
              <w:t>: 401x, 402x, 403x, 404x, 405x or ICD</w:t>
            </w:r>
            <w:r w:rsidR="0085171A">
              <w:t>-10</w:t>
            </w:r>
            <w:r w:rsidR="0085171A" w:rsidRPr="00BC2CBF">
              <w:t xml:space="preserve">: I10, I11, I12, I13, I15), or </w:t>
            </w:r>
            <w:r w:rsidR="0085171A">
              <w:t>one</w:t>
            </w:r>
            <w:r w:rsidR="0085171A" w:rsidRPr="00BC2CBF">
              <w:t xml:space="preserve"> OHIP claim (401, 402, 403, 404, or 405) with a hypertension diagnosis followed by either an OHIP claim or a hospital admission/</w:t>
            </w:r>
            <w:r w:rsidR="0085171A">
              <w:t>same day surgery</w:t>
            </w:r>
            <w:r w:rsidR="0085171A" w:rsidRPr="00BC2CBF">
              <w:t xml:space="preserve"> record with a hypertension diagnosis within two years</w:t>
            </w:r>
            <w:r w:rsidR="00C52F4C">
              <w:t>, as per Shariff et al. Lancet Public Health 2022;7(7): e366-377.</w:t>
            </w:r>
          </w:p>
          <w:p w14:paraId="293B51C5" w14:textId="644BFBD3" w:rsidR="00046370" w:rsidRDefault="00046370" w:rsidP="00046370">
            <w:pPr>
              <w:pStyle w:val="ListParagraph"/>
              <w:numPr>
                <w:ilvl w:val="0"/>
                <w:numId w:val="3"/>
              </w:numPr>
            </w:pPr>
            <w:r>
              <w:t>I</w:t>
            </w:r>
            <w:r w:rsidR="00BC2CBF">
              <w:t>ncident i</w:t>
            </w:r>
            <w:r>
              <w:t xml:space="preserve">schemic heart disease: </w:t>
            </w:r>
            <w:r w:rsidRPr="00046370">
              <w:t xml:space="preserve">Two physician visits with at least one being with a specialist or general practitioner/family physician in a hospital or emergency room setting (OHIP: 410, 412, 413) or one hospitalization or emergency department visit (ICD-9: 410–414 ICD-10: I20–I25), as per Tu et al. Can J </w:t>
            </w:r>
            <w:proofErr w:type="spellStart"/>
            <w:r w:rsidRPr="00046370">
              <w:t>Cardiol</w:t>
            </w:r>
            <w:proofErr w:type="spellEnd"/>
            <w:r w:rsidRPr="00046370">
              <w:t xml:space="preserve"> 2010;26(7): e225-e228.</w:t>
            </w:r>
          </w:p>
        </w:tc>
        <w:tc>
          <w:tcPr>
            <w:tcW w:w="2171" w:type="dxa"/>
          </w:tcPr>
          <w:p w14:paraId="2715BE7F" w14:textId="77777777" w:rsidR="00046370" w:rsidRDefault="00046370" w:rsidP="00046370">
            <w:pPr>
              <w:pStyle w:val="ListParagraph"/>
              <w:numPr>
                <w:ilvl w:val="0"/>
                <w:numId w:val="4"/>
              </w:numPr>
            </w:pPr>
            <w:r>
              <w:t>ODD</w:t>
            </w:r>
          </w:p>
          <w:p w14:paraId="73DE3D3D" w14:textId="77777777" w:rsidR="00046370" w:rsidRDefault="00046370" w:rsidP="00046370">
            <w:pPr>
              <w:pStyle w:val="ListParagraph"/>
              <w:numPr>
                <w:ilvl w:val="0"/>
                <w:numId w:val="4"/>
              </w:numPr>
            </w:pPr>
            <w:r>
              <w:t>HYPER</w:t>
            </w:r>
          </w:p>
          <w:p w14:paraId="1DEED9EB" w14:textId="5262D062" w:rsidR="00046370" w:rsidRDefault="00046370" w:rsidP="00046370">
            <w:pPr>
              <w:pStyle w:val="ListParagraph"/>
              <w:numPr>
                <w:ilvl w:val="0"/>
                <w:numId w:val="4"/>
              </w:numPr>
            </w:pPr>
            <w:r>
              <w:t>DAD, NACRS, OHIP</w:t>
            </w:r>
          </w:p>
        </w:tc>
      </w:tr>
      <w:tr w:rsidR="00046370" w14:paraId="18618907" w14:textId="36506EE0" w:rsidTr="00046370">
        <w:trPr>
          <w:trHeight w:val="264"/>
        </w:trPr>
        <w:tc>
          <w:tcPr>
            <w:tcW w:w="2577" w:type="dxa"/>
          </w:tcPr>
          <w:p w14:paraId="5CF1E3D7" w14:textId="1FEF72B9" w:rsidR="00046370" w:rsidRDefault="00046370" w:rsidP="00046370">
            <w:r>
              <w:t xml:space="preserve">Covariates </w:t>
            </w:r>
          </w:p>
        </w:tc>
        <w:tc>
          <w:tcPr>
            <w:tcW w:w="4506" w:type="dxa"/>
          </w:tcPr>
          <w:p w14:paraId="46BE94DC" w14:textId="271EA945" w:rsidR="00046370" w:rsidRDefault="00046370" w:rsidP="00046370"/>
        </w:tc>
        <w:tc>
          <w:tcPr>
            <w:tcW w:w="2171" w:type="dxa"/>
          </w:tcPr>
          <w:p w14:paraId="5A3089E9" w14:textId="77777777" w:rsidR="00046370" w:rsidRDefault="00046370" w:rsidP="00046370"/>
        </w:tc>
      </w:tr>
      <w:tr w:rsidR="00046370" w14:paraId="71C9CAFD" w14:textId="77777777" w:rsidTr="00046370">
        <w:trPr>
          <w:trHeight w:val="264"/>
        </w:trPr>
        <w:tc>
          <w:tcPr>
            <w:tcW w:w="2577" w:type="dxa"/>
          </w:tcPr>
          <w:p w14:paraId="001A1676" w14:textId="1260C3CE" w:rsidR="00046370" w:rsidRDefault="00046370" w:rsidP="00046370">
            <w:r>
              <w:t>Maternal characteristics</w:t>
            </w:r>
          </w:p>
        </w:tc>
        <w:tc>
          <w:tcPr>
            <w:tcW w:w="4506" w:type="dxa"/>
          </w:tcPr>
          <w:p w14:paraId="03DC564E" w14:textId="77777777" w:rsidR="00046370" w:rsidRDefault="00046370" w:rsidP="00046370"/>
        </w:tc>
        <w:tc>
          <w:tcPr>
            <w:tcW w:w="2171" w:type="dxa"/>
          </w:tcPr>
          <w:p w14:paraId="36E7B2F9" w14:textId="77777777" w:rsidR="00046370" w:rsidRDefault="00046370" w:rsidP="00046370"/>
        </w:tc>
      </w:tr>
      <w:tr w:rsidR="00046370" w14:paraId="1696AFBB" w14:textId="77777777" w:rsidTr="00046370">
        <w:trPr>
          <w:trHeight w:val="264"/>
        </w:trPr>
        <w:tc>
          <w:tcPr>
            <w:tcW w:w="2577" w:type="dxa"/>
          </w:tcPr>
          <w:p w14:paraId="0A968797" w14:textId="18AFCFDD" w:rsidR="00046370" w:rsidRDefault="00046370" w:rsidP="00046370">
            <w:r>
              <w:t xml:space="preserve">    Maternal age</w:t>
            </w:r>
          </w:p>
        </w:tc>
        <w:tc>
          <w:tcPr>
            <w:tcW w:w="4506" w:type="dxa"/>
          </w:tcPr>
          <w:p w14:paraId="4BDC68D9" w14:textId="0FF6E888" w:rsidR="00046370" w:rsidRDefault="00046370" w:rsidP="00046370">
            <w:r>
              <w:t>Maternal age at delivery, continuous in years</w:t>
            </w:r>
          </w:p>
        </w:tc>
        <w:tc>
          <w:tcPr>
            <w:tcW w:w="2171" w:type="dxa"/>
          </w:tcPr>
          <w:p w14:paraId="61AF2120" w14:textId="04268A70" w:rsidR="00046370" w:rsidRDefault="00046370" w:rsidP="00046370">
            <w:r>
              <w:t>MOMBABY</w:t>
            </w:r>
          </w:p>
        </w:tc>
      </w:tr>
      <w:tr w:rsidR="00FD163A" w14:paraId="532710C4" w14:textId="77777777" w:rsidTr="00046370">
        <w:trPr>
          <w:trHeight w:val="264"/>
        </w:trPr>
        <w:tc>
          <w:tcPr>
            <w:tcW w:w="2577" w:type="dxa"/>
          </w:tcPr>
          <w:p w14:paraId="403CA61C" w14:textId="4AA5B90A" w:rsidR="00FD163A" w:rsidRDefault="00FD163A" w:rsidP="00FD163A">
            <w:r>
              <w:t xml:space="preserve">    History of IHD</w:t>
            </w:r>
          </w:p>
        </w:tc>
        <w:tc>
          <w:tcPr>
            <w:tcW w:w="4506" w:type="dxa"/>
          </w:tcPr>
          <w:p w14:paraId="71BD6758" w14:textId="52B89032" w:rsidR="00FD163A" w:rsidRDefault="00FD163A" w:rsidP="00FD163A">
            <w:r w:rsidRPr="000B687E">
              <w:t xml:space="preserve">Ischemic heart disease: Two physician visits with at least one being with a specialist or general practitioner/family physician in a hospital or emergency room setting (OHIP: 410, 412, 413) or one hospitalization or emergency department visit (ICD-9: 410–414 ICD-10: I20–I25) as per Tu et al. Can J </w:t>
            </w:r>
            <w:proofErr w:type="spellStart"/>
            <w:r w:rsidRPr="000B687E">
              <w:t>Cardiol</w:t>
            </w:r>
            <w:proofErr w:type="spellEnd"/>
            <w:r w:rsidRPr="000B687E">
              <w:t xml:space="preserve"> 2010;26(7): </w:t>
            </w:r>
            <w:r w:rsidRPr="000B687E">
              <w:lastRenderedPageBreak/>
              <w:t>e225-e228</w:t>
            </w:r>
            <w:r>
              <w:t xml:space="preserve"> </w:t>
            </w:r>
            <w:r w:rsidRPr="000B687E">
              <w:t xml:space="preserve">in the </w:t>
            </w:r>
            <w:r>
              <w:t>2 years prior</w:t>
            </w:r>
            <w:r w:rsidRPr="000B687E">
              <w:t xml:space="preserve"> t</w:t>
            </w:r>
            <w:r>
              <w:t xml:space="preserve">o or after the index pregnancy birth date.  </w:t>
            </w:r>
          </w:p>
        </w:tc>
        <w:tc>
          <w:tcPr>
            <w:tcW w:w="2171" w:type="dxa"/>
          </w:tcPr>
          <w:p w14:paraId="0A329FBF" w14:textId="0D80A6A8" w:rsidR="00FD163A" w:rsidRDefault="00FD163A" w:rsidP="00FD163A">
            <w:r>
              <w:lastRenderedPageBreak/>
              <w:t>DAD, OHIP</w:t>
            </w:r>
          </w:p>
        </w:tc>
      </w:tr>
      <w:tr w:rsidR="00FD163A" w14:paraId="6893CE28" w14:textId="77777777" w:rsidTr="00046370">
        <w:trPr>
          <w:trHeight w:val="264"/>
        </w:trPr>
        <w:tc>
          <w:tcPr>
            <w:tcW w:w="2577" w:type="dxa"/>
          </w:tcPr>
          <w:p w14:paraId="3C8DCB28" w14:textId="1B86425E" w:rsidR="00FD163A" w:rsidRDefault="00FD163A" w:rsidP="00FD163A">
            <w:r>
              <w:t xml:space="preserve">    History of stroke </w:t>
            </w:r>
          </w:p>
        </w:tc>
        <w:tc>
          <w:tcPr>
            <w:tcW w:w="4506" w:type="dxa"/>
          </w:tcPr>
          <w:p w14:paraId="26B78A8F" w14:textId="08ACC0A1" w:rsidR="00FD163A" w:rsidRDefault="00FD163A" w:rsidP="00FD163A">
            <w:r>
              <w:t xml:space="preserve">Stroke or transient ischemic attack: </w:t>
            </w:r>
            <w:r w:rsidRPr="000B687E">
              <w:t xml:space="preserve">Two physician visits (OHIP: 432, 435, 436) or one hospitalization or emergency department visit (ICD-9: 362.3, 430, 431, 434.x, 435.x, 436; ICD-10: I60.x, I61.x, I63.x except I63.6, I64, H34.0, H 34.1, G45.x except G45.4) as per Tu et al. Can J </w:t>
            </w:r>
            <w:proofErr w:type="spellStart"/>
            <w:r w:rsidRPr="000B687E">
              <w:t>Cardiol</w:t>
            </w:r>
            <w:proofErr w:type="spellEnd"/>
            <w:r w:rsidRPr="000B687E">
              <w:t xml:space="preserve"> </w:t>
            </w:r>
            <w:proofErr w:type="gramStart"/>
            <w:r w:rsidRPr="000B687E">
              <w:t>2013;29:1388</w:t>
            </w:r>
            <w:proofErr w:type="gramEnd"/>
            <w:r w:rsidRPr="000B687E">
              <w:t>-1394</w:t>
            </w:r>
            <w:r>
              <w:t xml:space="preserve"> </w:t>
            </w:r>
            <w:r w:rsidRPr="000B687E">
              <w:t xml:space="preserve">in </w:t>
            </w:r>
            <w:r>
              <w:t>the 2 years prior to or after</w:t>
            </w:r>
            <w:r w:rsidRPr="000B687E">
              <w:t xml:space="preserve"> </w:t>
            </w:r>
            <w:r>
              <w:t xml:space="preserve">the index pregnancy birth date. </w:t>
            </w:r>
          </w:p>
        </w:tc>
        <w:tc>
          <w:tcPr>
            <w:tcW w:w="2171" w:type="dxa"/>
          </w:tcPr>
          <w:p w14:paraId="6A4B5F4C" w14:textId="6666A7F8" w:rsidR="00FD163A" w:rsidRDefault="00FD163A" w:rsidP="00FD163A">
            <w:r>
              <w:t>DAD, OHIP</w:t>
            </w:r>
          </w:p>
        </w:tc>
      </w:tr>
      <w:tr w:rsidR="00FD163A" w14:paraId="60C7A96D" w14:textId="77777777" w:rsidTr="00046370">
        <w:trPr>
          <w:trHeight w:val="264"/>
        </w:trPr>
        <w:tc>
          <w:tcPr>
            <w:tcW w:w="2577" w:type="dxa"/>
          </w:tcPr>
          <w:p w14:paraId="7441BB29" w14:textId="196CECCF" w:rsidR="00FD163A" w:rsidRDefault="00FD163A" w:rsidP="00FD163A">
            <w:r>
              <w:t xml:space="preserve">    History of diabetes</w:t>
            </w:r>
          </w:p>
        </w:tc>
        <w:tc>
          <w:tcPr>
            <w:tcW w:w="4506" w:type="dxa"/>
          </w:tcPr>
          <w:p w14:paraId="18B6039E" w14:textId="56C5E312" w:rsidR="00FD163A" w:rsidRDefault="00FD163A" w:rsidP="00FD163A">
            <w:r>
              <w:t>Chronic diabetes within 2 years lookback of child’s birthdate</w:t>
            </w:r>
          </w:p>
        </w:tc>
        <w:tc>
          <w:tcPr>
            <w:tcW w:w="2171" w:type="dxa"/>
          </w:tcPr>
          <w:p w14:paraId="19B57148" w14:textId="6FDD5B3F" w:rsidR="00FD163A" w:rsidRDefault="00FD163A" w:rsidP="00FD163A">
            <w:r>
              <w:t xml:space="preserve">ODD </w:t>
            </w:r>
          </w:p>
        </w:tc>
      </w:tr>
      <w:tr w:rsidR="00FD163A" w14:paraId="0E2329E0" w14:textId="77777777" w:rsidTr="00046370">
        <w:trPr>
          <w:trHeight w:val="264"/>
        </w:trPr>
        <w:tc>
          <w:tcPr>
            <w:tcW w:w="2577" w:type="dxa"/>
          </w:tcPr>
          <w:p w14:paraId="6F44C15B" w14:textId="2F23EEA2" w:rsidR="00FD163A" w:rsidRDefault="00FD163A" w:rsidP="00FD163A">
            <w:r>
              <w:t xml:space="preserve">    History of hypertension </w:t>
            </w:r>
          </w:p>
        </w:tc>
        <w:tc>
          <w:tcPr>
            <w:tcW w:w="4506" w:type="dxa"/>
          </w:tcPr>
          <w:p w14:paraId="3BBAAC08" w14:textId="2064CFAB" w:rsidR="00FD163A" w:rsidRDefault="00FD163A" w:rsidP="00FD163A">
            <w:r>
              <w:t>Chronic hypertension within 2 years lookback of child’s birthdate</w:t>
            </w:r>
          </w:p>
        </w:tc>
        <w:tc>
          <w:tcPr>
            <w:tcW w:w="2171" w:type="dxa"/>
          </w:tcPr>
          <w:p w14:paraId="03667F02" w14:textId="30C56DF3" w:rsidR="00FD163A" w:rsidRDefault="00FD163A" w:rsidP="00FD163A">
            <w:r>
              <w:t>HYPER</w:t>
            </w:r>
          </w:p>
        </w:tc>
      </w:tr>
      <w:tr w:rsidR="00FD163A" w14:paraId="1952335E" w14:textId="77777777" w:rsidTr="00046370">
        <w:trPr>
          <w:trHeight w:val="264"/>
        </w:trPr>
        <w:tc>
          <w:tcPr>
            <w:tcW w:w="2577" w:type="dxa"/>
          </w:tcPr>
          <w:p w14:paraId="01F45BAF" w14:textId="566CEA88" w:rsidR="00FD163A" w:rsidRDefault="00FD163A" w:rsidP="00FD163A">
            <w:r>
              <w:t>Perinatal characteristics</w:t>
            </w:r>
          </w:p>
        </w:tc>
        <w:tc>
          <w:tcPr>
            <w:tcW w:w="4506" w:type="dxa"/>
          </w:tcPr>
          <w:p w14:paraId="166DFE9A" w14:textId="77777777" w:rsidR="00FD163A" w:rsidRDefault="00FD163A" w:rsidP="00FD163A"/>
        </w:tc>
        <w:tc>
          <w:tcPr>
            <w:tcW w:w="2171" w:type="dxa"/>
          </w:tcPr>
          <w:p w14:paraId="14CD0C01" w14:textId="77777777" w:rsidR="00FD163A" w:rsidRDefault="00FD163A" w:rsidP="00FD163A"/>
        </w:tc>
      </w:tr>
      <w:tr w:rsidR="00FD163A" w14:paraId="340A2DA4" w14:textId="77777777" w:rsidTr="00046370">
        <w:trPr>
          <w:trHeight w:val="264"/>
        </w:trPr>
        <w:tc>
          <w:tcPr>
            <w:tcW w:w="2577" w:type="dxa"/>
          </w:tcPr>
          <w:p w14:paraId="53C00C8D" w14:textId="6BC2C498" w:rsidR="00FD163A" w:rsidRDefault="00FD163A" w:rsidP="00FD163A">
            <w:r>
              <w:t xml:space="preserve">    Gestational diabetes</w:t>
            </w:r>
          </w:p>
        </w:tc>
        <w:tc>
          <w:tcPr>
            <w:tcW w:w="4506" w:type="dxa"/>
          </w:tcPr>
          <w:p w14:paraId="09AE4D4A" w14:textId="74E6B023" w:rsidR="00FD163A" w:rsidRDefault="00FD163A" w:rsidP="00FD163A">
            <w:r w:rsidRPr="004E6FF7">
              <w:t xml:space="preserve">Gestational diabetes: </w:t>
            </w:r>
            <w:proofErr w:type="spellStart"/>
            <w:r w:rsidRPr="004E6FF7">
              <w:t>dxcode</w:t>
            </w:r>
            <w:proofErr w:type="spellEnd"/>
            <w:r w:rsidRPr="004E6FF7">
              <w:t xml:space="preserve"> in (ICD9 ‘250’, ‘648.0’), dx10code in (ICD10 ‘E10, E11, E13, E14’ or ‘O244’) in any DAD record OR 2 physician service claims OHIP 250. Unless woman has pre-existing diabetes (</w:t>
            </w:r>
            <w:proofErr w:type="gramStart"/>
            <w:r w:rsidRPr="004E6FF7">
              <w:t>i.e.</w:t>
            </w:r>
            <w:proofErr w:type="gramEnd"/>
            <w:r w:rsidRPr="004E6FF7">
              <w:t xml:space="preserve"> in ODD) </w:t>
            </w:r>
            <w:r>
              <w:t xml:space="preserve">prior to the start of </w:t>
            </w:r>
            <w:r w:rsidRPr="00F76950">
              <w:t>pregnancy (from baby’s birth date – 280 days).</w:t>
            </w:r>
            <w:r>
              <w:t xml:space="preserve"> </w:t>
            </w:r>
          </w:p>
        </w:tc>
        <w:tc>
          <w:tcPr>
            <w:tcW w:w="2171" w:type="dxa"/>
          </w:tcPr>
          <w:p w14:paraId="7ED7B365" w14:textId="52C5F43B" w:rsidR="00FD163A" w:rsidRDefault="00FD163A" w:rsidP="00FD163A">
            <w:r>
              <w:t xml:space="preserve">DAD, OHIP </w:t>
            </w:r>
          </w:p>
        </w:tc>
      </w:tr>
      <w:tr w:rsidR="00FD163A" w14:paraId="08A41EB5" w14:textId="77777777" w:rsidTr="00046370">
        <w:trPr>
          <w:trHeight w:val="264"/>
        </w:trPr>
        <w:tc>
          <w:tcPr>
            <w:tcW w:w="2577" w:type="dxa"/>
          </w:tcPr>
          <w:p w14:paraId="29520662" w14:textId="1B6E5F18" w:rsidR="00FD163A" w:rsidRDefault="00FD163A" w:rsidP="00FD163A">
            <w:r>
              <w:t xml:space="preserve">    Gestational hypertension</w:t>
            </w:r>
          </w:p>
        </w:tc>
        <w:tc>
          <w:tcPr>
            <w:tcW w:w="4506" w:type="dxa"/>
          </w:tcPr>
          <w:p w14:paraId="4ACBB292" w14:textId="008EAFA3" w:rsidR="00FD163A" w:rsidRDefault="00FD163A" w:rsidP="00FD163A">
            <w:r w:rsidRPr="004E6FF7">
              <w:t xml:space="preserve">Gestational hypertension </w:t>
            </w:r>
            <w:proofErr w:type="spellStart"/>
            <w:r w:rsidRPr="004E6FF7">
              <w:t>dxcode</w:t>
            </w:r>
            <w:proofErr w:type="spellEnd"/>
            <w:r w:rsidRPr="004E6FF7">
              <w:t xml:space="preserve"> in (ICD9 ‘6423.x’, ‘4010‘, ‘4011’, ‘4019’, ‘40501’, ‘40511’, ‘40591’, ‘40509’, ‘40519’, ‘40599’) dx10code in (ICD10: ‘I10’, ‘I15’) or 2 physician service claims OHIP 401. U</w:t>
            </w:r>
            <w:r>
              <w:t>nless</w:t>
            </w:r>
            <w:r w:rsidRPr="004E6FF7">
              <w:t xml:space="preserve"> woman has </w:t>
            </w:r>
            <w:r>
              <w:t>pre-existing hypertension</w:t>
            </w:r>
            <w:r w:rsidRPr="004E6FF7">
              <w:t xml:space="preserve"> (</w:t>
            </w:r>
            <w:proofErr w:type="gramStart"/>
            <w:r w:rsidRPr="004E6FF7">
              <w:t>i.e.</w:t>
            </w:r>
            <w:proofErr w:type="gramEnd"/>
            <w:r w:rsidRPr="004E6FF7">
              <w:t xml:space="preserve"> in </w:t>
            </w:r>
            <w:r>
              <w:t>HYPER</w:t>
            </w:r>
            <w:r w:rsidRPr="004E6FF7">
              <w:t xml:space="preserve">) </w:t>
            </w:r>
            <w:r>
              <w:t xml:space="preserve">prior to the start of </w:t>
            </w:r>
            <w:r w:rsidRPr="00F76950">
              <w:t>pregnancy (from baby’s birth date – 280 days).</w:t>
            </w:r>
          </w:p>
        </w:tc>
        <w:tc>
          <w:tcPr>
            <w:tcW w:w="2171" w:type="dxa"/>
          </w:tcPr>
          <w:p w14:paraId="038E6422" w14:textId="12B6FE61" w:rsidR="00FD163A" w:rsidRDefault="00FD163A" w:rsidP="00FD163A">
            <w:r>
              <w:t>DAD, OHIP</w:t>
            </w:r>
          </w:p>
        </w:tc>
      </w:tr>
      <w:tr w:rsidR="00FD163A" w14:paraId="2D4E13F4" w14:textId="77777777" w:rsidTr="00046370">
        <w:trPr>
          <w:trHeight w:val="264"/>
        </w:trPr>
        <w:tc>
          <w:tcPr>
            <w:tcW w:w="2577" w:type="dxa"/>
          </w:tcPr>
          <w:p w14:paraId="1833F83E" w14:textId="15DEA60F" w:rsidR="00FD163A" w:rsidRDefault="00FD163A" w:rsidP="00FD163A">
            <w:r>
              <w:t xml:space="preserve">    Preeclampsia or eclampsia</w:t>
            </w:r>
          </w:p>
        </w:tc>
        <w:tc>
          <w:tcPr>
            <w:tcW w:w="4506" w:type="dxa"/>
          </w:tcPr>
          <w:p w14:paraId="1CC730AD" w14:textId="644DCDC7" w:rsidR="00FD163A" w:rsidRDefault="00FD163A" w:rsidP="00FD163A">
            <w:r>
              <w:t xml:space="preserve">Preeclampsia or </w:t>
            </w:r>
            <w:r w:rsidRPr="006040DB">
              <w:t>eclampsia</w:t>
            </w:r>
            <w:r w:rsidRPr="00393A1F">
              <w:t xml:space="preserve"> </w:t>
            </w:r>
            <w:proofErr w:type="spellStart"/>
            <w:r w:rsidRPr="00393A1F">
              <w:t>dxcode</w:t>
            </w:r>
            <w:proofErr w:type="spellEnd"/>
            <w:r w:rsidRPr="00393A1F">
              <w:t xml:space="preserve"> in (ICD9 ‘642.4x’, ‘642.5x’, ‘642.6x’, ‘642.7’) and dx10code in (ICD10 ‘O14’, ‘O15’, ‘O11’) within pregnancy (</w:t>
            </w:r>
            <w:r>
              <w:t>280 days</w:t>
            </w:r>
            <w:r w:rsidRPr="00393A1F">
              <w:t xml:space="preserve"> prior to baby’s birth date) or 42 days of delivery</w:t>
            </w:r>
          </w:p>
        </w:tc>
        <w:tc>
          <w:tcPr>
            <w:tcW w:w="2171" w:type="dxa"/>
          </w:tcPr>
          <w:p w14:paraId="20A321A2" w14:textId="0284F4EC" w:rsidR="00FD163A" w:rsidRDefault="00FD163A" w:rsidP="00FD163A">
            <w:r>
              <w:t>DAD</w:t>
            </w:r>
          </w:p>
        </w:tc>
      </w:tr>
      <w:tr w:rsidR="00FD163A" w14:paraId="7E7BA747" w14:textId="77777777" w:rsidTr="00046370">
        <w:trPr>
          <w:trHeight w:val="264"/>
        </w:trPr>
        <w:tc>
          <w:tcPr>
            <w:tcW w:w="2577" w:type="dxa"/>
          </w:tcPr>
          <w:p w14:paraId="4F778512" w14:textId="4C792340" w:rsidR="00FD163A" w:rsidRDefault="00FD163A" w:rsidP="00FD163A">
            <w:r>
              <w:t xml:space="preserve">    C-section</w:t>
            </w:r>
          </w:p>
        </w:tc>
        <w:tc>
          <w:tcPr>
            <w:tcW w:w="4506" w:type="dxa"/>
          </w:tcPr>
          <w:p w14:paraId="3738D4FD" w14:textId="422E74B1" w:rsidR="00FD163A" w:rsidRDefault="00FD163A" w:rsidP="00FD163A">
            <w:r w:rsidRPr="00393A1F">
              <w:t>Caesarean section during delivery hospitalization</w:t>
            </w:r>
            <w:r>
              <w:t xml:space="preserve"> </w:t>
            </w:r>
            <w:r w:rsidRPr="00393A1F">
              <w:t>defined as CCI code (</w:t>
            </w:r>
            <w:proofErr w:type="spellStart"/>
            <w:r w:rsidRPr="00393A1F">
              <w:t>incode</w:t>
            </w:r>
            <w:proofErr w:type="spellEnd"/>
            <w:r w:rsidRPr="00393A1F">
              <w:t xml:space="preserve"> variable) </w:t>
            </w:r>
            <w:proofErr w:type="gramStart"/>
            <w:r w:rsidRPr="00393A1F">
              <w:t>5.MD.</w:t>
            </w:r>
            <w:proofErr w:type="gramEnd"/>
            <w:r w:rsidRPr="00393A1F">
              <w:t>6, or CCP code (</w:t>
            </w:r>
            <w:proofErr w:type="spellStart"/>
            <w:r w:rsidRPr="00393A1F">
              <w:t>prcode</w:t>
            </w:r>
            <w:proofErr w:type="spellEnd"/>
            <w:r w:rsidRPr="00393A1F">
              <w:t xml:space="preserve"> variable) 86.</w:t>
            </w:r>
          </w:p>
        </w:tc>
        <w:tc>
          <w:tcPr>
            <w:tcW w:w="2171" w:type="dxa"/>
          </w:tcPr>
          <w:p w14:paraId="1A4FB266" w14:textId="219C0771" w:rsidR="00FD163A" w:rsidRDefault="00FD163A" w:rsidP="00FD163A">
            <w:r>
              <w:t>DAD</w:t>
            </w:r>
          </w:p>
        </w:tc>
      </w:tr>
      <w:tr w:rsidR="00FD163A" w14:paraId="5D158FCB" w14:textId="77777777" w:rsidTr="00046370">
        <w:trPr>
          <w:trHeight w:val="264"/>
        </w:trPr>
        <w:tc>
          <w:tcPr>
            <w:tcW w:w="2577" w:type="dxa"/>
          </w:tcPr>
          <w:p w14:paraId="3A90656B" w14:textId="77AB55A6" w:rsidR="00FD163A" w:rsidRDefault="00D05B22" w:rsidP="00FD163A">
            <w:r>
              <w:t>Young adult</w:t>
            </w:r>
            <w:r w:rsidR="00FD163A">
              <w:t xml:space="preserve"> characteristics</w:t>
            </w:r>
          </w:p>
        </w:tc>
        <w:tc>
          <w:tcPr>
            <w:tcW w:w="4506" w:type="dxa"/>
          </w:tcPr>
          <w:p w14:paraId="508F9DF9" w14:textId="77777777" w:rsidR="00FD163A" w:rsidRDefault="00FD163A" w:rsidP="00FD163A"/>
        </w:tc>
        <w:tc>
          <w:tcPr>
            <w:tcW w:w="2171" w:type="dxa"/>
          </w:tcPr>
          <w:p w14:paraId="30AC4D13" w14:textId="77777777" w:rsidR="00FD163A" w:rsidRDefault="00FD163A" w:rsidP="00FD163A"/>
        </w:tc>
      </w:tr>
      <w:tr w:rsidR="00FD163A" w14:paraId="1BDFF1AD" w14:textId="77777777" w:rsidTr="00046370">
        <w:trPr>
          <w:trHeight w:val="264"/>
        </w:trPr>
        <w:tc>
          <w:tcPr>
            <w:tcW w:w="2577" w:type="dxa"/>
          </w:tcPr>
          <w:p w14:paraId="55852A2E" w14:textId="7F3FE71B" w:rsidR="00FD163A" w:rsidRDefault="00FD163A" w:rsidP="00FD163A">
            <w:r>
              <w:t xml:space="preserve">    Sex</w:t>
            </w:r>
          </w:p>
        </w:tc>
        <w:tc>
          <w:tcPr>
            <w:tcW w:w="4506" w:type="dxa"/>
          </w:tcPr>
          <w:p w14:paraId="70AFFFCC" w14:textId="42A7334E" w:rsidR="00FD163A" w:rsidRDefault="00FD163A" w:rsidP="00FD163A">
            <w:r>
              <w:t>Young adult’s sex categorized as: Female; Male</w:t>
            </w:r>
          </w:p>
        </w:tc>
        <w:tc>
          <w:tcPr>
            <w:tcW w:w="2171" w:type="dxa"/>
          </w:tcPr>
          <w:p w14:paraId="2AF53430" w14:textId="691FAE3C" w:rsidR="00FD163A" w:rsidRDefault="00FD163A" w:rsidP="00FD163A">
            <w:r>
              <w:t>RPDB</w:t>
            </w:r>
          </w:p>
        </w:tc>
      </w:tr>
      <w:tr w:rsidR="00FD163A" w14:paraId="34E992DF" w14:textId="77777777" w:rsidTr="00046370">
        <w:trPr>
          <w:trHeight w:val="264"/>
        </w:trPr>
        <w:tc>
          <w:tcPr>
            <w:tcW w:w="2577" w:type="dxa"/>
          </w:tcPr>
          <w:p w14:paraId="150AB85A" w14:textId="76C25AB2" w:rsidR="00FD163A" w:rsidRDefault="00FD163A" w:rsidP="00FD163A">
            <w:r>
              <w:t xml:space="preserve">    Age at outcome</w:t>
            </w:r>
          </w:p>
        </w:tc>
        <w:tc>
          <w:tcPr>
            <w:tcW w:w="4506" w:type="dxa"/>
          </w:tcPr>
          <w:p w14:paraId="574EFEF4" w14:textId="027D3582" w:rsidR="00FD163A" w:rsidRDefault="00FD163A" w:rsidP="00FD163A">
            <w:pPr>
              <w:tabs>
                <w:tab w:val="left" w:pos="1196"/>
              </w:tabs>
            </w:pPr>
            <w:r w:rsidRPr="00393A1F">
              <w:t xml:space="preserve">Young </w:t>
            </w:r>
            <w:proofErr w:type="spellStart"/>
            <w:r w:rsidRPr="00393A1F">
              <w:t>adults’s</w:t>
            </w:r>
            <w:proofErr w:type="spellEnd"/>
            <w:r w:rsidRPr="00393A1F">
              <w:t xml:space="preserve"> age at diagnosis continuous in years </w:t>
            </w:r>
          </w:p>
        </w:tc>
        <w:tc>
          <w:tcPr>
            <w:tcW w:w="2171" w:type="dxa"/>
          </w:tcPr>
          <w:p w14:paraId="0C97C191" w14:textId="10FF9C16" w:rsidR="00FD163A" w:rsidRDefault="00FD163A" w:rsidP="00FD163A">
            <w:r>
              <w:t>ODD, HYPER, and for IHD: OHIP, DAD, RPDB</w:t>
            </w:r>
          </w:p>
        </w:tc>
      </w:tr>
      <w:tr w:rsidR="00FD163A" w14:paraId="3111F946" w14:textId="77777777" w:rsidTr="00046370">
        <w:trPr>
          <w:trHeight w:val="264"/>
        </w:trPr>
        <w:tc>
          <w:tcPr>
            <w:tcW w:w="2577" w:type="dxa"/>
          </w:tcPr>
          <w:p w14:paraId="6FDA96A8" w14:textId="4B6ED8B9" w:rsidR="00FD163A" w:rsidRDefault="00FD163A" w:rsidP="00FD163A">
            <w:r>
              <w:t>Sociodemographic characteristics</w:t>
            </w:r>
          </w:p>
        </w:tc>
        <w:tc>
          <w:tcPr>
            <w:tcW w:w="4506" w:type="dxa"/>
          </w:tcPr>
          <w:p w14:paraId="2FD2AADC" w14:textId="77777777" w:rsidR="00FD163A" w:rsidRDefault="00FD163A" w:rsidP="00FD163A"/>
        </w:tc>
        <w:tc>
          <w:tcPr>
            <w:tcW w:w="2171" w:type="dxa"/>
          </w:tcPr>
          <w:p w14:paraId="3FF18F44" w14:textId="77777777" w:rsidR="00FD163A" w:rsidRDefault="00FD163A" w:rsidP="00FD163A"/>
        </w:tc>
      </w:tr>
      <w:tr w:rsidR="00FD163A" w14:paraId="4CC4DEA0" w14:textId="77777777" w:rsidTr="00046370">
        <w:trPr>
          <w:trHeight w:val="264"/>
        </w:trPr>
        <w:tc>
          <w:tcPr>
            <w:tcW w:w="2577" w:type="dxa"/>
          </w:tcPr>
          <w:p w14:paraId="3E4FC6ED" w14:textId="459092A0" w:rsidR="00FD163A" w:rsidRDefault="00FD163A" w:rsidP="00FD163A">
            <w:r>
              <w:lastRenderedPageBreak/>
              <w:t xml:space="preserve">    Neighbourhood income quintile</w:t>
            </w:r>
          </w:p>
        </w:tc>
        <w:tc>
          <w:tcPr>
            <w:tcW w:w="4506" w:type="dxa"/>
          </w:tcPr>
          <w:p w14:paraId="158F4FD6" w14:textId="49E4C660" w:rsidR="00FD163A" w:rsidRDefault="00FD163A" w:rsidP="00FD163A">
            <w:r>
              <w:t>Neighbourhood median after-tax household income using residential postal code (</w:t>
            </w:r>
            <w:proofErr w:type="spellStart"/>
            <w:r>
              <w:t>incquint</w:t>
            </w:r>
            <w:proofErr w:type="spellEnd"/>
            <w:r>
              <w:t xml:space="preserve"> for Nearest Census Based Neighbourhood Income Quintile (within CMA/CA) categorized as quintiles: 1 being the lowest and 5 being the highest</w:t>
            </w:r>
          </w:p>
        </w:tc>
        <w:tc>
          <w:tcPr>
            <w:tcW w:w="2171" w:type="dxa"/>
          </w:tcPr>
          <w:p w14:paraId="35F68123" w14:textId="4A9ED1D5" w:rsidR="00FD163A" w:rsidRDefault="00FD163A" w:rsidP="00FD163A">
            <w:r>
              <w:t>RPDB</w:t>
            </w:r>
          </w:p>
        </w:tc>
      </w:tr>
      <w:tr w:rsidR="00FD163A" w14:paraId="1E73E483" w14:textId="77777777" w:rsidTr="00607366">
        <w:trPr>
          <w:trHeight w:val="264"/>
        </w:trPr>
        <w:tc>
          <w:tcPr>
            <w:tcW w:w="9254" w:type="dxa"/>
            <w:gridSpan w:val="3"/>
          </w:tcPr>
          <w:p w14:paraId="32987958" w14:textId="00993DFA" w:rsidR="00FD163A" w:rsidRDefault="00FD163A" w:rsidP="00FD163A">
            <w:r>
              <w:t>DAD: Discharge Abstract Database, HYPER: Ontario Hypertension Dataset, MOMBABY: Ontario Mother-Baby Linked Dataset, NACRS: National Ambulatory Care Reporting System, ODD: Ontario Diabetes Dataset, RPDB: Registered Persons Database</w:t>
            </w:r>
          </w:p>
        </w:tc>
      </w:tr>
    </w:tbl>
    <w:p w14:paraId="4C345741" w14:textId="7141F3B7" w:rsidR="00C7338E" w:rsidRDefault="00C7338E" w:rsidP="00E27702"/>
    <w:p w14:paraId="70CD95AD" w14:textId="77777777" w:rsidR="008060B0" w:rsidRDefault="008060B0">
      <w:r>
        <w:br w:type="page"/>
      </w:r>
    </w:p>
    <w:p w14:paraId="48B18F7B" w14:textId="29A6D24D" w:rsidR="008060B0" w:rsidRDefault="008060B0" w:rsidP="008060B0">
      <w:r>
        <w:lastRenderedPageBreak/>
        <w:t>Table S2</w:t>
      </w:r>
      <w:r w:rsidR="00E84C41">
        <w:t xml:space="preserve">: </w:t>
      </w:r>
      <w:r w:rsidR="00E84C41" w:rsidRPr="00E84C41">
        <w:t xml:space="preserve">Association between </w:t>
      </w:r>
      <w:r w:rsidR="00E84C41">
        <w:t xml:space="preserve">continuous </w:t>
      </w:r>
      <w:r w:rsidR="00E84C41" w:rsidRPr="00E84C41">
        <w:t>birthweight and hazard of diabetes, hypertension, or IHD attained between 18-26 years in Ontario, Canada from 2012 to 2020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273"/>
        <w:gridCol w:w="1346"/>
        <w:gridCol w:w="1342"/>
        <w:gridCol w:w="1342"/>
        <w:gridCol w:w="1342"/>
        <w:gridCol w:w="1342"/>
      </w:tblGrid>
      <w:tr w:rsidR="008060B0" w14:paraId="739CC2A8" w14:textId="77777777" w:rsidTr="00EC58C3">
        <w:trPr>
          <w:trHeight w:val="273"/>
        </w:trPr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14:paraId="5EDA4F01" w14:textId="77777777" w:rsidR="008060B0" w:rsidRPr="0084678A" w:rsidRDefault="008060B0" w:rsidP="00EC58C3">
            <w:pPr>
              <w:rPr>
                <w:b/>
                <w:bCs/>
              </w:rPr>
            </w:pPr>
          </w:p>
        </w:tc>
        <w:tc>
          <w:tcPr>
            <w:tcW w:w="426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15B3B9" w14:textId="77777777" w:rsidR="008060B0" w:rsidRDefault="008060B0" w:rsidP="00EC5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Hazard Ratio (95% CI)</w:t>
            </w:r>
          </w:p>
        </w:tc>
      </w:tr>
      <w:tr w:rsidR="008060B0" w14:paraId="22839958" w14:textId="77777777" w:rsidTr="00EC58C3">
        <w:trPr>
          <w:trHeight w:val="273"/>
        </w:trPr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E48A03" w14:textId="77777777" w:rsidR="008060B0" w:rsidRPr="0084678A" w:rsidRDefault="008060B0" w:rsidP="00EC58C3">
            <w:pPr>
              <w:rPr>
                <w:b/>
                <w:bCs/>
              </w:rPr>
            </w:pPr>
            <w:r w:rsidRPr="0084678A">
              <w:rPr>
                <w:b/>
                <w:bCs/>
              </w:rPr>
              <w:t xml:space="preserve">Birthweight </w:t>
            </w:r>
            <w:r>
              <w:rPr>
                <w:b/>
                <w:bCs/>
              </w:rPr>
              <w:t>(continuous)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8F6CFB" w14:textId="77777777" w:rsidR="008060B0" w:rsidRPr="0084678A" w:rsidRDefault="008060B0" w:rsidP="00EC58C3">
            <w:pPr>
              <w:rPr>
                <w:b/>
                <w:bCs/>
              </w:rPr>
            </w:pPr>
            <w:r w:rsidRPr="0084678A">
              <w:rPr>
                <w:b/>
                <w:bCs/>
              </w:rPr>
              <w:t xml:space="preserve">Unadjusted 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54B57E" w14:textId="77777777" w:rsidR="008060B0" w:rsidRPr="0084678A" w:rsidRDefault="008060B0" w:rsidP="00EC58C3">
            <w:pPr>
              <w:rPr>
                <w:b/>
                <w:bCs/>
              </w:rPr>
            </w:pPr>
            <w:proofErr w:type="spellStart"/>
            <w:r w:rsidRPr="0084678A">
              <w:rPr>
                <w:b/>
                <w:bCs/>
              </w:rPr>
              <w:t>Adjusted</w:t>
            </w:r>
            <w:r>
              <w:rPr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C39A95" w14:textId="77777777" w:rsidR="008060B0" w:rsidRPr="0084678A" w:rsidRDefault="008060B0" w:rsidP="00EC58C3">
            <w:pPr>
              <w:rPr>
                <w:b/>
                <w:bCs/>
              </w:rPr>
            </w:pPr>
            <w:r w:rsidRPr="0084678A">
              <w:rPr>
                <w:b/>
                <w:bCs/>
              </w:rPr>
              <w:t xml:space="preserve">Unadjusted 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0E30F9" w14:textId="77777777" w:rsidR="008060B0" w:rsidRPr="0084678A" w:rsidRDefault="008060B0" w:rsidP="00EC58C3">
            <w:pPr>
              <w:rPr>
                <w:b/>
                <w:bCs/>
              </w:rPr>
            </w:pPr>
            <w:proofErr w:type="spellStart"/>
            <w:r w:rsidRPr="0084678A">
              <w:rPr>
                <w:b/>
                <w:bCs/>
              </w:rPr>
              <w:t>Adjusted</w:t>
            </w:r>
            <w:r>
              <w:rPr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9C169" w14:textId="77777777" w:rsidR="008060B0" w:rsidRPr="0084678A" w:rsidRDefault="008060B0" w:rsidP="00EC58C3">
            <w:pPr>
              <w:rPr>
                <w:b/>
                <w:bCs/>
              </w:rPr>
            </w:pPr>
            <w:r w:rsidRPr="0084678A">
              <w:rPr>
                <w:b/>
                <w:bCs/>
              </w:rPr>
              <w:t xml:space="preserve">Unadjusted 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FDA3D9" w14:textId="77777777" w:rsidR="008060B0" w:rsidRPr="0084678A" w:rsidRDefault="008060B0" w:rsidP="00EC58C3">
            <w:pPr>
              <w:rPr>
                <w:b/>
                <w:bCs/>
              </w:rPr>
            </w:pPr>
            <w:proofErr w:type="spellStart"/>
            <w:r w:rsidRPr="0084678A">
              <w:rPr>
                <w:b/>
                <w:bCs/>
              </w:rPr>
              <w:t>Adjusted</w:t>
            </w:r>
            <w:r>
              <w:rPr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8060B0" w14:paraId="2F42ED34" w14:textId="77777777" w:rsidTr="00EC58C3">
        <w:trPr>
          <w:trHeight w:val="272"/>
        </w:trPr>
        <w:tc>
          <w:tcPr>
            <w:tcW w:w="2132" w:type="pct"/>
            <w:gridSpan w:val="3"/>
            <w:tcBorders>
              <w:top w:val="single" w:sz="4" w:space="0" w:color="auto"/>
            </w:tcBorders>
            <w:vAlign w:val="center"/>
          </w:tcPr>
          <w:p w14:paraId="2D9E92D2" w14:textId="77777777" w:rsidR="008060B0" w:rsidRDefault="008060B0" w:rsidP="00EC58C3">
            <w:pPr>
              <w:jc w:val="center"/>
            </w:pPr>
            <w:r>
              <w:t>Diabetes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</w:tcBorders>
          </w:tcPr>
          <w:p w14:paraId="37735190" w14:textId="77777777" w:rsidR="008060B0" w:rsidRDefault="008060B0" w:rsidP="00EC58C3">
            <w:pPr>
              <w:jc w:val="center"/>
            </w:pPr>
            <w:r>
              <w:t>Hypertension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</w:tcBorders>
          </w:tcPr>
          <w:p w14:paraId="5E0CE1E5" w14:textId="77777777" w:rsidR="008060B0" w:rsidRDefault="008060B0" w:rsidP="00EC58C3">
            <w:pPr>
              <w:jc w:val="center"/>
            </w:pPr>
            <w:r>
              <w:t>IHD</w:t>
            </w:r>
          </w:p>
        </w:tc>
      </w:tr>
      <w:tr w:rsidR="008060B0" w14:paraId="4EB77882" w14:textId="77777777" w:rsidTr="00EC58C3">
        <w:trPr>
          <w:trHeight w:val="272"/>
        </w:trPr>
        <w:tc>
          <w:tcPr>
            <w:tcW w:w="733" w:type="pct"/>
            <w:tcBorders>
              <w:top w:val="single" w:sz="4" w:space="0" w:color="auto"/>
            </w:tcBorders>
          </w:tcPr>
          <w:p w14:paraId="3592A3A8" w14:textId="533271B5" w:rsidR="008060B0" w:rsidRDefault="008060B0" w:rsidP="00EC58C3">
            <w:r>
              <w:t>2500g</w:t>
            </w:r>
            <w:r w:rsidR="00E84C41" w:rsidRPr="00252A38">
              <w:rPr>
                <w:vertAlign w:val="superscript"/>
              </w:rPr>
              <w:t>b</w:t>
            </w:r>
          </w:p>
        </w:tc>
        <w:tc>
          <w:tcPr>
            <w:tcW w:w="680" w:type="pct"/>
            <w:tcBorders>
              <w:top w:val="single" w:sz="4" w:space="0" w:color="auto"/>
            </w:tcBorders>
          </w:tcPr>
          <w:p w14:paraId="559D2D9C" w14:textId="77777777" w:rsidR="008060B0" w:rsidRDefault="008060B0" w:rsidP="00EC58C3">
            <w:r>
              <w:t>0.97 (0.96, 0.98)</w:t>
            </w:r>
          </w:p>
        </w:tc>
        <w:tc>
          <w:tcPr>
            <w:tcW w:w="719" w:type="pct"/>
            <w:tcBorders>
              <w:top w:val="single" w:sz="4" w:space="0" w:color="auto"/>
            </w:tcBorders>
          </w:tcPr>
          <w:p w14:paraId="09EBA1C0" w14:textId="77777777" w:rsidR="008060B0" w:rsidRDefault="008060B0" w:rsidP="00EC58C3">
            <w:r>
              <w:t>0.97 (0.96, 0.98)</w:t>
            </w:r>
          </w:p>
        </w:tc>
        <w:tc>
          <w:tcPr>
            <w:tcW w:w="717" w:type="pct"/>
            <w:tcBorders>
              <w:top w:val="single" w:sz="4" w:space="0" w:color="auto"/>
            </w:tcBorders>
          </w:tcPr>
          <w:p w14:paraId="2FA901B1" w14:textId="77777777" w:rsidR="008060B0" w:rsidRDefault="008060B0" w:rsidP="00EC58C3">
            <w:r>
              <w:t>0.97 (0.96, 0.98)</w:t>
            </w:r>
          </w:p>
        </w:tc>
        <w:tc>
          <w:tcPr>
            <w:tcW w:w="717" w:type="pct"/>
            <w:tcBorders>
              <w:top w:val="single" w:sz="4" w:space="0" w:color="auto"/>
            </w:tcBorders>
          </w:tcPr>
          <w:p w14:paraId="01B2ACF6" w14:textId="77777777" w:rsidR="008060B0" w:rsidRDefault="008060B0" w:rsidP="00EC58C3">
            <w:r>
              <w:t>0.98 (0.97, 0.99)</w:t>
            </w:r>
          </w:p>
        </w:tc>
        <w:tc>
          <w:tcPr>
            <w:tcW w:w="717" w:type="pct"/>
            <w:tcBorders>
              <w:top w:val="single" w:sz="4" w:space="0" w:color="auto"/>
            </w:tcBorders>
          </w:tcPr>
          <w:p w14:paraId="3EA1FBAF" w14:textId="77777777" w:rsidR="008060B0" w:rsidRDefault="008060B0" w:rsidP="00EC58C3">
            <w:r>
              <w:t>0.98 (0.95, 1.02)</w:t>
            </w:r>
          </w:p>
        </w:tc>
        <w:tc>
          <w:tcPr>
            <w:tcW w:w="717" w:type="pct"/>
            <w:tcBorders>
              <w:top w:val="single" w:sz="4" w:space="0" w:color="auto"/>
            </w:tcBorders>
          </w:tcPr>
          <w:p w14:paraId="674149C2" w14:textId="77777777" w:rsidR="008060B0" w:rsidRDefault="008060B0" w:rsidP="00EC58C3">
            <w:r>
              <w:t>0.99 (0.95, 1.02)</w:t>
            </w:r>
          </w:p>
        </w:tc>
      </w:tr>
      <w:tr w:rsidR="008060B0" w14:paraId="566ACFF0" w14:textId="77777777" w:rsidTr="00EC58C3">
        <w:trPr>
          <w:trHeight w:val="262"/>
        </w:trPr>
        <w:tc>
          <w:tcPr>
            <w:tcW w:w="733" w:type="pct"/>
          </w:tcPr>
          <w:p w14:paraId="6F96F5AE" w14:textId="77777777" w:rsidR="008060B0" w:rsidRDefault="008060B0" w:rsidP="00EC58C3">
            <w:r>
              <w:t>2600g</w:t>
            </w:r>
          </w:p>
        </w:tc>
        <w:tc>
          <w:tcPr>
            <w:tcW w:w="680" w:type="pct"/>
          </w:tcPr>
          <w:p w14:paraId="0D5C07FB" w14:textId="77777777" w:rsidR="008060B0" w:rsidRDefault="008060B0" w:rsidP="00EC58C3">
            <w:r>
              <w:t>0.97 (0.96, 0.98)</w:t>
            </w:r>
          </w:p>
        </w:tc>
        <w:tc>
          <w:tcPr>
            <w:tcW w:w="719" w:type="pct"/>
          </w:tcPr>
          <w:p w14:paraId="1EAACDBA" w14:textId="77777777" w:rsidR="008060B0" w:rsidRPr="0063473C" w:rsidRDefault="008060B0" w:rsidP="00EC58C3">
            <w:r>
              <w:t>0.97 (0.96, 0.98)</w:t>
            </w:r>
          </w:p>
        </w:tc>
        <w:tc>
          <w:tcPr>
            <w:tcW w:w="717" w:type="pct"/>
          </w:tcPr>
          <w:p w14:paraId="19A30C20" w14:textId="77777777" w:rsidR="008060B0" w:rsidRDefault="008060B0" w:rsidP="00EC58C3">
            <w:r>
              <w:t>0.97 (0.96, 0.98)</w:t>
            </w:r>
          </w:p>
        </w:tc>
        <w:tc>
          <w:tcPr>
            <w:tcW w:w="717" w:type="pct"/>
          </w:tcPr>
          <w:p w14:paraId="1F14D9E7" w14:textId="77777777" w:rsidR="008060B0" w:rsidRDefault="008060B0" w:rsidP="00EC58C3">
            <w:r>
              <w:t>0.98 (0.97, 0.99)</w:t>
            </w:r>
          </w:p>
        </w:tc>
        <w:tc>
          <w:tcPr>
            <w:tcW w:w="717" w:type="pct"/>
          </w:tcPr>
          <w:p w14:paraId="7DF8482F" w14:textId="77777777" w:rsidR="008060B0" w:rsidRDefault="008060B0" w:rsidP="00EC58C3">
            <w:r>
              <w:t>0.98 (0.95, 1.02)</w:t>
            </w:r>
          </w:p>
        </w:tc>
        <w:tc>
          <w:tcPr>
            <w:tcW w:w="717" w:type="pct"/>
          </w:tcPr>
          <w:p w14:paraId="38F6280A" w14:textId="77777777" w:rsidR="008060B0" w:rsidRDefault="008060B0" w:rsidP="00EC58C3">
            <w:r>
              <w:t>0.99 (0.95, 1.02)</w:t>
            </w:r>
          </w:p>
        </w:tc>
      </w:tr>
      <w:tr w:rsidR="008060B0" w14:paraId="3AA79CD5" w14:textId="77777777" w:rsidTr="00EC58C3">
        <w:trPr>
          <w:trHeight w:val="272"/>
        </w:trPr>
        <w:tc>
          <w:tcPr>
            <w:tcW w:w="733" w:type="pct"/>
          </w:tcPr>
          <w:p w14:paraId="5AB80EE4" w14:textId="77777777" w:rsidR="008060B0" w:rsidRDefault="008060B0" w:rsidP="00EC58C3">
            <w:r>
              <w:t>2700g</w:t>
            </w:r>
          </w:p>
        </w:tc>
        <w:tc>
          <w:tcPr>
            <w:tcW w:w="680" w:type="pct"/>
          </w:tcPr>
          <w:p w14:paraId="62201F76" w14:textId="77777777" w:rsidR="008060B0" w:rsidRDefault="008060B0" w:rsidP="00EC58C3">
            <w:r>
              <w:t>0.97 (0.96, 0.98)</w:t>
            </w:r>
          </w:p>
        </w:tc>
        <w:tc>
          <w:tcPr>
            <w:tcW w:w="719" w:type="pct"/>
          </w:tcPr>
          <w:p w14:paraId="0563DB85" w14:textId="77777777" w:rsidR="008060B0" w:rsidRDefault="008060B0" w:rsidP="00EC58C3">
            <w:r>
              <w:t>0.97 (0.96, 0.98)</w:t>
            </w:r>
          </w:p>
        </w:tc>
        <w:tc>
          <w:tcPr>
            <w:tcW w:w="717" w:type="pct"/>
          </w:tcPr>
          <w:p w14:paraId="62E93523" w14:textId="77777777" w:rsidR="008060B0" w:rsidRDefault="008060B0" w:rsidP="00EC58C3">
            <w:r>
              <w:t>0.97 (0.96, 0.98)</w:t>
            </w:r>
          </w:p>
        </w:tc>
        <w:tc>
          <w:tcPr>
            <w:tcW w:w="717" w:type="pct"/>
          </w:tcPr>
          <w:p w14:paraId="27A865EB" w14:textId="77777777" w:rsidR="008060B0" w:rsidRDefault="008060B0" w:rsidP="00EC58C3">
            <w:r>
              <w:t>0.98 (0.97, 0.99)</w:t>
            </w:r>
          </w:p>
        </w:tc>
        <w:tc>
          <w:tcPr>
            <w:tcW w:w="717" w:type="pct"/>
          </w:tcPr>
          <w:p w14:paraId="025AB8EC" w14:textId="77777777" w:rsidR="008060B0" w:rsidRDefault="008060B0" w:rsidP="00EC58C3">
            <w:r>
              <w:t>0.98 (0.95, 1.02)</w:t>
            </w:r>
          </w:p>
        </w:tc>
        <w:tc>
          <w:tcPr>
            <w:tcW w:w="717" w:type="pct"/>
          </w:tcPr>
          <w:p w14:paraId="6D74F353" w14:textId="77777777" w:rsidR="008060B0" w:rsidRDefault="008060B0" w:rsidP="00EC58C3">
            <w:r>
              <w:t>0.99 (0.95, 1.02)</w:t>
            </w:r>
          </w:p>
        </w:tc>
      </w:tr>
      <w:tr w:rsidR="008060B0" w14:paraId="6B33779D" w14:textId="77777777" w:rsidTr="00EC58C3">
        <w:trPr>
          <w:trHeight w:val="272"/>
        </w:trPr>
        <w:tc>
          <w:tcPr>
            <w:tcW w:w="733" w:type="pct"/>
          </w:tcPr>
          <w:p w14:paraId="4B387484" w14:textId="77777777" w:rsidR="008060B0" w:rsidRDefault="008060B0" w:rsidP="00EC58C3">
            <w:r>
              <w:t>2800g</w:t>
            </w:r>
          </w:p>
        </w:tc>
        <w:tc>
          <w:tcPr>
            <w:tcW w:w="680" w:type="pct"/>
          </w:tcPr>
          <w:p w14:paraId="4FDABD53" w14:textId="77777777" w:rsidR="008060B0" w:rsidRDefault="008060B0" w:rsidP="00EC58C3">
            <w:r>
              <w:t>0.97 (0.96, 0.98)</w:t>
            </w:r>
          </w:p>
        </w:tc>
        <w:tc>
          <w:tcPr>
            <w:tcW w:w="719" w:type="pct"/>
          </w:tcPr>
          <w:p w14:paraId="159DFD09" w14:textId="77777777" w:rsidR="008060B0" w:rsidRDefault="008060B0" w:rsidP="00EC58C3">
            <w:r>
              <w:t>0.97 (0.96, 0.98)</w:t>
            </w:r>
          </w:p>
        </w:tc>
        <w:tc>
          <w:tcPr>
            <w:tcW w:w="717" w:type="pct"/>
          </w:tcPr>
          <w:p w14:paraId="6900FA9D" w14:textId="77777777" w:rsidR="008060B0" w:rsidRDefault="008060B0" w:rsidP="00EC58C3">
            <w:r>
              <w:t>0.97 (0.96, 0.98)</w:t>
            </w:r>
          </w:p>
        </w:tc>
        <w:tc>
          <w:tcPr>
            <w:tcW w:w="717" w:type="pct"/>
          </w:tcPr>
          <w:p w14:paraId="659B49A7" w14:textId="77777777" w:rsidR="008060B0" w:rsidRDefault="008060B0" w:rsidP="00EC58C3">
            <w:r>
              <w:t>0.98 (0.97, 0.99)</w:t>
            </w:r>
          </w:p>
        </w:tc>
        <w:tc>
          <w:tcPr>
            <w:tcW w:w="717" w:type="pct"/>
          </w:tcPr>
          <w:p w14:paraId="116565BC" w14:textId="77777777" w:rsidR="008060B0" w:rsidRDefault="008060B0" w:rsidP="00EC58C3">
            <w:r>
              <w:t>0.98 (0.95, 1.02)</w:t>
            </w:r>
          </w:p>
        </w:tc>
        <w:tc>
          <w:tcPr>
            <w:tcW w:w="717" w:type="pct"/>
          </w:tcPr>
          <w:p w14:paraId="79FC9D82" w14:textId="77777777" w:rsidR="008060B0" w:rsidRDefault="008060B0" w:rsidP="00EC58C3">
            <w:r>
              <w:t>0.99 (0.95, 1.02)</w:t>
            </w:r>
          </w:p>
        </w:tc>
      </w:tr>
      <w:tr w:rsidR="008060B0" w14:paraId="62731E54" w14:textId="77777777" w:rsidTr="00EC58C3">
        <w:trPr>
          <w:trHeight w:val="272"/>
        </w:trPr>
        <w:tc>
          <w:tcPr>
            <w:tcW w:w="733" w:type="pct"/>
          </w:tcPr>
          <w:p w14:paraId="3080B7C0" w14:textId="77777777" w:rsidR="008060B0" w:rsidRDefault="008060B0" w:rsidP="00EC58C3">
            <w:r>
              <w:t>2900g</w:t>
            </w:r>
          </w:p>
        </w:tc>
        <w:tc>
          <w:tcPr>
            <w:tcW w:w="680" w:type="pct"/>
          </w:tcPr>
          <w:p w14:paraId="55160203" w14:textId="77777777" w:rsidR="008060B0" w:rsidRDefault="008060B0" w:rsidP="00EC58C3">
            <w:r>
              <w:t>0.97 (0.96, 0.98)</w:t>
            </w:r>
          </w:p>
        </w:tc>
        <w:tc>
          <w:tcPr>
            <w:tcW w:w="719" w:type="pct"/>
          </w:tcPr>
          <w:p w14:paraId="48580EF2" w14:textId="77777777" w:rsidR="008060B0" w:rsidRDefault="008060B0" w:rsidP="00EC58C3">
            <w:r>
              <w:t>0.97 (0.96, 0.98)</w:t>
            </w:r>
          </w:p>
        </w:tc>
        <w:tc>
          <w:tcPr>
            <w:tcW w:w="717" w:type="pct"/>
          </w:tcPr>
          <w:p w14:paraId="75423C4B" w14:textId="77777777" w:rsidR="008060B0" w:rsidRDefault="008060B0" w:rsidP="00EC58C3">
            <w:r>
              <w:t>0.97 (0.96, 0.98)</w:t>
            </w:r>
          </w:p>
        </w:tc>
        <w:tc>
          <w:tcPr>
            <w:tcW w:w="717" w:type="pct"/>
          </w:tcPr>
          <w:p w14:paraId="090FF60C" w14:textId="77777777" w:rsidR="008060B0" w:rsidRDefault="008060B0" w:rsidP="00EC58C3">
            <w:r>
              <w:t>0.98 (0.97, 0.99)</w:t>
            </w:r>
          </w:p>
        </w:tc>
        <w:tc>
          <w:tcPr>
            <w:tcW w:w="717" w:type="pct"/>
          </w:tcPr>
          <w:p w14:paraId="445ED3F2" w14:textId="77777777" w:rsidR="008060B0" w:rsidRDefault="008060B0" w:rsidP="00EC58C3">
            <w:r>
              <w:t>0.98 (0.95, 1.02)</w:t>
            </w:r>
          </w:p>
        </w:tc>
        <w:tc>
          <w:tcPr>
            <w:tcW w:w="717" w:type="pct"/>
          </w:tcPr>
          <w:p w14:paraId="04F5BD7D" w14:textId="77777777" w:rsidR="008060B0" w:rsidRDefault="008060B0" w:rsidP="00EC58C3">
            <w:r>
              <w:t>0.99 (0.95, 1.02)</w:t>
            </w:r>
          </w:p>
        </w:tc>
      </w:tr>
      <w:tr w:rsidR="008060B0" w14:paraId="371AC7C8" w14:textId="77777777" w:rsidTr="00EC58C3">
        <w:trPr>
          <w:trHeight w:val="272"/>
        </w:trPr>
        <w:tc>
          <w:tcPr>
            <w:tcW w:w="733" w:type="pct"/>
          </w:tcPr>
          <w:p w14:paraId="755F6603" w14:textId="77777777" w:rsidR="008060B0" w:rsidRDefault="008060B0" w:rsidP="00EC58C3">
            <w:r>
              <w:t>3000g</w:t>
            </w:r>
          </w:p>
        </w:tc>
        <w:tc>
          <w:tcPr>
            <w:tcW w:w="680" w:type="pct"/>
          </w:tcPr>
          <w:p w14:paraId="67D977B3" w14:textId="77777777" w:rsidR="008060B0" w:rsidRDefault="008060B0" w:rsidP="00EC58C3">
            <w:r>
              <w:t>0.96 (0.95, 0.97)</w:t>
            </w:r>
          </w:p>
        </w:tc>
        <w:tc>
          <w:tcPr>
            <w:tcW w:w="719" w:type="pct"/>
          </w:tcPr>
          <w:p w14:paraId="1CD1FC8D" w14:textId="77777777" w:rsidR="008060B0" w:rsidRDefault="008060B0" w:rsidP="00EC58C3">
            <w:r>
              <w:t>0.97 (0.96, 0.98)</w:t>
            </w:r>
          </w:p>
        </w:tc>
        <w:tc>
          <w:tcPr>
            <w:tcW w:w="717" w:type="pct"/>
          </w:tcPr>
          <w:p w14:paraId="3ED25DA0" w14:textId="77777777" w:rsidR="008060B0" w:rsidRDefault="008060B0" w:rsidP="00EC58C3">
            <w:r>
              <w:t>0.97 (0.96, 0.98)</w:t>
            </w:r>
          </w:p>
        </w:tc>
        <w:tc>
          <w:tcPr>
            <w:tcW w:w="717" w:type="pct"/>
          </w:tcPr>
          <w:p w14:paraId="275EAA01" w14:textId="77777777" w:rsidR="008060B0" w:rsidRDefault="008060B0" w:rsidP="00EC58C3">
            <w:r>
              <w:t>0.98 (0.97, 0.99)</w:t>
            </w:r>
          </w:p>
        </w:tc>
        <w:tc>
          <w:tcPr>
            <w:tcW w:w="717" w:type="pct"/>
          </w:tcPr>
          <w:p w14:paraId="75ACAAE6" w14:textId="77777777" w:rsidR="008060B0" w:rsidRDefault="008060B0" w:rsidP="00EC58C3">
            <w:r>
              <w:t>0.98 (0.95, 1.02)</w:t>
            </w:r>
          </w:p>
        </w:tc>
        <w:tc>
          <w:tcPr>
            <w:tcW w:w="717" w:type="pct"/>
          </w:tcPr>
          <w:p w14:paraId="7C251EC8" w14:textId="77777777" w:rsidR="008060B0" w:rsidRDefault="008060B0" w:rsidP="00EC58C3">
            <w:r>
              <w:t>0.99 (0.95, 1.02)</w:t>
            </w:r>
          </w:p>
        </w:tc>
      </w:tr>
      <w:tr w:rsidR="008060B0" w14:paraId="5BC1BFF9" w14:textId="77777777" w:rsidTr="00EC58C3">
        <w:trPr>
          <w:trHeight w:val="272"/>
        </w:trPr>
        <w:tc>
          <w:tcPr>
            <w:tcW w:w="733" w:type="pct"/>
          </w:tcPr>
          <w:p w14:paraId="196F1781" w14:textId="77777777" w:rsidR="008060B0" w:rsidRDefault="008060B0" w:rsidP="00EC58C3">
            <w:r>
              <w:t>3100g</w:t>
            </w:r>
          </w:p>
        </w:tc>
        <w:tc>
          <w:tcPr>
            <w:tcW w:w="680" w:type="pct"/>
          </w:tcPr>
          <w:p w14:paraId="55E56D27" w14:textId="77777777" w:rsidR="008060B0" w:rsidRDefault="008060B0" w:rsidP="00EC58C3">
            <w:r>
              <w:t>0.93 (0.90, 0.97)</w:t>
            </w:r>
          </w:p>
        </w:tc>
        <w:tc>
          <w:tcPr>
            <w:tcW w:w="719" w:type="pct"/>
          </w:tcPr>
          <w:p w14:paraId="5D996156" w14:textId="77777777" w:rsidR="008060B0" w:rsidRDefault="008060B0" w:rsidP="00EC58C3">
            <w:r>
              <w:t>0.97 (0.96, 0.98)</w:t>
            </w:r>
          </w:p>
        </w:tc>
        <w:tc>
          <w:tcPr>
            <w:tcW w:w="717" w:type="pct"/>
          </w:tcPr>
          <w:p w14:paraId="6037F6DC" w14:textId="77777777" w:rsidR="008060B0" w:rsidRDefault="008060B0" w:rsidP="00EC58C3">
            <w:r>
              <w:t>0.97 (0.96, 0.98)</w:t>
            </w:r>
          </w:p>
        </w:tc>
        <w:tc>
          <w:tcPr>
            <w:tcW w:w="717" w:type="pct"/>
          </w:tcPr>
          <w:p w14:paraId="5E062EDC" w14:textId="77777777" w:rsidR="008060B0" w:rsidRDefault="008060B0" w:rsidP="00EC58C3">
            <w:r>
              <w:t>0.98 (0.97, 0.99)</w:t>
            </w:r>
          </w:p>
        </w:tc>
        <w:tc>
          <w:tcPr>
            <w:tcW w:w="717" w:type="pct"/>
          </w:tcPr>
          <w:p w14:paraId="2E409F11" w14:textId="77777777" w:rsidR="008060B0" w:rsidRDefault="008060B0" w:rsidP="00EC58C3">
            <w:r>
              <w:t>0.98 (0.95, 1.01)</w:t>
            </w:r>
          </w:p>
        </w:tc>
        <w:tc>
          <w:tcPr>
            <w:tcW w:w="717" w:type="pct"/>
          </w:tcPr>
          <w:p w14:paraId="00230D4C" w14:textId="77777777" w:rsidR="008060B0" w:rsidRDefault="008060B0" w:rsidP="00EC58C3">
            <w:r>
              <w:t>0.98 (0.95, 1.01)</w:t>
            </w:r>
          </w:p>
        </w:tc>
      </w:tr>
      <w:tr w:rsidR="008060B0" w14:paraId="05B25163" w14:textId="77777777" w:rsidTr="00EC58C3">
        <w:trPr>
          <w:trHeight w:val="272"/>
        </w:trPr>
        <w:tc>
          <w:tcPr>
            <w:tcW w:w="733" w:type="pct"/>
          </w:tcPr>
          <w:p w14:paraId="32EEA979" w14:textId="77777777" w:rsidR="008060B0" w:rsidRDefault="008060B0" w:rsidP="00EC58C3">
            <w:r>
              <w:t>3200g</w:t>
            </w:r>
          </w:p>
        </w:tc>
        <w:tc>
          <w:tcPr>
            <w:tcW w:w="680" w:type="pct"/>
          </w:tcPr>
          <w:p w14:paraId="08E84C0B" w14:textId="77777777" w:rsidR="008060B0" w:rsidRDefault="008060B0" w:rsidP="00EC58C3">
            <w:r>
              <w:t>0.91 (0.86, 0.97)</w:t>
            </w:r>
          </w:p>
        </w:tc>
        <w:tc>
          <w:tcPr>
            <w:tcW w:w="719" w:type="pct"/>
          </w:tcPr>
          <w:p w14:paraId="52BA079B" w14:textId="77777777" w:rsidR="008060B0" w:rsidRDefault="008060B0" w:rsidP="00EC58C3">
            <w:r>
              <w:t>0.96 (0.95, 0.97)</w:t>
            </w:r>
          </w:p>
        </w:tc>
        <w:tc>
          <w:tcPr>
            <w:tcW w:w="717" w:type="pct"/>
          </w:tcPr>
          <w:p w14:paraId="45C29555" w14:textId="77777777" w:rsidR="008060B0" w:rsidRDefault="008060B0" w:rsidP="00EC58C3">
            <w:r>
              <w:t>0.97 (0.96, 0.98)</w:t>
            </w:r>
          </w:p>
        </w:tc>
        <w:tc>
          <w:tcPr>
            <w:tcW w:w="717" w:type="pct"/>
          </w:tcPr>
          <w:p w14:paraId="54E7B76B" w14:textId="77777777" w:rsidR="008060B0" w:rsidRDefault="008060B0" w:rsidP="00EC58C3">
            <w:r>
              <w:t>0.98 (0.96, 0.98)</w:t>
            </w:r>
          </w:p>
        </w:tc>
        <w:tc>
          <w:tcPr>
            <w:tcW w:w="717" w:type="pct"/>
          </w:tcPr>
          <w:p w14:paraId="58746008" w14:textId="77777777" w:rsidR="008060B0" w:rsidRDefault="008060B0" w:rsidP="00EC58C3">
            <w:r>
              <w:t>0.97 (0.94, 1.00)</w:t>
            </w:r>
          </w:p>
        </w:tc>
        <w:tc>
          <w:tcPr>
            <w:tcW w:w="717" w:type="pct"/>
          </w:tcPr>
          <w:p w14:paraId="0394FCC9" w14:textId="77777777" w:rsidR="008060B0" w:rsidRDefault="008060B0" w:rsidP="00EC58C3">
            <w:r>
              <w:t>0.96 (0.93, 1.00)</w:t>
            </w:r>
          </w:p>
        </w:tc>
      </w:tr>
      <w:tr w:rsidR="008060B0" w14:paraId="04DFAD92" w14:textId="77777777" w:rsidTr="00EC58C3">
        <w:trPr>
          <w:trHeight w:val="272"/>
        </w:trPr>
        <w:tc>
          <w:tcPr>
            <w:tcW w:w="733" w:type="pct"/>
          </w:tcPr>
          <w:p w14:paraId="24E8F671" w14:textId="77777777" w:rsidR="008060B0" w:rsidRDefault="008060B0" w:rsidP="00EC58C3">
            <w:r>
              <w:t>3300g</w:t>
            </w:r>
          </w:p>
        </w:tc>
        <w:tc>
          <w:tcPr>
            <w:tcW w:w="680" w:type="pct"/>
          </w:tcPr>
          <w:p w14:paraId="18431EBA" w14:textId="77777777" w:rsidR="008060B0" w:rsidRDefault="008060B0" w:rsidP="00EC58C3">
            <w:r>
              <w:t>0.93 (0.90, 0.97)</w:t>
            </w:r>
          </w:p>
        </w:tc>
        <w:tc>
          <w:tcPr>
            <w:tcW w:w="719" w:type="pct"/>
          </w:tcPr>
          <w:p w14:paraId="61FE7898" w14:textId="77777777" w:rsidR="008060B0" w:rsidRDefault="008060B0" w:rsidP="00EC58C3">
            <w:r>
              <w:t>0.94 (0.92, 0.97)</w:t>
            </w:r>
          </w:p>
        </w:tc>
        <w:tc>
          <w:tcPr>
            <w:tcW w:w="717" w:type="pct"/>
          </w:tcPr>
          <w:p w14:paraId="7A6553CE" w14:textId="77777777" w:rsidR="008060B0" w:rsidRDefault="008060B0" w:rsidP="00EC58C3">
            <w:r>
              <w:t>0.97 (0.95, 0.99)</w:t>
            </w:r>
          </w:p>
        </w:tc>
        <w:tc>
          <w:tcPr>
            <w:tcW w:w="717" w:type="pct"/>
          </w:tcPr>
          <w:p w14:paraId="1C4CF7F4" w14:textId="77777777" w:rsidR="008060B0" w:rsidRDefault="008060B0" w:rsidP="00EC58C3">
            <w:r>
              <w:t>0.97 (0.94, 0.99)</w:t>
            </w:r>
          </w:p>
        </w:tc>
        <w:tc>
          <w:tcPr>
            <w:tcW w:w="717" w:type="pct"/>
          </w:tcPr>
          <w:p w14:paraId="4FD117B1" w14:textId="77777777" w:rsidR="008060B0" w:rsidRDefault="008060B0" w:rsidP="00EC58C3">
            <w:r>
              <w:t>0.95 (0.89, 1.04)</w:t>
            </w:r>
          </w:p>
        </w:tc>
        <w:tc>
          <w:tcPr>
            <w:tcW w:w="717" w:type="pct"/>
          </w:tcPr>
          <w:p w14:paraId="2386C927" w14:textId="77777777" w:rsidR="008060B0" w:rsidRDefault="008060B0" w:rsidP="00EC58C3">
            <w:r>
              <w:t>0.94 (0.88, 1.01)</w:t>
            </w:r>
          </w:p>
        </w:tc>
      </w:tr>
      <w:tr w:rsidR="008060B0" w14:paraId="21225208" w14:textId="77777777" w:rsidTr="00EC58C3">
        <w:trPr>
          <w:trHeight w:val="272"/>
        </w:trPr>
        <w:tc>
          <w:tcPr>
            <w:tcW w:w="733" w:type="pct"/>
          </w:tcPr>
          <w:p w14:paraId="141269B2" w14:textId="77777777" w:rsidR="008060B0" w:rsidRDefault="008060B0" w:rsidP="00EC58C3">
            <w:r>
              <w:t>3400g</w:t>
            </w:r>
          </w:p>
        </w:tc>
        <w:tc>
          <w:tcPr>
            <w:tcW w:w="680" w:type="pct"/>
          </w:tcPr>
          <w:p w14:paraId="216D9939" w14:textId="77777777" w:rsidR="008060B0" w:rsidRDefault="008060B0" w:rsidP="00EC58C3">
            <w:r>
              <w:t>0.96 (0.88, 1.05)</w:t>
            </w:r>
          </w:p>
        </w:tc>
        <w:tc>
          <w:tcPr>
            <w:tcW w:w="719" w:type="pct"/>
          </w:tcPr>
          <w:p w14:paraId="049BE518" w14:textId="77777777" w:rsidR="008060B0" w:rsidRDefault="008060B0" w:rsidP="00EC58C3">
            <w:r>
              <w:t>0.94 (0.92, 0.97)</w:t>
            </w:r>
          </w:p>
        </w:tc>
        <w:tc>
          <w:tcPr>
            <w:tcW w:w="717" w:type="pct"/>
          </w:tcPr>
          <w:p w14:paraId="6BB084D6" w14:textId="77777777" w:rsidR="008060B0" w:rsidRDefault="008060B0" w:rsidP="00EC58C3">
            <w:r>
              <w:t>0.97 (0.94, 1.00)</w:t>
            </w:r>
          </w:p>
        </w:tc>
        <w:tc>
          <w:tcPr>
            <w:tcW w:w="717" w:type="pct"/>
          </w:tcPr>
          <w:p w14:paraId="6DE4EBA4" w14:textId="77777777" w:rsidR="008060B0" w:rsidRDefault="008060B0" w:rsidP="00EC58C3">
            <w:r>
              <w:t>0.97 (0.94, 1.00)</w:t>
            </w:r>
          </w:p>
        </w:tc>
        <w:tc>
          <w:tcPr>
            <w:tcW w:w="717" w:type="pct"/>
          </w:tcPr>
          <w:p w14:paraId="0230F3FC" w14:textId="77777777" w:rsidR="008060B0" w:rsidRDefault="008060B0" w:rsidP="00EC58C3">
            <w:r>
              <w:t>0.95 (0.86, 1.04)</w:t>
            </w:r>
          </w:p>
        </w:tc>
        <w:tc>
          <w:tcPr>
            <w:tcW w:w="717" w:type="pct"/>
          </w:tcPr>
          <w:p w14:paraId="2B0CB256" w14:textId="77777777" w:rsidR="008060B0" w:rsidRDefault="008060B0" w:rsidP="00EC58C3">
            <w:r>
              <w:t>0.93 (0.85, 1.02)</w:t>
            </w:r>
          </w:p>
        </w:tc>
      </w:tr>
      <w:tr w:rsidR="008060B0" w14:paraId="7614C309" w14:textId="77777777" w:rsidTr="00EC58C3">
        <w:trPr>
          <w:trHeight w:val="272"/>
        </w:trPr>
        <w:tc>
          <w:tcPr>
            <w:tcW w:w="733" w:type="pct"/>
          </w:tcPr>
          <w:p w14:paraId="3CB1BDA5" w14:textId="77777777" w:rsidR="008060B0" w:rsidRDefault="008060B0" w:rsidP="00EC58C3">
            <w:r>
              <w:t>3500g</w:t>
            </w:r>
          </w:p>
        </w:tc>
        <w:tc>
          <w:tcPr>
            <w:tcW w:w="680" w:type="pct"/>
          </w:tcPr>
          <w:p w14:paraId="09C53A63" w14:textId="77777777" w:rsidR="008060B0" w:rsidRDefault="008060B0" w:rsidP="00EC58C3">
            <w:r>
              <w:t>0.97 (0.93, 1.01)</w:t>
            </w:r>
          </w:p>
        </w:tc>
        <w:tc>
          <w:tcPr>
            <w:tcW w:w="719" w:type="pct"/>
          </w:tcPr>
          <w:p w14:paraId="6E5D9A77" w14:textId="77777777" w:rsidR="008060B0" w:rsidRDefault="008060B0" w:rsidP="00EC58C3">
            <w:r>
              <w:t>0.97 (0.94, 0.99)</w:t>
            </w:r>
          </w:p>
        </w:tc>
        <w:tc>
          <w:tcPr>
            <w:tcW w:w="717" w:type="pct"/>
          </w:tcPr>
          <w:p w14:paraId="17FBB168" w14:textId="77777777" w:rsidR="008060B0" w:rsidRDefault="008060B0" w:rsidP="00EC58C3">
            <w:r>
              <w:t>0.98 (0.96, 1.01)</w:t>
            </w:r>
          </w:p>
        </w:tc>
        <w:tc>
          <w:tcPr>
            <w:tcW w:w="717" w:type="pct"/>
          </w:tcPr>
          <w:p w14:paraId="2DD1A518" w14:textId="77777777" w:rsidR="008060B0" w:rsidRDefault="008060B0" w:rsidP="00EC58C3">
            <w:r>
              <w:t>0.97 (0.95, 1.00)</w:t>
            </w:r>
          </w:p>
        </w:tc>
        <w:tc>
          <w:tcPr>
            <w:tcW w:w="717" w:type="pct"/>
          </w:tcPr>
          <w:p w14:paraId="5EB75A0A" w14:textId="77777777" w:rsidR="008060B0" w:rsidRDefault="008060B0" w:rsidP="00EC58C3">
            <w:r>
              <w:t>0.96 (0.90, 1.03)</w:t>
            </w:r>
          </w:p>
        </w:tc>
        <w:tc>
          <w:tcPr>
            <w:tcW w:w="717" w:type="pct"/>
          </w:tcPr>
          <w:p w14:paraId="3B06270C" w14:textId="77777777" w:rsidR="008060B0" w:rsidRDefault="008060B0" w:rsidP="00EC58C3">
            <w:r>
              <w:t>0.95 (0.89, 1.02)</w:t>
            </w:r>
          </w:p>
        </w:tc>
      </w:tr>
      <w:tr w:rsidR="008060B0" w14:paraId="046C49A6" w14:textId="77777777" w:rsidTr="00EC58C3">
        <w:trPr>
          <w:trHeight w:val="272"/>
        </w:trPr>
        <w:tc>
          <w:tcPr>
            <w:tcW w:w="733" w:type="pct"/>
          </w:tcPr>
          <w:p w14:paraId="158B1BA5" w14:textId="77777777" w:rsidR="008060B0" w:rsidRDefault="008060B0" w:rsidP="00EC58C3">
            <w:r>
              <w:t>3600g</w:t>
            </w:r>
          </w:p>
        </w:tc>
        <w:tc>
          <w:tcPr>
            <w:tcW w:w="680" w:type="pct"/>
          </w:tcPr>
          <w:p w14:paraId="14B047A9" w14:textId="77777777" w:rsidR="008060B0" w:rsidRDefault="008060B0" w:rsidP="00EC58C3">
            <w:r>
              <w:t>0.97 (0.91, 1.03)</w:t>
            </w:r>
          </w:p>
        </w:tc>
        <w:tc>
          <w:tcPr>
            <w:tcW w:w="719" w:type="pct"/>
          </w:tcPr>
          <w:p w14:paraId="49B9D325" w14:textId="77777777" w:rsidR="008060B0" w:rsidRDefault="008060B0" w:rsidP="00EC58C3">
            <w:r>
              <w:t>1.00 (0.99, 1.01)</w:t>
            </w:r>
          </w:p>
        </w:tc>
        <w:tc>
          <w:tcPr>
            <w:tcW w:w="717" w:type="pct"/>
          </w:tcPr>
          <w:p w14:paraId="78E6077B" w14:textId="77777777" w:rsidR="008060B0" w:rsidRDefault="008060B0" w:rsidP="00EC58C3">
            <w:r>
              <w:t>0.99 (0.98, 1.00)</w:t>
            </w:r>
          </w:p>
        </w:tc>
        <w:tc>
          <w:tcPr>
            <w:tcW w:w="717" w:type="pct"/>
          </w:tcPr>
          <w:p w14:paraId="2BBA001B" w14:textId="77777777" w:rsidR="008060B0" w:rsidRDefault="008060B0" w:rsidP="00EC58C3">
            <w:r>
              <w:t>0.99 (0.97, 1.00)</w:t>
            </w:r>
          </w:p>
        </w:tc>
        <w:tc>
          <w:tcPr>
            <w:tcW w:w="717" w:type="pct"/>
          </w:tcPr>
          <w:p w14:paraId="19A2E08E" w14:textId="77777777" w:rsidR="008060B0" w:rsidRDefault="008060B0" w:rsidP="00EC58C3">
            <w:r>
              <w:t>0.99 (0.95, 1.02)</w:t>
            </w:r>
          </w:p>
        </w:tc>
        <w:tc>
          <w:tcPr>
            <w:tcW w:w="717" w:type="pct"/>
          </w:tcPr>
          <w:p w14:paraId="188D6BC6" w14:textId="77777777" w:rsidR="008060B0" w:rsidRDefault="008060B0" w:rsidP="00EC58C3">
            <w:r>
              <w:t>0.98 (0.95, 1.02)</w:t>
            </w:r>
          </w:p>
        </w:tc>
      </w:tr>
      <w:tr w:rsidR="008060B0" w14:paraId="052AEC07" w14:textId="77777777" w:rsidTr="00EC58C3">
        <w:trPr>
          <w:trHeight w:val="272"/>
        </w:trPr>
        <w:tc>
          <w:tcPr>
            <w:tcW w:w="733" w:type="pct"/>
          </w:tcPr>
          <w:p w14:paraId="49521A0E" w14:textId="77777777" w:rsidR="008060B0" w:rsidRDefault="008060B0" w:rsidP="00EC58C3">
            <w:r>
              <w:t>3700g</w:t>
            </w:r>
          </w:p>
        </w:tc>
        <w:tc>
          <w:tcPr>
            <w:tcW w:w="680" w:type="pct"/>
          </w:tcPr>
          <w:p w14:paraId="6DBE6021" w14:textId="77777777" w:rsidR="008060B0" w:rsidRDefault="008060B0" w:rsidP="00EC58C3">
            <w:r>
              <w:t>1.00 (0.95, 1.05)</w:t>
            </w:r>
          </w:p>
        </w:tc>
        <w:tc>
          <w:tcPr>
            <w:tcW w:w="719" w:type="pct"/>
          </w:tcPr>
          <w:p w14:paraId="3B7AB20C" w14:textId="77777777" w:rsidR="008060B0" w:rsidRDefault="008060B0" w:rsidP="00EC58C3">
            <w:r>
              <w:t>1.03 (1.02, 1.04)</w:t>
            </w:r>
          </w:p>
        </w:tc>
        <w:tc>
          <w:tcPr>
            <w:tcW w:w="717" w:type="pct"/>
          </w:tcPr>
          <w:p w14:paraId="6D0D4B1A" w14:textId="77777777" w:rsidR="008060B0" w:rsidRDefault="008060B0" w:rsidP="00EC58C3">
            <w:r>
              <w:t>1.00 (0.98, 1.01)</w:t>
            </w:r>
          </w:p>
        </w:tc>
        <w:tc>
          <w:tcPr>
            <w:tcW w:w="717" w:type="pct"/>
          </w:tcPr>
          <w:p w14:paraId="32070EFF" w14:textId="77777777" w:rsidR="008060B0" w:rsidRDefault="008060B0" w:rsidP="00EC58C3">
            <w:r>
              <w:t>0.99 (0.98, 1.01)</w:t>
            </w:r>
          </w:p>
        </w:tc>
        <w:tc>
          <w:tcPr>
            <w:tcW w:w="717" w:type="pct"/>
          </w:tcPr>
          <w:p w14:paraId="53D70B80" w14:textId="77777777" w:rsidR="008060B0" w:rsidRDefault="008060B0" w:rsidP="00EC58C3">
            <w:r>
              <w:t>1.01 (0.97, 1.05)</w:t>
            </w:r>
          </w:p>
        </w:tc>
        <w:tc>
          <w:tcPr>
            <w:tcW w:w="717" w:type="pct"/>
          </w:tcPr>
          <w:p w14:paraId="7BE1168C" w14:textId="77777777" w:rsidR="008060B0" w:rsidRDefault="008060B0" w:rsidP="00EC58C3">
            <w:r>
              <w:t>1.00 (0.97, 1.05)</w:t>
            </w:r>
          </w:p>
        </w:tc>
      </w:tr>
      <w:tr w:rsidR="008060B0" w14:paraId="32B26397" w14:textId="77777777" w:rsidTr="00EC58C3">
        <w:trPr>
          <w:trHeight w:val="272"/>
        </w:trPr>
        <w:tc>
          <w:tcPr>
            <w:tcW w:w="733" w:type="pct"/>
          </w:tcPr>
          <w:p w14:paraId="5AAD8310" w14:textId="77777777" w:rsidR="008060B0" w:rsidRDefault="008060B0" w:rsidP="00EC58C3">
            <w:r>
              <w:t>3800g</w:t>
            </w:r>
          </w:p>
        </w:tc>
        <w:tc>
          <w:tcPr>
            <w:tcW w:w="680" w:type="pct"/>
          </w:tcPr>
          <w:p w14:paraId="4D89D155" w14:textId="77777777" w:rsidR="008060B0" w:rsidRDefault="008060B0" w:rsidP="00EC58C3">
            <w:r>
              <w:t>1.03 (1.01, 1.05)</w:t>
            </w:r>
          </w:p>
        </w:tc>
        <w:tc>
          <w:tcPr>
            <w:tcW w:w="719" w:type="pct"/>
          </w:tcPr>
          <w:p w14:paraId="3B307F86" w14:textId="77777777" w:rsidR="008060B0" w:rsidRDefault="008060B0" w:rsidP="00EC58C3">
            <w:r>
              <w:t>1.04 (1.03, 1.06)</w:t>
            </w:r>
          </w:p>
        </w:tc>
        <w:tc>
          <w:tcPr>
            <w:tcW w:w="717" w:type="pct"/>
          </w:tcPr>
          <w:p w14:paraId="4E9902C2" w14:textId="77777777" w:rsidR="008060B0" w:rsidRDefault="008060B0" w:rsidP="00EC58C3">
            <w:r>
              <w:t>1.00 (0.98, 1.02)</w:t>
            </w:r>
          </w:p>
        </w:tc>
        <w:tc>
          <w:tcPr>
            <w:tcW w:w="717" w:type="pct"/>
          </w:tcPr>
          <w:p w14:paraId="5F0BA677" w14:textId="77777777" w:rsidR="008060B0" w:rsidRDefault="008060B0" w:rsidP="00EC58C3">
            <w:r>
              <w:t>1.00 (0.98, 1.02)</w:t>
            </w:r>
          </w:p>
        </w:tc>
        <w:tc>
          <w:tcPr>
            <w:tcW w:w="717" w:type="pct"/>
          </w:tcPr>
          <w:p w14:paraId="5CFE02D6" w14:textId="77777777" w:rsidR="008060B0" w:rsidRDefault="008060B0" w:rsidP="00EC58C3">
            <w:r>
              <w:t>1.02 (0.97, 1.05)</w:t>
            </w:r>
          </w:p>
        </w:tc>
        <w:tc>
          <w:tcPr>
            <w:tcW w:w="717" w:type="pct"/>
          </w:tcPr>
          <w:p w14:paraId="17BFC341" w14:textId="77777777" w:rsidR="008060B0" w:rsidRDefault="008060B0" w:rsidP="00EC58C3">
            <w:r>
              <w:t>1.01 (0.96, 1.07)</w:t>
            </w:r>
          </w:p>
        </w:tc>
      </w:tr>
      <w:tr w:rsidR="008060B0" w14:paraId="3AF4EDBB" w14:textId="77777777" w:rsidTr="00EC58C3">
        <w:trPr>
          <w:trHeight w:val="272"/>
        </w:trPr>
        <w:tc>
          <w:tcPr>
            <w:tcW w:w="733" w:type="pct"/>
          </w:tcPr>
          <w:p w14:paraId="00A35C92" w14:textId="77777777" w:rsidR="008060B0" w:rsidRDefault="008060B0" w:rsidP="00EC58C3">
            <w:r>
              <w:t>3900g</w:t>
            </w:r>
          </w:p>
        </w:tc>
        <w:tc>
          <w:tcPr>
            <w:tcW w:w="680" w:type="pct"/>
          </w:tcPr>
          <w:p w14:paraId="1622EFCF" w14:textId="77777777" w:rsidR="008060B0" w:rsidRDefault="008060B0" w:rsidP="00EC58C3">
            <w:r>
              <w:t>1.04 (1.03, 1.06)</w:t>
            </w:r>
          </w:p>
        </w:tc>
        <w:tc>
          <w:tcPr>
            <w:tcW w:w="719" w:type="pct"/>
          </w:tcPr>
          <w:p w14:paraId="55569677" w14:textId="77777777" w:rsidR="008060B0" w:rsidRDefault="008060B0" w:rsidP="00EC58C3">
            <w:r>
              <w:t>1.04 (1.03, 1.06)</w:t>
            </w:r>
          </w:p>
        </w:tc>
        <w:tc>
          <w:tcPr>
            <w:tcW w:w="717" w:type="pct"/>
          </w:tcPr>
          <w:p w14:paraId="75D73665" w14:textId="77777777" w:rsidR="008060B0" w:rsidRDefault="008060B0" w:rsidP="00EC58C3">
            <w:r>
              <w:t>1.00 (0.98, 1.02)</w:t>
            </w:r>
          </w:p>
        </w:tc>
        <w:tc>
          <w:tcPr>
            <w:tcW w:w="717" w:type="pct"/>
          </w:tcPr>
          <w:p w14:paraId="5C4EBD12" w14:textId="77777777" w:rsidR="008060B0" w:rsidRDefault="008060B0" w:rsidP="00EC58C3">
            <w:r>
              <w:t>1.00 (0.98, 1.02)</w:t>
            </w:r>
          </w:p>
        </w:tc>
        <w:tc>
          <w:tcPr>
            <w:tcW w:w="717" w:type="pct"/>
          </w:tcPr>
          <w:p w14:paraId="53B84975" w14:textId="77777777" w:rsidR="008060B0" w:rsidRDefault="008060B0" w:rsidP="00EC58C3">
            <w:r>
              <w:t>1.02 (0.96, 1.07)</w:t>
            </w:r>
          </w:p>
        </w:tc>
        <w:tc>
          <w:tcPr>
            <w:tcW w:w="717" w:type="pct"/>
          </w:tcPr>
          <w:p w14:paraId="5FE6F940" w14:textId="77777777" w:rsidR="008060B0" w:rsidRDefault="008060B0" w:rsidP="00EC58C3">
            <w:r>
              <w:t>1.02 (0.96, 1.07)</w:t>
            </w:r>
          </w:p>
        </w:tc>
      </w:tr>
      <w:tr w:rsidR="008060B0" w14:paraId="2D771F02" w14:textId="77777777" w:rsidTr="00EC58C3">
        <w:trPr>
          <w:trHeight w:val="272"/>
        </w:trPr>
        <w:tc>
          <w:tcPr>
            <w:tcW w:w="733" w:type="pct"/>
            <w:tcBorders>
              <w:bottom w:val="single" w:sz="4" w:space="0" w:color="auto"/>
            </w:tcBorders>
          </w:tcPr>
          <w:p w14:paraId="615104D6" w14:textId="77777777" w:rsidR="008060B0" w:rsidRDefault="008060B0" w:rsidP="00EC58C3">
            <w:r>
              <w:t>4000g</w:t>
            </w: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7C3360C7" w14:textId="77777777" w:rsidR="008060B0" w:rsidRDefault="008060B0" w:rsidP="00EC58C3">
            <w:r>
              <w:t>1.05 (1.03, 1.07)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14:paraId="5A14A6BB" w14:textId="77777777" w:rsidR="008060B0" w:rsidRDefault="008060B0" w:rsidP="00EC58C3">
            <w:r>
              <w:t xml:space="preserve">1.04 (1.03, 1.06) 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14:paraId="654D3843" w14:textId="77777777" w:rsidR="008060B0" w:rsidRDefault="008060B0" w:rsidP="00EC58C3">
            <w:r>
              <w:t>1.00 (0.98, 1.02)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14:paraId="5E74447F" w14:textId="77777777" w:rsidR="008060B0" w:rsidRDefault="008060B0" w:rsidP="00EC58C3">
            <w:r>
              <w:t>1.00 (0.98, 1.02)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14:paraId="2D749407" w14:textId="77777777" w:rsidR="008060B0" w:rsidRDefault="008060B0" w:rsidP="00EC58C3">
            <w:r>
              <w:t>1.02 (0.96, 1.07)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14:paraId="6C5FACDA" w14:textId="77777777" w:rsidR="008060B0" w:rsidRDefault="008060B0" w:rsidP="00EC58C3">
            <w:r>
              <w:t>1.02 (0.96, 1.07)</w:t>
            </w:r>
          </w:p>
        </w:tc>
      </w:tr>
      <w:tr w:rsidR="008060B0" w14:paraId="24C75614" w14:textId="77777777" w:rsidTr="00EC58C3">
        <w:trPr>
          <w:trHeight w:val="272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4DED5449" w14:textId="4B8C9D29" w:rsidR="008060B0" w:rsidRDefault="008060B0" w:rsidP="00EC58C3">
            <w:proofErr w:type="spellStart"/>
            <w:r w:rsidRPr="008A6481">
              <w:rPr>
                <w:sz w:val="18"/>
                <w:szCs w:val="18"/>
                <w:vertAlign w:val="superscript"/>
              </w:rPr>
              <w:t>a</w:t>
            </w:r>
            <w:r w:rsidRPr="008A6481">
              <w:rPr>
                <w:sz w:val="18"/>
                <w:szCs w:val="18"/>
              </w:rPr>
              <w:t>Adjusted</w:t>
            </w:r>
            <w:proofErr w:type="spellEnd"/>
            <w:r w:rsidRPr="008A6481">
              <w:rPr>
                <w:sz w:val="18"/>
                <w:szCs w:val="18"/>
              </w:rPr>
              <w:t xml:space="preserve"> for </w:t>
            </w:r>
            <w:r>
              <w:rPr>
                <w:sz w:val="18"/>
                <w:szCs w:val="18"/>
              </w:rPr>
              <w:t>young adult</w:t>
            </w:r>
            <w:r w:rsidRPr="008A64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sex, neighbourhood income, </w:t>
            </w:r>
            <w:r w:rsidRPr="008A6481">
              <w:rPr>
                <w:sz w:val="18"/>
                <w:szCs w:val="18"/>
              </w:rPr>
              <w:t>perinatal characteristics (gestational diabetes, gestational hypertension, pre-eclampsia/eclampsia)</w:t>
            </w:r>
            <w:r>
              <w:rPr>
                <w:sz w:val="18"/>
                <w:szCs w:val="18"/>
              </w:rPr>
              <w:t xml:space="preserve">, and </w:t>
            </w:r>
            <w:r w:rsidRPr="008A6481">
              <w:rPr>
                <w:sz w:val="18"/>
                <w:szCs w:val="18"/>
              </w:rPr>
              <w:t>maternal characteristics (maternal: age, IHD, stroke, diabetes, and hypertension)</w:t>
            </w:r>
            <w:r>
              <w:t xml:space="preserve">  </w:t>
            </w:r>
            <w:r w:rsidR="00E84C41">
              <w:br/>
            </w:r>
            <w:proofErr w:type="spellStart"/>
            <w:r w:rsidR="00E84C41" w:rsidRPr="00252A38">
              <w:rPr>
                <w:vertAlign w:val="superscript"/>
              </w:rPr>
              <w:t>b</w:t>
            </w:r>
            <w:r w:rsidR="00E84C41">
              <w:t>Effect</w:t>
            </w:r>
            <w:proofErr w:type="spellEnd"/>
            <w:r w:rsidR="00E84C41">
              <w:t xml:space="preserve"> estimates and 95% confidence intervals obtained for birthweights &lt;2500g and &gt;4000g were the same as those obtained for birthweights 2500g and 4000g, respectively. </w:t>
            </w:r>
          </w:p>
        </w:tc>
      </w:tr>
    </w:tbl>
    <w:p w14:paraId="07465538" w14:textId="09E35201" w:rsidR="00721541" w:rsidRDefault="00C7338E" w:rsidP="00E27702">
      <w:pPr>
        <w:sectPr w:rsidR="00721541" w:rsidSect="0082703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14:paraId="0A75CECF" w14:textId="558EECB9" w:rsidR="00E27702" w:rsidRPr="00E27702" w:rsidRDefault="00E27702" w:rsidP="00E27702">
      <w:r w:rsidRPr="00E27702">
        <w:lastRenderedPageBreak/>
        <w:t xml:space="preserve">Table </w:t>
      </w:r>
      <w:r w:rsidR="004F75D0">
        <w:t>S</w:t>
      </w:r>
      <w:r w:rsidR="008060B0">
        <w:t>3</w:t>
      </w:r>
      <w:r w:rsidRPr="00E27702">
        <w:t xml:space="preserve">: Association between birthweight with </w:t>
      </w:r>
      <w:r w:rsidR="001F7C1C">
        <w:t>hazard</w:t>
      </w:r>
      <w:r w:rsidRPr="00E27702">
        <w:t xml:space="preserve"> of diabetes attained </w:t>
      </w:r>
      <w:r w:rsidR="00E9207D">
        <w:t>between</w:t>
      </w:r>
      <w:r w:rsidRPr="00E27702">
        <w:t xml:space="preserve"> 18</w:t>
      </w:r>
      <w:r w:rsidR="00E9207D">
        <w:t>-26 years</w:t>
      </w:r>
      <w:r w:rsidRPr="00E27702">
        <w:t xml:space="preserve"> by c</w:t>
      </w:r>
      <w:r w:rsidR="005D6A9F">
        <w:t xml:space="preserve">aesarean </w:t>
      </w:r>
      <w:r w:rsidRPr="00E27702">
        <w:t>section</w:t>
      </w:r>
      <w:r w:rsidR="00E97AE7">
        <w:t xml:space="preserve"> (p&lt;0.01)</w:t>
      </w:r>
      <w:r w:rsidRPr="00E27702">
        <w:t xml:space="preserve"> in Ontario, Canada from 2012 to 2020</w:t>
      </w:r>
    </w:p>
    <w:tbl>
      <w:tblPr>
        <w:tblStyle w:val="TableGrid"/>
        <w:tblW w:w="47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1756"/>
        <w:gridCol w:w="1756"/>
        <w:gridCol w:w="1756"/>
        <w:gridCol w:w="1755"/>
      </w:tblGrid>
      <w:tr w:rsidR="00E27702" w14:paraId="62FBF6C7" w14:textId="77777777" w:rsidTr="00573B1E">
        <w:trPr>
          <w:trHeight w:val="245"/>
        </w:trPr>
        <w:tc>
          <w:tcPr>
            <w:tcW w:w="1077" w:type="pct"/>
            <w:tcBorders>
              <w:top w:val="single" w:sz="4" w:space="0" w:color="auto"/>
              <w:bottom w:val="single" w:sz="4" w:space="0" w:color="auto"/>
            </w:tcBorders>
          </w:tcPr>
          <w:p w14:paraId="648B8874" w14:textId="77777777" w:rsidR="00E27702" w:rsidRPr="0084678A" w:rsidRDefault="00E27702" w:rsidP="00573B1E">
            <w:pPr>
              <w:rPr>
                <w:b/>
                <w:bCs/>
              </w:rPr>
            </w:pPr>
          </w:p>
        </w:tc>
        <w:tc>
          <w:tcPr>
            <w:tcW w:w="392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FEBF41" w14:textId="77777777" w:rsidR="00E27702" w:rsidRPr="0084678A" w:rsidRDefault="00E27702" w:rsidP="00573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Hazard Ratio (95% CI)</w:t>
            </w:r>
          </w:p>
        </w:tc>
      </w:tr>
      <w:tr w:rsidR="00E27702" w14:paraId="75873A51" w14:textId="77777777" w:rsidTr="00573B1E">
        <w:trPr>
          <w:trHeight w:val="255"/>
        </w:trPr>
        <w:tc>
          <w:tcPr>
            <w:tcW w:w="1077" w:type="pct"/>
            <w:tcBorders>
              <w:top w:val="single" w:sz="4" w:space="0" w:color="auto"/>
              <w:bottom w:val="single" w:sz="4" w:space="0" w:color="auto"/>
            </w:tcBorders>
          </w:tcPr>
          <w:p w14:paraId="77372C25" w14:textId="49DF9922" w:rsidR="00E27702" w:rsidRPr="0084678A" w:rsidRDefault="00E27702" w:rsidP="00573B1E">
            <w:pPr>
              <w:rPr>
                <w:b/>
                <w:bCs/>
              </w:rPr>
            </w:pPr>
            <w:r w:rsidRPr="0084678A">
              <w:rPr>
                <w:b/>
                <w:bCs/>
              </w:rPr>
              <w:t xml:space="preserve">Birthweight  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A59150" w14:textId="77777777" w:rsidR="00E27702" w:rsidRPr="0084678A" w:rsidRDefault="00E27702" w:rsidP="00573B1E">
            <w:pPr>
              <w:jc w:val="center"/>
              <w:rPr>
                <w:b/>
                <w:bCs/>
              </w:rPr>
            </w:pPr>
            <w:r w:rsidRPr="0084678A">
              <w:rPr>
                <w:b/>
                <w:bCs/>
              </w:rPr>
              <w:t>Unadjusted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465EE" w14:textId="77777777" w:rsidR="00E27702" w:rsidRPr="0084678A" w:rsidRDefault="00E27702" w:rsidP="00573B1E">
            <w:pPr>
              <w:jc w:val="center"/>
              <w:rPr>
                <w:b/>
                <w:bCs/>
              </w:rPr>
            </w:pPr>
            <w:proofErr w:type="spellStart"/>
            <w:r w:rsidRPr="0084678A">
              <w:rPr>
                <w:b/>
                <w:bCs/>
              </w:rPr>
              <w:t>Adjusted</w:t>
            </w:r>
            <w:r w:rsidRPr="008B7357">
              <w:rPr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E27702" w14:paraId="4B65EE7B" w14:textId="77777777" w:rsidTr="00573B1E">
        <w:trPr>
          <w:trHeight w:val="245"/>
        </w:trPr>
        <w:tc>
          <w:tcPr>
            <w:tcW w:w="1077" w:type="pct"/>
            <w:tcBorders>
              <w:top w:val="single" w:sz="4" w:space="0" w:color="auto"/>
            </w:tcBorders>
          </w:tcPr>
          <w:p w14:paraId="5FD533FA" w14:textId="77777777" w:rsidR="00E27702" w:rsidRDefault="00E27702" w:rsidP="00573B1E"/>
        </w:tc>
        <w:tc>
          <w:tcPr>
            <w:tcW w:w="981" w:type="pct"/>
            <w:tcBorders>
              <w:top w:val="single" w:sz="4" w:space="0" w:color="auto"/>
            </w:tcBorders>
          </w:tcPr>
          <w:p w14:paraId="1137F615" w14:textId="439B4D9A" w:rsidR="00E27702" w:rsidRDefault="00E27702" w:rsidP="00573B1E">
            <w:r>
              <w:t>C</w:t>
            </w:r>
            <w:r w:rsidR="005D6A9F">
              <w:t xml:space="preserve">aesarean </w:t>
            </w:r>
            <w:r>
              <w:t>section</w:t>
            </w:r>
          </w:p>
        </w:tc>
        <w:tc>
          <w:tcPr>
            <w:tcW w:w="981" w:type="pct"/>
            <w:tcBorders>
              <w:top w:val="single" w:sz="4" w:space="0" w:color="auto"/>
            </w:tcBorders>
          </w:tcPr>
          <w:p w14:paraId="2AE84B90" w14:textId="5C5F3A71" w:rsidR="00E27702" w:rsidRDefault="00E27702" w:rsidP="00573B1E">
            <w:r>
              <w:t xml:space="preserve">No </w:t>
            </w:r>
            <w:r w:rsidR="005D6A9F">
              <w:t xml:space="preserve">caesarean </w:t>
            </w:r>
            <w:r>
              <w:t>section</w:t>
            </w:r>
          </w:p>
        </w:tc>
        <w:tc>
          <w:tcPr>
            <w:tcW w:w="981" w:type="pct"/>
            <w:tcBorders>
              <w:top w:val="single" w:sz="4" w:space="0" w:color="auto"/>
            </w:tcBorders>
          </w:tcPr>
          <w:p w14:paraId="2CA7952D" w14:textId="2D1740AC" w:rsidR="00E27702" w:rsidRDefault="00E27702" w:rsidP="00573B1E">
            <w:r>
              <w:t>C</w:t>
            </w:r>
            <w:r w:rsidR="005D6A9F">
              <w:t xml:space="preserve">aesarean </w:t>
            </w:r>
            <w:r>
              <w:t>section</w:t>
            </w:r>
          </w:p>
        </w:tc>
        <w:tc>
          <w:tcPr>
            <w:tcW w:w="981" w:type="pct"/>
            <w:tcBorders>
              <w:top w:val="single" w:sz="4" w:space="0" w:color="auto"/>
            </w:tcBorders>
          </w:tcPr>
          <w:p w14:paraId="3412AC3A" w14:textId="2C2EB14D" w:rsidR="00E27702" w:rsidRDefault="00E27702" w:rsidP="00573B1E">
            <w:r>
              <w:t xml:space="preserve">No </w:t>
            </w:r>
            <w:r w:rsidR="005D6A9F">
              <w:t xml:space="preserve">caesarean </w:t>
            </w:r>
            <w:r>
              <w:t>section</w:t>
            </w:r>
          </w:p>
        </w:tc>
      </w:tr>
      <w:tr w:rsidR="00E27702" w14:paraId="750A3297" w14:textId="77777777" w:rsidTr="00573B1E">
        <w:trPr>
          <w:trHeight w:val="247"/>
        </w:trPr>
        <w:tc>
          <w:tcPr>
            <w:tcW w:w="1077" w:type="pct"/>
            <w:tcBorders>
              <w:top w:val="single" w:sz="4" w:space="0" w:color="auto"/>
            </w:tcBorders>
          </w:tcPr>
          <w:p w14:paraId="207AD47B" w14:textId="77777777" w:rsidR="00E27702" w:rsidRDefault="00E27702" w:rsidP="00573B1E">
            <w:r>
              <w:t>Less than 2500g</w:t>
            </w:r>
          </w:p>
        </w:tc>
        <w:tc>
          <w:tcPr>
            <w:tcW w:w="981" w:type="pct"/>
            <w:tcBorders>
              <w:top w:val="single" w:sz="4" w:space="0" w:color="auto"/>
            </w:tcBorders>
          </w:tcPr>
          <w:p w14:paraId="23362676" w14:textId="2969CEC9" w:rsidR="00E27702" w:rsidRDefault="00E27702" w:rsidP="00573B1E">
            <w:r>
              <w:t>1.44 (</w:t>
            </w:r>
            <w:r w:rsidRPr="005D22CF">
              <w:t>1.1</w:t>
            </w:r>
            <w:r w:rsidR="005D22CF" w:rsidRPr="005D22CF">
              <w:t>0</w:t>
            </w:r>
            <w:r>
              <w:t>, 1.89)</w:t>
            </w:r>
          </w:p>
        </w:tc>
        <w:tc>
          <w:tcPr>
            <w:tcW w:w="981" w:type="pct"/>
            <w:tcBorders>
              <w:top w:val="single" w:sz="4" w:space="0" w:color="auto"/>
            </w:tcBorders>
          </w:tcPr>
          <w:p w14:paraId="6F6E440C" w14:textId="77777777" w:rsidR="00E27702" w:rsidRDefault="00E27702" w:rsidP="00573B1E">
            <w:r>
              <w:t>1.72 (1.48, 2.01)</w:t>
            </w:r>
          </w:p>
        </w:tc>
        <w:tc>
          <w:tcPr>
            <w:tcW w:w="981" w:type="pct"/>
            <w:tcBorders>
              <w:top w:val="single" w:sz="4" w:space="0" w:color="auto"/>
            </w:tcBorders>
          </w:tcPr>
          <w:p w14:paraId="74356FA0" w14:textId="77777777" w:rsidR="00E27702" w:rsidRDefault="00E27702" w:rsidP="00573B1E">
            <w:r>
              <w:t>1.28 (0.96, 1.71)</w:t>
            </w:r>
          </w:p>
        </w:tc>
        <w:tc>
          <w:tcPr>
            <w:tcW w:w="981" w:type="pct"/>
            <w:tcBorders>
              <w:top w:val="single" w:sz="4" w:space="0" w:color="auto"/>
            </w:tcBorders>
          </w:tcPr>
          <w:p w14:paraId="4108434A" w14:textId="77777777" w:rsidR="00E27702" w:rsidRDefault="00E27702" w:rsidP="00573B1E">
            <w:r>
              <w:t>1.57 (1.34, 1.84)</w:t>
            </w:r>
          </w:p>
        </w:tc>
      </w:tr>
      <w:tr w:rsidR="00E27702" w14:paraId="6AE88189" w14:textId="77777777" w:rsidTr="00E97AE7">
        <w:trPr>
          <w:trHeight w:val="247"/>
        </w:trPr>
        <w:tc>
          <w:tcPr>
            <w:tcW w:w="1077" w:type="pct"/>
          </w:tcPr>
          <w:p w14:paraId="2343BA5A" w14:textId="77777777" w:rsidR="00E27702" w:rsidRDefault="00E27702" w:rsidP="00573B1E">
            <w:r>
              <w:t xml:space="preserve">2500 to 4000g </w:t>
            </w:r>
          </w:p>
        </w:tc>
        <w:tc>
          <w:tcPr>
            <w:tcW w:w="981" w:type="pct"/>
          </w:tcPr>
          <w:p w14:paraId="7850CCF5" w14:textId="77777777" w:rsidR="00E27702" w:rsidRDefault="00E27702" w:rsidP="00573B1E">
            <w:r>
              <w:t>Referent</w:t>
            </w:r>
          </w:p>
        </w:tc>
        <w:tc>
          <w:tcPr>
            <w:tcW w:w="981" w:type="pct"/>
          </w:tcPr>
          <w:p w14:paraId="4ED3D108" w14:textId="77777777" w:rsidR="00E27702" w:rsidRDefault="00E27702" w:rsidP="00573B1E">
            <w:r w:rsidRPr="00284403">
              <w:t>Referent</w:t>
            </w:r>
          </w:p>
        </w:tc>
        <w:tc>
          <w:tcPr>
            <w:tcW w:w="981" w:type="pct"/>
          </w:tcPr>
          <w:p w14:paraId="2F070DD4" w14:textId="77777777" w:rsidR="00E27702" w:rsidRPr="0063473C" w:rsidRDefault="00E27702" w:rsidP="00573B1E">
            <w:r w:rsidRPr="00284403">
              <w:t>Referent</w:t>
            </w:r>
          </w:p>
        </w:tc>
        <w:tc>
          <w:tcPr>
            <w:tcW w:w="981" w:type="pct"/>
          </w:tcPr>
          <w:p w14:paraId="3CAA4366" w14:textId="77777777" w:rsidR="00E27702" w:rsidRPr="0063473C" w:rsidRDefault="00E27702" w:rsidP="00573B1E">
            <w:r w:rsidRPr="00284403">
              <w:t>Referent</w:t>
            </w:r>
          </w:p>
        </w:tc>
      </w:tr>
      <w:tr w:rsidR="00E27702" w14:paraId="5D1ADF91" w14:textId="77777777" w:rsidTr="00E97AE7">
        <w:trPr>
          <w:trHeight w:val="247"/>
        </w:trPr>
        <w:tc>
          <w:tcPr>
            <w:tcW w:w="1077" w:type="pct"/>
            <w:tcBorders>
              <w:bottom w:val="single" w:sz="4" w:space="0" w:color="auto"/>
            </w:tcBorders>
          </w:tcPr>
          <w:p w14:paraId="74BE4AAB" w14:textId="77777777" w:rsidR="00E27702" w:rsidRDefault="00E27702" w:rsidP="00573B1E">
            <w:r>
              <w:t>Greater than 4000g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14:paraId="43438386" w14:textId="77777777" w:rsidR="00E27702" w:rsidRDefault="00E27702" w:rsidP="00573B1E">
            <w:r>
              <w:t>1.42 (1.19, 1.69)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14:paraId="101979D5" w14:textId="77777777" w:rsidR="00E27702" w:rsidRDefault="00E27702" w:rsidP="00573B1E">
            <w:r>
              <w:t>0.85 (0.75, 0.96)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14:paraId="3C63A52A" w14:textId="77777777" w:rsidR="00E27702" w:rsidRDefault="00E27702" w:rsidP="00573B1E">
            <w:r>
              <w:t>1.50 (1.26, 1.80)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14:paraId="55C40C5B" w14:textId="77777777" w:rsidR="00E27702" w:rsidRDefault="00E27702" w:rsidP="00573B1E">
            <w:r>
              <w:t>0.95 (0.84, 1.08)</w:t>
            </w:r>
          </w:p>
        </w:tc>
      </w:tr>
      <w:tr w:rsidR="00E27702" w14:paraId="6A1F77BA" w14:textId="77777777" w:rsidTr="00E97AE7">
        <w:trPr>
          <w:trHeight w:val="41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FF95B7" w14:textId="351E9F6C" w:rsidR="00E27702" w:rsidRPr="00B742B8" w:rsidRDefault="00E27702" w:rsidP="00573B1E">
            <w:pPr>
              <w:rPr>
                <w:sz w:val="18"/>
                <w:szCs w:val="18"/>
              </w:rPr>
            </w:pPr>
            <w:proofErr w:type="spellStart"/>
            <w:r w:rsidRPr="00B742B8">
              <w:rPr>
                <w:sz w:val="18"/>
                <w:szCs w:val="18"/>
                <w:vertAlign w:val="superscript"/>
              </w:rPr>
              <w:t>a</w:t>
            </w:r>
            <w:r w:rsidRPr="00B742B8">
              <w:rPr>
                <w:sz w:val="18"/>
                <w:szCs w:val="18"/>
              </w:rPr>
              <w:t>Adjusted</w:t>
            </w:r>
            <w:proofErr w:type="spellEnd"/>
            <w:r w:rsidRPr="00B742B8">
              <w:rPr>
                <w:sz w:val="18"/>
                <w:szCs w:val="18"/>
              </w:rPr>
              <w:t xml:space="preserve"> for </w:t>
            </w:r>
            <w:r w:rsidR="00D05B22">
              <w:rPr>
                <w:sz w:val="18"/>
                <w:szCs w:val="18"/>
              </w:rPr>
              <w:t>young adult</w:t>
            </w:r>
            <w:r w:rsidRPr="00B742B8">
              <w:rPr>
                <w:sz w:val="18"/>
                <w:szCs w:val="18"/>
              </w:rPr>
              <w:t xml:space="preserve"> sex, neighbourhood income, perinatal characteristics (gestational diabetes, gestational hypertension, and preeclampsia/eclampsia) and maternal characteristics (maternal: age, IHD, stroke, diabetes, and hypertension)</w:t>
            </w:r>
          </w:p>
        </w:tc>
      </w:tr>
    </w:tbl>
    <w:p w14:paraId="54410A4A" w14:textId="77777777" w:rsidR="00E27702" w:rsidRDefault="00E27702" w:rsidP="00E27702"/>
    <w:p w14:paraId="5E348C0D" w14:textId="0CD7A6B0" w:rsidR="00E27702" w:rsidRPr="00E27702" w:rsidRDefault="00E27702" w:rsidP="00E27702">
      <w:r w:rsidRPr="00E27702">
        <w:t xml:space="preserve">Table </w:t>
      </w:r>
      <w:r w:rsidR="004F75D0">
        <w:t>S</w:t>
      </w:r>
      <w:r w:rsidR="008060B0">
        <w:t>4</w:t>
      </w:r>
      <w:r w:rsidRPr="00E27702">
        <w:t xml:space="preserve">: Association between birthweight with </w:t>
      </w:r>
      <w:r w:rsidR="001F7C1C">
        <w:t xml:space="preserve">hazard </w:t>
      </w:r>
      <w:r w:rsidRPr="00E27702">
        <w:t xml:space="preserve">of diabetes attained </w:t>
      </w:r>
      <w:r w:rsidR="00E9207D">
        <w:t>between</w:t>
      </w:r>
      <w:r w:rsidRPr="00E27702">
        <w:t xml:space="preserve"> 18</w:t>
      </w:r>
      <w:r w:rsidR="00E9207D">
        <w:t>-26 years</w:t>
      </w:r>
      <w:r w:rsidRPr="00E27702">
        <w:t xml:space="preserve"> by maternal history of </w:t>
      </w:r>
      <w:r w:rsidR="005D6A9F">
        <w:t>cardiometabolic conditions</w:t>
      </w:r>
      <w:r w:rsidRPr="00E27702">
        <w:t xml:space="preserve"> </w:t>
      </w:r>
      <w:r w:rsidR="00E97AE7">
        <w:t xml:space="preserve">(p=0.04) </w:t>
      </w:r>
      <w:r w:rsidRPr="00E27702">
        <w:t>in Ontario, Canada from 2012 to 2020</w:t>
      </w:r>
    </w:p>
    <w:tbl>
      <w:tblPr>
        <w:tblStyle w:val="TableGrid"/>
        <w:tblW w:w="47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1672"/>
        <w:gridCol w:w="1673"/>
        <w:gridCol w:w="1673"/>
        <w:gridCol w:w="1671"/>
      </w:tblGrid>
      <w:tr w:rsidR="00E27702" w14:paraId="34C7BF2B" w14:textId="77777777" w:rsidTr="00573B1E">
        <w:trPr>
          <w:trHeight w:val="254"/>
        </w:trPr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</w:tcPr>
          <w:p w14:paraId="20EDC064" w14:textId="77777777" w:rsidR="00E27702" w:rsidRPr="0084678A" w:rsidRDefault="00E27702" w:rsidP="00573B1E">
            <w:pPr>
              <w:rPr>
                <w:b/>
                <w:bCs/>
              </w:rPr>
            </w:pPr>
          </w:p>
        </w:tc>
        <w:tc>
          <w:tcPr>
            <w:tcW w:w="373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A84DB" w14:textId="77777777" w:rsidR="00E27702" w:rsidRPr="0084678A" w:rsidRDefault="00E27702" w:rsidP="00573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Hazard Ratio (95% CI)</w:t>
            </w:r>
          </w:p>
        </w:tc>
      </w:tr>
      <w:tr w:rsidR="00E27702" w14:paraId="32970F4C" w14:textId="77777777" w:rsidTr="00573B1E">
        <w:trPr>
          <w:trHeight w:val="263"/>
        </w:trPr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</w:tcPr>
          <w:p w14:paraId="6DFDA6E4" w14:textId="5500C05F" w:rsidR="00E27702" w:rsidRPr="0084678A" w:rsidRDefault="00E27702" w:rsidP="00573B1E">
            <w:pPr>
              <w:rPr>
                <w:b/>
                <w:bCs/>
              </w:rPr>
            </w:pPr>
            <w:r w:rsidRPr="0084678A">
              <w:rPr>
                <w:b/>
                <w:bCs/>
              </w:rPr>
              <w:t xml:space="preserve">Birthweight  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F8639A" w14:textId="77777777" w:rsidR="00E27702" w:rsidRPr="0084678A" w:rsidRDefault="00E27702" w:rsidP="00573B1E">
            <w:pPr>
              <w:jc w:val="center"/>
              <w:rPr>
                <w:b/>
                <w:bCs/>
              </w:rPr>
            </w:pPr>
            <w:r w:rsidRPr="0084678A">
              <w:rPr>
                <w:b/>
                <w:bCs/>
              </w:rPr>
              <w:t>Unadjusted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11DEA3" w14:textId="77777777" w:rsidR="00E27702" w:rsidRPr="0084678A" w:rsidRDefault="00E27702" w:rsidP="00573B1E">
            <w:pPr>
              <w:jc w:val="center"/>
              <w:rPr>
                <w:b/>
                <w:bCs/>
              </w:rPr>
            </w:pPr>
            <w:proofErr w:type="spellStart"/>
            <w:r w:rsidRPr="0084678A">
              <w:rPr>
                <w:b/>
                <w:bCs/>
              </w:rPr>
              <w:t>Adjusted</w:t>
            </w:r>
            <w:r>
              <w:rPr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E27702" w14:paraId="33C2FF17" w14:textId="77777777" w:rsidTr="00573B1E">
        <w:trPr>
          <w:trHeight w:val="517"/>
        </w:trPr>
        <w:tc>
          <w:tcPr>
            <w:tcW w:w="1261" w:type="pct"/>
            <w:tcBorders>
              <w:top w:val="single" w:sz="4" w:space="0" w:color="auto"/>
            </w:tcBorders>
          </w:tcPr>
          <w:p w14:paraId="6832A8A7" w14:textId="77777777" w:rsidR="00E27702" w:rsidRDefault="00E27702" w:rsidP="00573B1E"/>
        </w:tc>
        <w:tc>
          <w:tcPr>
            <w:tcW w:w="935" w:type="pct"/>
            <w:tcBorders>
              <w:top w:val="single" w:sz="4" w:space="0" w:color="auto"/>
            </w:tcBorders>
          </w:tcPr>
          <w:p w14:paraId="7A7D0AE5" w14:textId="4DA2EEB5" w:rsidR="00E27702" w:rsidRDefault="00E27702" w:rsidP="00573B1E">
            <w:r>
              <w:t xml:space="preserve">Maternal history of </w:t>
            </w:r>
            <w:r w:rsidR="00A629BA">
              <w:t>cardiometabolic conditions</w:t>
            </w: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2A17F98A" w14:textId="2C45FA72" w:rsidR="00E27702" w:rsidRDefault="00E27702" w:rsidP="00573B1E">
            <w:r>
              <w:t xml:space="preserve">No maternal history of </w:t>
            </w:r>
            <w:r w:rsidR="00A629BA">
              <w:t>cardiometabolic conditions</w:t>
            </w: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74CCF0D5" w14:textId="730B689A" w:rsidR="00E27702" w:rsidRDefault="00E27702" w:rsidP="00573B1E">
            <w:r>
              <w:t xml:space="preserve">Maternal history of </w:t>
            </w:r>
            <w:r w:rsidR="00A629BA">
              <w:t>cardiometabolic conditions</w:t>
            </w: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75400314" w14:textId="1CAB8309" w:rsidR="00E27702" w:rsidRDefault="00E27702" w:rsidP="00573B1E">
            <w:r>
              <w:t xml:space="preserve">No maternal history of </w:t>
            </w:r>
            <w:r w:rsidR="00A629BA">
              <w:t>cardiometabolic conditions</w:t>
            </w:r>
          </w:p>
        </w:tc>
      </w:tr>
      <w:tr w:rsidR="00E27702" w14:paraId="4F95CCAE" w14:textId="77777777" w:rsidTr="00573B1E">
        <w:trPr>
          <w:trHeight w:val="261"/>
        </w:trPr>
        <w:tc>
          <w:tcPr>
            <w:tcW w:w="1261" w:type="pct"/>
            <w:tcBorders>
              <w:top w:val="single" w:sz="4" w:space="0" w:color="auto"/>
            </w:tcBorders>
          </w:tcPr>
          <w:p w14:paraId="5AC0F3B0" w14:textId="77777777" w:rsidR="00E27702" w:rsidRDefault="00E27702" w:rsidP="00573B1E">
            <w:r>
              <w:t>Less than 2500g</w:t>
            </w: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37519B14" w14:textId="77777777" w:rsidR="00E27702" w:rsidRDefault="00E27702" w:rsidP="00573B1E">
            <w:r>
              <w:t>1.04 (0.60, 1.81)</w:t>
            </w: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50B71692" w14:textId="77777777" w:rsidR="00E27702" w:rsidRDefault="00E27702" w:rsidP="00573B1E">
            <w:r>
              <w:t>1.68 (1.47, 1.93)</w:t>
            </w: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1AE9C3BF" w14:textId="77777777" w:rsidR="00E27702" w:rsidRDefault="00E27702" w:rsidP="00573B1E">
            <w:r>
              <w:t>1.01 (0.56, 1.81)</w:t>
            </w: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15072EA9" w14:textId="77777777" w:rsidR="00E27702" w:rsidRDefault="00E27702" w:rsidP="00573B1E">
            <w:r>
              <w:t>1.54 (1.33, 1.77)</w:t>
            </w:r>
          </w:p>
        </w:tc>
      </w:tr>
      <w:tr w:rsidR="00E27702" w14:paraId="60DD0A9D" w14:textId="77777777" w:rsidTr="00573B1E">
        <w:trPr>
          <w:trHeight w:val="261"/>
        </w:trPr>
        <w:tc>
          <w:tcPr>
            <w:tcW w:w="1261" w:type="pct"/>
          </w:tcPr>
          <w:p w14:paraId="40DA0D65" w14:textId="77777777" w:rsidR="00E27702" w:rsidRDefault="00E27702" w:rsidP="00573B1E">
            <w:r>
              <w:t xml:space="preserve">2500 to 4000g </w:t>
            </w:r>
          </w:p>
        </w:tc>
        <w:tc>
          <w:tcPr>
            <w:tcW w:w="935" w:type="pct"/>
          </w:tcPr>
          <w:p w14:paraId="0840C1E6" w14:textId="77777777" w:rsidR="00E27702" w:rsidRDefault="00E27702" w:rsidP="00573B1E">
            <w:r>
              <w:t>Referent</w:t>
            </w:r>
          </w:p>
        </w:tc>
        <w:tc>
          <w:tcPr>
            <w:tcW w:w="935" w:type="pct"/>
          </w:tcPr>
          <w:p w14:paraId="375B3EBD" w14:textId="77777777" w:rsidR="00E27702" w:rsidRDefault="00E27702" w:rsidP="00573B1E">
            <w:r w:rsidRPr="00284403">
              <w:t>Referent</w:t>
            </w:r>
          </w:p>
        </w:tc>
        <w:tc>
          <w:tcPr>
            <w:tcW w:w="935" w:type="pct"/>
          </w:tcPr>
          <w:p w14:paraId="4282BC9D" w14:textId="77777777" w:rsidR="00E27702" w:rsidRPr="0063473C" w:rsidRDefault="00E27702" w:rsidP="00573B1E">
            <w:r w:rsidRPr="00284403">
              <w:t>Referent</w:t>
            </w:r>
          </w:p>
        </w:tc>
        <w:tc>
          <w:tcPr>
            <w:tcW w:w="935" w:type="pct"/>
          </w:tcPr>
          <w:p w14:paraId="2C8AB8B7" w14:textId="77777777" w:rsidR="00E27702" w:rsidRPr="0063473C" w:rsidRDefault="00E27702" w:rsidP="00573B1E">
            <w:r w:rsidRPr="00284403">
              <w:t>Referent</w:t>
            </w:r>
          </w:p>
        </w:tc>
      </w:tr>
      <w:tr w:rsidR="00E27702" w14:paraId="705635A1" w14:textId="77777777" w:rsidTr="00573B1E">
        <w:trPr>
          <w:trHeight w:val="261"/>
        </w:trPr>
        <w:tc>
          <w:tcPr>
            <w:tcW w:w="1261" w:type="pct"/>
            <w:tcBorders>
              <w:bottom w:val="single" w:sz="4" w:space="0" w:color="auto"/>
            </w:tcBorders>
          </w:tcPr>
          <w:p w14:paraId="1AED037A" w14:textId="77777777" w:rsidR="00E27702" w:rsidRDefault="00E27702" w:rsidP="00573B1E">
            <w:r>
              <w:t>Greater than 4000g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14:paraId="11AB1C04" w14:textId="77777777" w:rsidR="00E27702" w:rsidRDefault="00E27702" w:rsidP="00573B1E">
            <w:r>
              <w:t>1.63 (1.14, 2.33)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14:paraId="6C5E7DDF" w14:textId="77777777" w:rsidR="00E27702" w:rsidRDefault="00E27702" w:rsidP="00573B1E">
            <w:r>
              <w:t>0.97 (0.87, 1.08)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14:paraId="000FCB9A" w14:textId="77777777" w:rsidR="00E27702" w:rsidRDefault="00E27702" w:rsidP="00573B1E">
            <w:r>
              <w:t xml:space="preserve">1.63 (1.12, 2.37) 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14:paraId="79028286" w14:textId="77777777" w:rsidR="00E27702" w:rsidRDefault="00E27702" w:rsidP="00573B1E">
            <w:r>
              <w:t>1.09 (0.98, 1.21)</w:t>
            </w:r>
          </w:p>
        </w:tc>
      </w:tr>
      <w:tr w:rsidR="00E27702" w14:paraId="5DD2D971" w14:textId="77777777" w:rsidTr="00573B1E">
        <w:trPr>
          <w:trHeight w:val="419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36545F25" w14:textId="40839D03" w:rsidR="00E27702" w:rsidRPr="00B742B8" w:rsidRDefault="00E27702" w:rsidP="00573B1E">
            <w:pPr>
              <w:rPr>
                <w:sz w:val="18"/>
                <w:szCs w:val="18"/>
              </w:rPr>
            </w:pPr>
            <w:proofErr w:type="spellStart"/>
            <w:r w:rsidRPr="00B742B8">
              <w:rPr>
                <w:sz w:val="18"/>
                <w:szCs w:val="18"/>
                <w:vertAlign w:val="superscript"/>
              </w:rPr>
              <w:t>a</w:t>
            </w:r>
            <w:r w:rsidRPr="00B742B8">
              <w:rPr>
                <w:sz w:val="18"/>
                <w:szCs w:val="18"/>
              </w:rPr>
              <w:t>Adjusted</w:t>
            </w:r>
            <w:proofErr w:type="spellEnd"/>
            <w:r w:rsidRPr="00B742B8">
              <w:rPr>
                <w:sz w:val="18"/>
                <w:szCs w:val="18"/>
              </w:rPr>
              <w:t xml:space="preserve"> for </w:t>
            </w:r>
            <w:r w:rsidR="00D05B22">
              <w:rPr>
                <w:sz w:val="18"/>
                <w:szCs w:val="18"/>
              </w:rPr>
              <w:t>young adult</w:t>
            </w:r>
            <w:r w:rsidRPr="00B742B8">
              <w:rPr>
                <w:sz w:val="18"/>
                <w:szCs w:val="18"/>
              </w:rPr>
              <w:t xml:space="preserve"> sex, neighbourhood income, maternal age, and perinatal characteristics (gestational diabetes, gestational hypertension, and preeclampsia/eclampsia)</w:t>
            </w:r>
          </w:p>
        </w:tc>
      </w:tr>
    </w:tbl>
    <w:p w14:paraId="7CECBD6E" w14:textId="77777777" w:rsidR="00E27702" w:rsidRDefault="00E27702" w:rsidP="00E27702">
      <w:pPr>
        <w:rPr>
          <w:b/>
          <w:bCs/>
        </w:rPr>
      </w:pPr>
    </w:p>
    <w:p w14:paraId="212C2F0E" w14:textId="1E63D904" w:rsidR="00E27702" w:rsidRPr="00E27702" w:rsidRDefault="00E27702" w:rsidP="00E27702">
      <w:r w:rsidRPr="00E27702">
        <w:t xml:space="preserve">Table </w:t>
      </w:r>
      <w:r w:rsidR="004F75D0">
        <w:t>S</w:t>
      </w:r>
      <w:r w:rsidR="008060B0">
        <w:t>5</w:t>
      </w:r>
      <w:r w:rsidRPr="00E27702">
        <w:t xml:space="preserve">: Association between birthweight with </w:t>
      </w:r>
      <w:r w:rsidR="001F7C1C">
        <w:t>hazard</w:t>
      </w:r>
      <w:r w:rsidRPr="00E27702">
        <w:t xml:space="preserve"> of diabetes attained </w:t>
      </w:r>
      <w:r w:rsidR="00E9207D">
        <w:t>between</w:t>
      </w:r>
      <w:r w:rsidRPr="00E27702">
        <w:t xml:space="preserve"> 18</w:t>
      </w:r>
      <w:r w:rsidR="00E9207D">
        <w:t>-26 years</w:t>
      </w:r>
      <w:r w:rsidRPr="00E27702">
        <w:t xml:space="preserve"> by maternal age </w:t>
      </w:r>
      <w:r w:rsidR="00E97AE7">
        <w:t xml:space="preserve">(p=0.04) </w:t>
      </w:r>
      <w:r w:rsidRPr="00E27702">
        <w:t>in Ontario, Canada from 2012 to 2020</w:t>
      </w:r>
    </w:p>
    <w:tbl>
      <w:tblPr>
        <w:tblStyle w:val="TableGrid"/>
        <w:tblW w:w="47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662"/>
        <w:gridCol w:w="1662"/>
        <w:gridCol w:w="1662"/>
        <w:gridCol w:w="1662"/>
      </w:tblGrid>
      <w:tr w:rsidR="00E27702" w14:paraId="34508A14" w14:textId="77777777" w:rsidTr="00573B1E">
        <w:trPr>
          <w:trHeight w:val="255"/>
        </w:trPr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14:paraId="3715FCEF" w14:textId="77777777" w:rsidR="00E27702" w:rsidRPr="0084678A" w:rsidRDefault="00E27702" w:rsidP="00573B1E">
            <w:pPr>
              <w:rPr>
                <w:b/>
                <w:bCs/>
              </w:rPr>
            </w:pPr>
          </w:p>
        </w:tc>
        <w:tc>
          <w:tcPr>
            <w:tcW w:w="372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953649" w14:textId="77777777" w:rsidR="00E27702" w:rsidRPr="0084678A" w:rsidRDefault="00E27702" w:rsidP="00573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Hazard Ratio (95% CI)</w:t>
            </w:r>
          </w:p>
        </w:tc>
      </w:tr>
      <w:tr w:rsidR="00E27702" w14:paraId="303119DB" w14:textId="77777777" w:rsidTr="00573B1E">
        <w:trPr>
          <w:trHeight w:val="266"/>
        </w:trPr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14:paraId="10CDE8E6" w14:textId="03CE54E8" w:rsidR="00E27702" w:rsidRPr="0084678A" w:rsidRDefault="00E27702" w:rsidP="00573B1E">
            <w:pPr>
              <w:rPr>
                <w:b/>
                <w:bCs/>
              </w:rPr>
            </w:pPr>
            <w:r w:rsidRPr="0084678A">
              <w:rPr>
                <w:b/>
                <w:bCs/>
              </w:rPr>
              <w:t xml:space="preserve">Birthweight  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6C8BE8" w14:textId="77777777" w:rsidR="00E27702" w:rsidRPr="0084678A" w:rsidRDefault="00E27702" w:rsidP="00573B1E">
            <w:pPr>
              <w:jc w:val="center"/>
              <w:rPr>
                <w:b/>
                <w:bCs/>
              </w:rPr>
            </w:pPr>
            <w:r w:rsidRPr="0084678A">
              <w:rPr>
                <w:b/>
                <w:bCs/>
              </w:rPr>
              <w:t>Unadjusted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4020A4" w14:textId="77777777" w:rsidR="00E27702" w:rsidRPr="0084678A" w:rsidRDefault="00E27702" w:rsidP="00573B1E">
            <w:pPr>
              <w:jc w:val="center"/>
              <w:rPr>
                <w:b/>
                <w:bCs/>
              </w:rPr>
            </w:pPr>
            <w:proofErr w:type="spellStart"/>
            <w:r w:rsidRPr="0084678A">
              <w:rPr>
                <w:b/>
                <w:bCs/>
              </w:rPr>
              <w:t>Adjusted</w:t>
            </w:r>
            <w:r>
              <w:rPr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E27702" w14:paraId="241CB545" w14:textId="77777777" w:rsidTr="00573B1E">
        <w:trPr>
          <w:trHeight w:val="255"/>
        </w:trPr>
        <w:tc>
          <w:tcPr>
            <w:tcW w:w="1272" w:type="pct"/>
            <w:tcBorders>
              <w:top w:val="single" w:sz="4" w:space="0" w:color="auto"/>
            </w:tcBorders>
          </w:tcPr>
          <w:p w14:paraId="66B9BE13" w14:textId="77777777" w:rsidR="00E27702" w:rsidRDefault="00E27702" w:rsidP="00573B1E"/>
        </w:tc>
        <w:tc>
          <w:tcPr>
            <w:tcW w:w="932" w:type="pct"/>
            <w:tcBorders>
              <w:top w:val="single" w:sz="4" w:space="0" w:color="auto"/>
            </w:tcBorders>
          </w:tcPr>
          <w:p w14:paraId="7EBDBEBB" w14:textId="77777777" w:rsidR="00E27702" w:rsidRDefault="00E27702" w:rsidP="00573B1E">
            <w:r>
              <w:rPr>
                <w:rFonts w:cstheme="minorHAnsi"/>
              </w:rPr>
              <w:t>≥</w:t>
            </w:r>
            <w:r>
              <w:t>35 years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504B1859" w14:textId="77777777" w:rsidR="00E27702" w:rsidRDefault="00E27702" w:rsidP="00573B1E">
            <w:r>
              <w:t>&lt;35 years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6BF1F774" w14:textId="77777777" w:rsidR="00E27702" w:rsidRDefault="00E27702" w:rsidP="00573B1E">
            <w:r>
              <w:rPr>
                <w:rFonts w:cstheme="minorHAnsi"/>
              </w:rPr>
              <w:t>≥</w:t>
            </w:r>
            <w:r>
              <w:t>35 years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3CAF1746" w14:textId="77777777" w:rsidR="00E27702" w:rsidRDefault="00E27702" w:rsidP="00573B1E">
            <w:r>
              <w:t>&lt;35 years</w:t>
            </w:r>
          </w:p>
        </w:tc>
      </w:tr>
      <w:tr w:rsidR="00E27702" w14:paraId="4A224141" w14:textId="77777777" w:rsidTr="00573B1E">
        <w:trPr>
          <w:trHeight w:val="257"/>
        </w:trPr>
        <w:tc>
          <w:tcPr>
            <w:tcW w:w="1272" w:type="pct"/>
            <w:tcBorders>
              <w:top w:val="single" w:sz="4" w:space="0" w:color="auto"/>
            </w:tcBorders>
          </w:tcPr>
          <w:p w14:paraId="7C62CD90" w14:textId="77777777" w:rsidR="00E27702" w:rsidRDefault="00E27702" w:rsidP="00573B1E">
            <w:r>
              <w:t>Less than 2500g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757501AC" w14:textId="77777777" w:rsidR="00E27702" w:rsidRDefault="00E27702" w:rsidP="00573B1E">
            <w:r>
              <w:t>2.23 (1.68, 2.95)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24CE2723" w14:textId="77777777" w:rsidR="00E27702" w:rsidRDefault="00E27702" w:rsidP="00573B1E">
            <w:r>
              <w:t>1.55 (1.33, 1.80)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13C022BD" w14:textId="77777777" w:rsidR="00E27702" w:rsidRPr="009C6CA6" w:rsidRDefault="00E27702" w:rsidP="00573B1E">
            <w:r w:rsidRPr="009C6CA6">
              <w:t>1.89 (1.40, 2.55)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4D0168E7" w14:textId="77777777" w:rsidR="00E27702" w:rsidRPr="009C6CA6" w:rsidRDefault="00E27702" w:rsidP="00573B1E">
            <w:r w:rsidRPr="009C6CA6">
              <w:t>1.40 (1.20, 1.64)</w:t>
            </w:r>
          </w:p>
        </w:tc>
      </w:tr>
      <w:tr w:rsidR="00E27702" w14:paraId="1264C53B" w14:textId="77777777" w:rsidTr="00573B1E">
        <w:trPr>
          <w:trHeight w:val="257"/>
        </w:trPr>
        <w:tc>
          <w:tcPr>
            <w:tcW w:w="1272" w:type="pct"/>
          </w:tcPr>
          <w:p w14:paraId="1F2E4490" w14:textId="77777777" w:rsidR="00E27702" w:rsidRDefault="00E27702" w:rsidP="00573B1E">
            <w:r>
              <w:t xml:space="preserve">2500 to 4000g </w:t>
            </w:r>
          </w:p>
        </w:tc>
        <w:tc>
          <w:tcPr>
            <w:tcW w:w="932" w:type="pct"/>
          </w:tcPr>
          <w:p w14:paraId="4D091C02" w14:textId="77777777" w:rsidR="00E27702" w:rsidRDefault="00E27702" w:rsidP="00573B1E">
            <w:r>
              <w:t>Referent</w:t>
            </w:r>
          </w:p>
        </w:tc>
        <w:tc>
          <w:tcPr>
            <w:tcW w:w="932" w:type="pct"/>
          </w:tcPr>
          <w:p w14:paraId="71844E71" w14:textId="77777777" w:rsidR="00E27702" w:rsidRDefault="00E27702" w:rsidP="00573B1E">
            <w:r w:rsidRPr="00284403">
              <w:t>Referent</w:t>
            </w:r>
          </w:p>
        </w:tc>
        <w:tc>
          <w:tcPr>
            <w:tcW w:w="932" w:type="pct"/>
          </w:tcPr>
          <w:p w14:paraId="7BC23D75" w14:textId="77777777" w:rsidR="00E27702" w:rsidRPr="009C6CA6" w:rsidRDefault="00E27702" w:rsidP="00573B1E">
            <w:r w:rsidRPr="009C6CA6">
              <w:t>Referent</w:t>
            </w:r>
          </w:p>
        </w:tc>
        <w:tc>
          <w:tcPr>
            <w:tcW w:w="932" w:type="pct"/>
          </w:tcPr>
          <w:p w14:paraId="65BCADCF" w14:textId="77777777" w:rsidR="00E27702" w:rsidRPr="009C6CA6" w:rsidRDefault="00E27702" w:rsidP="00573B1E">
            <w:r w:rsidRPr="009C6CA6">
              <w:t>Referent</w:t>
            </w:r>
          </w:p>
        </w:tc>
      </w:tr>
      <w:tr w:rsidR="00E27702" w14:paraId="00A73C69" w14:textId="77777777" w:rsidTr="00573B1E">
        <w:trPr>
          <w:trHeight w:val="257"/>
        </w:trPr>
        <w:tc>
          <w:tcPr>
            <w:tcW w:w="1272" w:type="pct"/>
            <w:tcBorders>
              <w:bottom w:val="single" w:sz="4" w:space="0" w:color="auto"/>
            </w:tcBorders>
          </w:tcPr>
          <w:p w14:paraId="3EEF128B" w14:textId="77777777" w:rsidR="00E27702" w:rsidRDefault="00E27702" w:rsidP="00573B1E">
            <w:r>
              <w:t>Greater than 4000g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74A73B7B" w14:textId="77777777" w:rsidR="00E27702" w:rsidRDefault="00E27702" w:rsidP="00573B1E">
            <w:r>
              <w:t>0.95 (0.74, 1.22)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4EA1C77B" w14:textId="77777777" w:rsidR="00E27702" w:rsidRDefault="00E27702" w:rsidP="00573B1E">
            <w:r>
              <w:t>1.02 (0.91, 1.14)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2F6EA5CE" w14:textId="77777777" w:rsidR="00E27702" w:rsidRPr="009C6CA6" w:rsidRDefault="00E27702" w:rsidP="00573B1E">
            <w:r w:rsidRPr="009C6CA6">
              <w:t>1.03 (0.80, 1.33)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42DBADCC" w14:textId="77777777" w:rsidR="00E27702" w:rsidRPr="009C6CA6" w:rsidRDefault="00E27702" w:rsidP="00573B1E">
            <w:r w:rsidRPr="009C6CA6">
              <w:t>1.12 (1.00, 1.25)</w:t>
            </w:r>
          </w:p>
        </w:tc>
      </w:tr>
      <w:tr w:rsidR="00E27702" w14:paraId="6C02EF21" w14:textId="77777777" w:rsidTr="00573B1E">
        <w:trPr>
          <w:trHeight w:val="434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2AC53EB2" w14:textId="6611DD90" w:rsidR="00E27702" w:rsidRPr="00B742B8" w:rsidRDefault="00E27702" w:rsidP="00573B1E">
            <w:pPr>
              <w:rPr>
                <w:sz w:val="18"/>
                <w:szCs w:val="18"/>
              </w:rPr>
            </w:pPr>
            <w:proofErr w:type="spellStart"/>
            <w:r w:rsidRPr="00B742B8">
              <w:rPr>
                <w:sz w:val="18"/>
                <w:szCs w:val="18"/>
                <w:vertAlign w:val="superscript"/>
              </w:rPr>
              <w:t>a</w:t>
            </w:r>
            <w:r w:rsidRPr="00B742B8">
              <w:rPr>
                <w:sz w:val="18"/>
                <w:szCs w:val="18"/>
              </w:rPr>
              <w:t>Adjusted</w:t>
            </w:r>
            <w:proofErr w:type="spellEnd"/>
            <w:r w:rsidRPr="00B742B8">
              <w:rPr>
                <w:sz w:val="18"/>
                <w:szCs w:val="18"/>
              </w:rPr>
              <w:t xml:space="preserve"> for </w:t>
            </w:r>
            <w:r w:rsidR="00D05B22">
              <w:rPr>
                <w:sz w:val="18"/>
                <w:szCs w:val="18"/>
              </w:rPr>
              <w:t>young adult</w:t>
            </w:r>
            <w:r w:rsidRPr="00B742B8">
              <w:rPr>
                <w:sz w:val="18"/>
                <w:szCs w:val="18"/>
              </w:rPr>
              <w:t xml:space="preserve"> sex, neighbourhood income, perinatal characteristics (gestational diabetes, gestational hypertension, and preeclampsia/eclampsia), and maternal characteristics (maternal: IHD, stroke, diabetes, and hypertension)</w:t>
            </w:r>
          </w:p>
        </w:tc>
      </w:tr>
    </w:tbl>
    <w:p w14:paraId="3AFB604E" w14:textId="1D282CFA" w:rsidR="00306684" w:rsidRDefault="00306684" w:rsidP="00527D79"/>
    <w:p w14:paraId="09CEB921" w14:textId="708B688C" w:rsidR="00893B3A" w:rsidRPr="00E27702" w:rsidRDefault="00893B3A" w:rsidP="00893B3A">
      <w:r w:rsidRPr="00E27702">
        <w:lastRenderedPageBreak/>
        <w:t xml:space="preserve">Table </w:t>
      </w:r>
      <w:r>
        <w:t>S</w:t>
      </w:r>
      <w:r w:rsidR="008060B0">
        <w:t>6</w:t>
      </w:r>
      <w:r w:rsidRPr="00E27702">
        <w:t xml:space="preserve">: Association between birthweight with </w:t>
      </w:r>
      <w:r>
        <w:t>hazard</w:t>
      </w:r>
      <w:r w:rsidRPr="00E27702">
        <w:t xml:space="preserve"> of diabetes attained </w:t>
      </w:r>
      <w:r w:rsidR="00E9207D">
        <w:t>between</w:t>
      </w:r>
      <w:r w:rsidRPr="00E27702">
        <w:t xml:space="preserve"> 18</w:t>
      </w:r>
      <w:r w:rsidR="00E9207D">
        <w:t xml:space="preserve">-26 years </w:t>
      </w:r>
      <w:r w:rsidRPr="00E27702">
        <w:t xml:space="preserve">by </w:t>
      </w:r>
      <w:r>
        <w:t>sex</w:t>
      </w:r>
      <w:r w:rsidRPr="00E27702">
        <w:t xml:space="preserve"> </w:t>
      </w:r>
      <w:r>
        <w:t>(p=0.</w:t>
      </w:r>
      <w:r w:rsidR="00607CBB">
        <w:t>07</w:t>
      </w:r>
      <w:r>
        <w:t xml:space="preserve">) </w:t>
      </w:r>
      <w:r w:rsidRPr="00E27702">
        <w:t>in Ontario, Canada from 2012 to 2020</w:t>
      </w:r>
    </w:p>
    <w:tbl>
      <w:tblPr>
        <w:tblStyle w:val="TableGrid"/>
        <w:tblW w:w="47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662"/>
        <w:gridCol w:w="1662"/>
        <w:gridCol w:w="1662"/>
        <w:gridCol w:w="1662"/>
      </w:tblGrid>
      <w:tr w:rsidR="00893B3A" w14:paraId="60506988" w14:textId="77777777" w:rsidTr="00EC58C3">
        <w:trPr>
          <w:trHeight w:val="255"/>
        </w:trPr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14:paraId="5AA0CC9A" w14:textId="77777777" w:rsidR="00893B3A" w:rsidRPr="0084678A" w:rsidRDefault="00893B3A" w:rsidP="00EC58C3">
            <w:pPr>
              <w:rPr>
                <w:b/>
                <w:bCs/>
              </w:rPr>
            </w:pPr>
          </w:p>
        </w:tc>
        <w:tc>
          <w:tcPr>
            <w:tcW w:w="372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D610D3" w14:textId="77777777" w:rsidR="00893B3A" w:rsidRPr="0084678A" w:rsidRDefault="00893B3A" w:rsidP="00EC5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Hazard Ratio (95% CI)</w:t>
            </w:r>
          </w:p>
        </w:tc>
      </w:tr>
      <w:tr w:rsidR="00893B3A" w14:paraId="18DD314B" w14:textId="77777777" w:rsidTr="00EC58C3">
        <w:trPr>
          <w:trHeight w:val="266"/>
        </w:trPr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14:paraId="07ED826B" w14:textId="77777777" w:rsidR="00893B3A" w:rsidRPr="0084678A" w:rsidRDefault="00893B3A" w:rsidP="00EC58C3">
            <w:pPr>
              <w:rPr>
                <w:b/>
                <w:bCs/>
              </w:rPr>
            </w:pPr>
            <w:r w:rsidRPr="0084678A">
              <w:rPr>
                <w:b/>
                <w:bCs/>
              </w:rPr>
              <w:t xml:space="preserve">Birthweight  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B0E796" w14:textId="77777777" w:rsidR="00893B3A" w:rsidRPr="0084678A" w:rsidRDefault="00893B3A" w:rsidP="00EC58C3">
            <w:pPr>
              <w:jc w:val="center"/>
              <w:rPr>
                <w:b/>
                <w:bCs/>
              </w:rPr>
            </w:pPr>
            <w:r w:rsidRPr="0084678A">
              <w:rPr>
                <w:b/>
                <w:bCs/>
              </w:rPr>
              <w:t>Unadjusted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B13F7B" w14:textId="77777777" w:rsidR="00893B3A" w:rsidRPr="0084678A" w:rsidRDefault="00893B3A" w:rsidP="00EC58C3">
            <w:pPr>
              <w:jc w:val="center"/>
              <w:rPr>
                <w:b/>
                <w:bCs/>
              </w:rPr>
            </w:pPr>
            <w:proofErr w:type="spellStart"/>
            <w:r w:rsidRPr="0084678A">
              <w:rPr>
                <w:b/>
                <w:bCs/>
              </w:rPr>
              <w:t>Adjusted</w:t>
            </w:r>
            <w:r>
              <w:rPr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893B3A" w14:paraId="3D3D94A1" w14:textId="77777777" w:rsidTr="00EC58C3">
        <w:trPr>
          <w:trHeight w:val="255"/>
        </w:trPr>
        <w:tc>
          <w:tcPr>
            <w:tcW w:w="1272" w:type="pct"/>
            <w:tcBorders>
              <w:top w:val="single" w:sz="4" w:space="0" w:color="auto"/>
            </w:tcBorders>
          </w:tcPr>
          <w:p w14:paraId="78B8DB64" w14:textId="77777777" w:rsidR="00893B3A" w:rsidRDefault="00893B3A" w:rsidP="00EC58C3"/>
        </w:tc>
        <w:tc>
          <w:tcPr>
            <w:tcW w:w="932" w:type="pct"/>
            <w:tcBorders>
              <w:top w:val="single" w:sz="4" w:space="0" w:color="auto"/>
            </w:tcBorders>
          </w:tcPr>
          <w:p w14:paraId="66C580AA" w14:textId="05F1E056" w:rsidR="00893B3A" w:rsidRDefault="003B6E1B" w:rsidP="00EC58C3">
            <w:r>
              <w:rPr>
                <w:rFonts w:cstheme="minorHAnsi"/>
              </w:rPr>
              <w:t>Female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41E5E4FB" w14:textId="1880F901" w:rsidR="00893B3A" w:rsidRDefault="003B6E1B" w:rsidP="00EC58C3">
            <w:r>
              <w:t>Male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2B8E4840" w14:textId="3FAB94E4" w:rsidR="00893B3A" w:rsidRDefault="003B6E1B" w:rsidP="00EC58C3">
            <w:r>
              <w:rPr>
                <w:rFonts w:cstheme="minorHAnsi"/>
              </w:rPr>
              <w:t>Female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0C769BA4" w14:textId="0FE55E17" w:rsidR="00893B3A" w:rsidRDefault="003B6E1B" w:rsidP="00EC58C3">
            <w:r>
              <w:t>Male</w:t>
            </w:r>
          </w:p>
        </w:tc>
      </w:tr>
      <w:tr w:rsidR="00893B3A" w14:paraId="205CD6FB" w14:textId="77777777" w:rsidTr="00EC58C3">
        <w:trPr>
          <w:trHeight w:val="257"/>
        </w:trPr>
        <w:tc>
          <w:tcPr>
            <w:tcW w:w="1272" w:type="pct"/>
            <w:tcBorders>
              <w:top w:val="single" w:sz="4" w:space="0" w:color="auto"/>
            </w:tcBorders>
          </w:tcPr>
          <w:p w14:paraId="7E7BCB36" w14:textId="77777777" w:rsidR="00893B3A" w:rsidRDefault="00893B3A" w:rsidP="00EC58C3">
            <w:r>
              <w:t>Less than 2500g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6E2FD7F1" w14:textId="242E4897" w:rsidR="00893B3A" w:rsidRDefault="003B6E1B" w:rsidP="00EC58C3">
            <w:r>
              <w:t>1.64 (1.40, 1.93)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3C7C262C" w14:textId="399DE880" w:rsidR="00893B3A" w:rsidRDefault="003B6E1B" w:rsidP="00EC58C3">
            <w:r>
              <w:t>1.68 (1.32, 2.12)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01D135F0" w14:textId="2098326A" w:rsidR="00893B3A" w:rsidRPr="009C6CA6" w:rsidRDefault="003B6E1B" w:rsidP="00EC58C3">
            <w:r>
              <w:t>1.48 (1.25, 1.75)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520EE465" w14:textId="17FE2A94" w:rsidR="00893B3A" w:rsidRPr="009C6CA6" w:rsidRDefault="003B6E1B" w:rsidP="00EC58C3">
            <w:r>
              <w:t>1.53 (1.19, 1.92)</w:t>
            </w:r>
          </w:p>
        </w:tc>
      </w:tr>
      <w:tr w:rsidR="003B6E1B" w14:paraId="2094AF17" w14:textId="77777777" w:rsidTr="00EC58C3">
        <w:trPr>
          <w:trHeight w:val="257"/>
        </w:trPr>
        <w:tc>
          <w:tcPr>
            <w:tcW w:w="1272" w:type="pct"/>
          </w:tcPr>
          <w:p w14:paraId="24B00EF6" w14:textId="77777777" w:rsidR="003B6E1B" w:rsidRDefault="003B6E1B" w:rsidP="003B6E1B">
            <w:r>
              <w:t xml:space="preserve">2500 to 4000g </w:t>
            </w:r>
          </w:p>
        </w:tc>
        <w:tc>
          <w:tcPr>
            <w:tcW w:w="932" w:type="pct"/>
          </w:tcPr>
          <w:p w14:paraId="113ABA8D" w14:textId="0DA50907" w:rsidR="003B6E1B" w:rsidRDefault="003B6E1B" w:rsidP="003B6E1B">
            <w:r>
              <w:t>Referent</w:t>
            </w:r>
          </w:p>
        </w:tc>
        <w:tc>
          <w:tcPr>
            <w:tcW w:w="932" w:type="pct"/>
          </w:tcPr>
          <w:p w14:paraId="15137C21" w14:textId="0F580DA4" w:rsidR="003B6E1B" w:rsidRDefault="003B6E1B" w:rsidP="003B6E1B">
            <w:r w:rsidRPr="00284403">
              <w:t>Referent</w:t>
            </w:r>
          </w:p>
        </w:tc>
        <w:tc>
          <w:tcPr>
            <w:tcW w:w="932" w:type="pct"/>
          </w:tcPr>
          <w:p w14:paraId="278DCDB7" w14:textId="400FF39E" w:rsidR="003B6E1B" w:rsidRPr="009C6CA6" w:rsidRDefault="003B6E1B" w:rsidP="003B6E1B">
            <w:r w:rsidRPr="009C6CA6">
              <w:t>Referent</w:t>
            </w:r>
          </w:p>
        </w:tc>
        <w:tc>
          <w:tcPr>
            <w:tcW w:w="932" w:type="pct"/>
          </w:tcPr>
          <w:p w14:paraId="0619A326" w14:textId="3F01C03A" w:rsidR="003B6E1B" w:rsidRPr="009C6CA6" w:rsidRDefault="003B6E1B" w:rsidP="003B6E1B">
            <w:r w:rsidRPr="009C6CA6">
              <w:t>Referent</w:t>
            </w:r>
          </w:p>
        </w:tc>
      </w:tr>
      <w:tr w:rsidR="003B6E1B" w14:paraId="16850E6D" w14:textId="77777777" w:rsidTr="00EC58C3">
        <w:trPr>
          <w:trHeight w:val="257"/>
        </w:trPr>
        <w:tc>
          <w:tcPr>
            <w:tcW w:w="1272" w:type="pct"/>
            <w:tcBorders>
              <w:bottom w:val="single" w:sz="4" w:space="0" w:color="auto"/>
            </w:tcBorders>
          </w:tcPr>
          <w:p w14:paraId="030DC75F" w14:textId="77777777" w:rsidR="003B6E1B" w:rsidRDefault="003B6E1B" w:rsidP="003B6E1B">
            <w:r>
              <w:t>Greater than 4000g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42A63BF6" w14:textId="6AEF7015" w:rsidR="003B6E1B" w:rsidRDefault="003B6E1B" w:rsidP="003B6E1B">
            <w:r>
              <w:t>1.22 (1.08, 1.39)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7E572BE6" w14:textId="1C07A8C1" w:rsidR="003B6E1B" w:rsidRDefault="003B6E1B" w:rsidP="003B6E1B">
            <w:r>
              <w:t>0.98 (0.83, 1.15)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713C1E19" w14:textId="10A452FB" w:rsidR="003B6E1B" w:rsidRPr="009C6CA6" w:rsidRDefault="003B6E1B" w:rsidP="003B6E1B">
            <w:r>
              <w:t>1.22 (1.07, 1.39)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2A5B958D" w14:textId="3392DD16" w:rsidR="003B6E1B" w:rsidRPr="009C6CA6" w:rsidRDefault="003B6E1B" w:rsidP="003B6E1B">
            <w:r>
              <w:t>0.96 (0.81, 1.13)</w:t>
            </w:r>
          </w:p>
        </w:tc>
      </w:tr>
      <w:tr w:rsidR="003B6E1B" w14:paraId="23F01D56" w14:textId="77777777" w:rsidTr="00EC58C3">
        <w:trPr>
          <w:trHeight w:val="434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09873B06" w14:textId="6D209939" w:rsidR="003B6E1B" w:rsidRPr="00B742B8" w:rsidRDefault="003B6E1B" w:rsidP="003B6E1B">
            <w:pPr>
              <w:rPr>
                <w:sz w:val="18"/>
                <w:szCs w:val="18"/>
              </w:rPr>
            </w:pPr>
            <w:proofErr w:type="spellStart"/>
            <w:r w:rsidRPr="00B742B8">
              <w:rPr>
                <w:sz w:val="18"/>
                <w:szCs w:val="18"/>
                <w:vertAlign w:val="superscript"/>
              </w:rPr>
              <w:t>a</w:t>
            </w:r>
            <w:r w:rsidRPr="00B742B8">
              <w:rPr>
                <w:sz w:val="18"/>
                <w:szCs w:val="18"/>
              </w:rPr>
              <w:t>Adjusted</w:t>
            </w:r>
            <w:proofErr w:type="spellEnd"/>
            <w:r w:rsidRPr="00B742B8">
              <w:rPr>
                <w:sz w:val="18"/>
                <w:szCs w:val="18"/>
              </w:rPr>
              <w:t xml:space="preserve"> for neighbourhood income, perinatal characteristics (gestational diabetes, gestational hypertension, and preeclampsia/eclampsia), and maternal characteristics (maternal: </w:t>
            </w:r>
            <w:r>
              <w:rPr>
                <w:sz w:val="18"/>
                <w:szCs w:val="18"/>
              </w:rPr>
              <w:t xml:space="preserve">age, </w:t>
            </w:r>
            <w:r w:rsidRPr="00B742B8">
              <w:rPr>
                <w:sz w:val="18"/>
                <w:szCs w:val="18"/>
              </w:rPr>
              <w:t>IHD, stroke, diabetes, and hypertension)</w:t>
            </w:r>
          </w:p>
        </w:tc>
      </w:tr>
    </w:tbl>
    <w:p w14:paraId="1EBB24E2" w14:textId="77777777" w:rsidR="00893B3A" w:rsidRDefault="00893B3A" w:rsidP="00527D79"/>
    <w:p w14:paraId="5784DBAA" w14:textId="2953DBF5" w:rsidR="003B6E1B" w:rsidRPr="00E27702" w:rsidRDefault="003B6E1B" w:rsidP="003B6E1B">
      <w:r w:rsidRPr="00E27702">
        <w:t xml:space="preserve">Table </w:t>
      </w:r>
      <w:r>
        <w:t>S</w:t>
      </w:r>
      <w:r w:rsidR="008060B0">
        <w:t>7</w:t>
      </w:r>
      <w:r w:rsidRPr="00E27702">
        <w:t xml:space="preserve">: Association between birthweight with </w:t>
      </w:r>
      <w:r>
        <w:t>hazard</w:t>
      </w:r>
      <w:r w:rsidRPr="00E27702">
        <w:t xml:space="preserve"> of </w:t>
      </w:r>
      <w:r>
        <w:t>hypertension</w:t>
      </w:r>
      <w:r w:rsidRPr="00E27702">
        <w:t xml:space="preserve"> attained </w:t>
      </w:r>
      <w:r w:rsidR="00E9207D">
        <w:t>between</w:t>
      </w:r>
      <w:r w:rsidRPr="00E27702">
        <w:t xml:space="preserve"> </w:t>
      </w:r>
      <w:r w:rsidR="00E9207D">
        <w:t xml:space="preserve">20-26 years </w:t>
      </w:r>
      <w:r w:rsidRPr="00E27702">
        <w:t xml:space="preserve">by </w:t>
      </w:r>
      <w:r>
        <w:t>sex</w:t>
      </w:r>
      <w:r w:rsidRPr="00E27702">
        <w:t xml:space="preserve"> </w:t>
      </w:r>
      <w:r>
        <w:t>(</w:t>
      </w:r>
      <w:r w:rsidRPr="00607CBB">
        <w:t>p=0.</w:t>
      </w:r>
      <w:r w:rsidR="00607CBB" w:rsidRPr="00607CBB">
        <w:t>7</w:t>
      </w:r>
      <w:r w:rsidR="00607CBB">
        <w:t>7</w:t>
      </w:r>
      <w:r>
        <w:t xml:space="preserve">) </w:t>
      </w:r>
      <w:r w:rsidRPr="00E27702">
        <w:t>in Ontario, Canada from 201</w:t>
      </w:r>
      <w:r w:rsidR="00F10799">
        <w:t>4</w:t>
      </w:r>
      <w:r w:rsidRPr="00E27702">
        <w:t xml:space="preserve"> to 2020</w:t>
      </w:r>
    </w:p>
    <w:tbl>
      <w:tblPr>
        <w:tblStyle w:val="TableGrid"/>
        <w:tblW w:w="47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662"/>
        <w:gridCol w:w="1662"/>
        <w:gridCol w:w="1662"/>
        <w:gridCol w:w="1662"/>
      </w:tblGrid>
      <w:tr w:rsidR="00A45331" w14:paraId="1A3AA7E2" w14:textId="77777777" w:rsidTr="00EC58C3">
        <w:trPr>
          <w:trHeight w:val="255"/>
        </w:trPr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14:paraId="37FA4946" w14:textId="77777777" w:rsidR="00A45331" w:rsidRPr="0084678A" w:rsidRDefault="00A45331" w:rsidP="00EC58C3">
            <w:pPr>
              <w:rPr>
                <w:b/>
                <w:bCs/>
              </w:rPr>
            </w:pPr>
          </w:p>
        </w:tc>
        <w:tc>
          <w:tcPr>
            <w:tcW w:w="372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D9D12F" w14:textId="77777777" w:rsidR="00A45331" w:rsidRPr="0084678A" w:rsidRDefault="00A45331" w:rsidP="00EC5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Hazard Ratio (95% CI)</w:t>
            </w:r>
          </w:p>
        </w:tc>
      </w:tr>
      <w:tr w:rsidR="00A45331" w14:paraId="5096DEBB" w14:textId="77777777" w:rsidTr="00EC58C3">
        <w:trPr>
          <w:trHeight w:val="266"/>
        </w:trPr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14:paraId="5747383B" w14:textId="77777777" w:rsidR="00A45331" w:rsidRPr="0084678A" w:rsidRDefault="00A45331" w:rsidP="00EC58C3">
            <w:pPr>
              <w:rPr>
                <w:b/>
                <w:bCs/>
              </w:rPr>
            </w:pPr>
            <w:r w:rsidRPr="0084678A">
              <w:rPr>
                <w:b/>
                <w:bCs/>
              </w:rPr>
              <w:t xml:space="preserve">Birthweight  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4512F0" w14:textId="77777777" w:rsidR="00A45331" w:rsidRPr="0084678A" w:rsidRDefault="00A45331" w:rsidP="00EC58C3">
            <w:pPr>
              <w:jc w:val="center"/>
              <w:rPr>
                <w:b/>
                <w:bCs/>
              </w:rPr>
            </w:pPr>
            <w:r w:rsidRPr="0084678A">
              <w:rPr>
                <w:b/>
                <w:bCs/>
              </w:rPr>
              <w:t>Unadjusted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F4636C" w14:textId="77777777" w:rsidR="00A45331" w:rsidRPr="0084678A" w:rsidRDefault="00A45331" w:rsidP="00EC58C3">
            <w:pPr>
              <w:jc w:val="center"/>
              <w:rPr>
                <w:b/>
                <w:bCs/>
              </w:rPr>
            </w:pPr>
            <w:proofErr w:type="spellStart"/>
            <w:r w:rsidRPr="0084678A">
              <w:rPr>
                <w:b/>
                <w:bCs/>
              </w:rPr>
              <w:t>Adjusted</w:t>
            </w:r>
            <w:r>
              <w:rPr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A45331" w14:paraId="756E7571" w14:textId="77777777" w:rsidTr="00EC58C3">
        <w:trPr>
          <w:trHeight w:val="255"/>
        </w:trPr>
        <w:tc>
          <w:tcPr>
            <w:tcW w:w="1272" w:type="pct"/>
            <w:tcBorders>
              <w:top w:val="single" w:sz="4" w:space="0" w:color="auto"/>
            </w:tcBorders>
          </w:tcPr>
          <w:p w14:paraId="46EB8420" w14:textId="77777777" w:rsidR="00A45331" w:rsidRDefault="00A45331" w:rsidP="00EC58C3"/>
        </w:tc>
        <w:tc>
          <w:tcPr>
            <w:tcW w:w="932" w:type="pct"/>
            <w:tcBorders>
              <w:top w:val="single" w:sz="4" w:space="0" w:color="auto"/>
            </w:tcBorders>
          </w:tcPr>
          <w:p w14:paraId="54389172" w14:textId="77777777" w:rsidR="00A45331" w:rsidRDefault="00A45331" w:rsidP="00EC58C3">
            <w:r>
              <w:rPr>
                <w:rFonts w:cstheme="minorHAnsi"/>
              </w:rPr>
              <w:t>Female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1930A9BE" w14:textId="77777777" w:rsidR="00A45331" w:rsidRDefault="00A45331" w:rsidP="00EC58C3">
            <w:r>
              <w:t>Male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7AECA401" w14:textId="77777777" w:rsidR="00A45331" w:rsidRDefault="00A45331" w:rsidP="00EC58C3">
            <w:r>
              <w:rPr>
                <w:rFonts w:cstheme="minorHAnsi"/>
              </w:rPr>
              <w:t>Female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635CAD3A" w14:textId="77777777" w:rsidR="00A45331" w:rsidRDefault="00A45331" w:rsidP="00EC58C3">
            <w:r>
              <w:t>Male</w:t>
            </w:r>
          </w:p>
        </w:tc>
      </w:tr>
      <w:tr w:rsidR="00A45331" w14:paraId="465991EC" w14:textId="77777777" w:rsidTr="00EC58C3">
        <w:trPr>
          <w:trHeight w:val="257"/>
        </w:trPr>
        <w:tc>
          <w:tcPr>
            <w:tcW w:w="1272" w:type="pct"/>
            <w:tcBorders>
              <w:top w:val="single" w:sz="4" w:space="0" w:color="auto"/>
            </w:tcBorders>
          </w:tcPr>
          <w:p w14:paraId="299C550E" w14:textId="77777777" w:rsidR="00A45331" w:rsidRDefault="00A45331" w:rsidP="00EC58C3">
            <w:r>
              <w:t>Less than 2500g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6D77CE3A" w14:textId="5590CBA2" w:rsidR="00A45331" w:rsidRDefault="00A45331" w:rsidP="00EC58C3">
            <w:r>
              <w:t>1.58 (1.27, 1.96)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282F869A" w14:textId="3E084121" w:rsidR="00A45331" w:rsidRDefault="00A45331" w:rsidP="00EC58C3">
            <w:r>
              <w:t>1.43 (1.16, 1.75)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424B7B6A" w14:textId="7128FF3A" w:rsidR="00A45331" w:rsidRPr="009C6CA6" w:rsidRDefault="00A45331" w:rsidP="00EC58C3">
            <w:r>
              <w:t>1.41 (1.12, 1.76)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64CA778F" w14:textId="45B1D20F" w:rsidR="00A45331" w:rsidRPr="009C6CA6" w:rsidRDefault="00A45331" w:rsidP="00EC58C3">
            <w:r>
              <w:t>1.30 (1.05, 1.60)</w:t>
            </w:r>
          </w:p>
        </w:tc>
      </w:tr>
      <w:tr w:rsidR="00A45331" w14:paraId="5172F461" w14:textId="77777777" w:rsidTr="00EC58C3">
        <w:trPr>
          <w:trHeight w:val="257"/>
        </w:trPr>
        <w:tc>
          <w:tcPr>
            <w:tcW w:w="1272" w:type="pct"/>
          </w:tcPr>
          <w:p w14:paraId="753FF6EE" w14:textId="77777777" w:rsidR="00A45331" w:rsidRDefault="00A45331" w:rsidP="00EC58C3">
            <w:r>
              <w:t xml:space="preserve">2500 to 4000g </w:t>
            </w:r>
          </w:p>
        </w:tc>
        <w:tc>
          <w:tcPr>
            <w:tcW w:w="932" w:type="pct"/>
          </w:tcPr>
          <w:p w14:paraId="31F0ED64" w14:textId="77777777" w:rsidR="00A45331" w:rsidRDefault="00A45331" w:rsidP="00EC58C3">
            <w:r>
              <w:t>Referent</w:t>
            </w:r>
          </w:p>
        </w:tc>
        <w:tc>
          <w:tcPr>
            <w:tcW w:w="932" w:type="pct"/>
          </w:tcPr>
          <w:p w14:paraId="02CFE295" w14:textId="77777777" w:rsidR="00A45331" w:rsidRDefault="00A45331" w:rsidP="00EC58C3">
            <w:r w:rsidRPr="00284403">
              <w:t>Referent</w:t>
            </w:r>
          </w:p>
        </w:tc>
        <w:tc>
          <w:tcPr>
            <w:tcW w:w="932" w:type="pct"/>
          </w:tcPr>
          <w:p w14:paraId="7C342C04" w14:textId="77777777" w:rsidR="00A45331" w:rsidRPr="009C6CA6" w:rsidRDefault="00A45331" w:rsidP="00EC58C3">
            <w:r w:rsidRPr="009C6CA6">
              <w:t>Referent</w:t>
            </w:r>
          </w:p>
        </w:tc>
        <w:tc>
          <w:tcPr>
            <w:tcW w:w="932" w:type="pct"/>
          </w:tcPr>
          <w:p w14:paraId="78899701" w14:textId="77777777" w:rsidR="00A45331" w:rsidRPr="009C6CA6" w:rsidRDefault="00A45331" w:rsidP="00EC58C3">
            <w:r w:rsidRPr="009C6CA6">
              <w:t>Referent</w:t>
            </w:r>
          </w:p>
        </w:tc>
      </w:tr>
      <w:tr w:rsidR="00A45331" w14:paraId="17CB2735" w14:textId="77777777" w:rsidTr="00EC58C3">
        <w:trPr>
          <w:trHeight w:val="257"/>
        </w:trPr>
        <w:tc>
          <w:tcPr>
            <w:tcW w:w="1272" w:type="pct"/>
            <w:tcBorders>
              <w:bottom w:val="single" w:sz="4" w:space="0" w:color="auto"/>
            </w:tcBorders>
          </w:tcPr>
          <w:p w14:paraId="4216002F" w14:textId="77777777" w:rsidR="00A45331" w:rsidRDefault="00A45331" w:rsidP="00EC58C3">
            <w:r>
              <w:t>Greater than 4000g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6111E7D5" w14:textId="5DED7216" w:rsidR="00A45331" w:rsidRDefault="00A45331" w:rsidP="00EC58C3">
            <w:r>
              <w:t>0.89 (0.74, 1.08)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06F7D1A4" w14:textId="1D4097E7" w:rsidR="00A45331" w:rsidRDefault="00A45331" w:rsidP="00EC58C3">
            <w:r>
              <w:t>0.85 (0.74, 0.97)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6C322C55" w14:textId="324DD63E" w:rsidR="00A45331" w:rsidRPr="009C6CA6" w:rsidRDefault="00A45331" w:rsidP="00EC58C3">
            <w:r>
              <w:t>0.89 (0.74, 1.09)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5BDBBC14" w14:textId="5166B382" w:rsidR="00A45331" w:rsidRPr="009C6CA6" w:rsidRDefault="00A45331" w:rsidP="00EC58C3">
            <w:r>
              <w:t>0.85 (0.74, 0.97)</w:t>
            </w:r>
          </w:p>
        </w:tc>
      </w:tr>
      <w:tr w:rsidR="00A45331" w14:paraId="44923303" w14:textId="77777777" w:rsidTr="00EC58C3">
        <w:trPr>
          <w:trHeight w:val="434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67ABCADB" w14:textId="77777777" w:rsidR="00A45331" w:rsidRPr="00B742B8" w:rsidRDefault="00A45331" w:rsidP="00EC58C3">
            <w:pPr>
              <w:rPr>
                <w:sz w:val="18"/>
                <w:szCs w:val="18"/>
              </w:rPr>
            </w:pPr>
            <w:proofErr w:type="spellStart"/>
            <w:r w:rsidRPr="00B742B8">
              <w:rPr>
                <w:sz w:val="18"/>
                <w:szCs w:val="18"/>
                <w:vertAlign w:val="superscript"/>
              </w:rPr>
              <w:t>a</w:t>
            </w:r>
            <w:r w:rsidRPr="00B742B8">
              <w:rPr>
                <w:sz w:val="18"/>
                <w:szCs w:val="18"/>
              </w:rPr>
              <w:t>Adjusted</w:t>
            </w:r>
            <w:proofErr w:type="spellEnd"/>
            <w:r w:rsidRPr="00B742B8">
              <w:rPr>
                <w:sz w:val="18"/>
                <w:szCs w:val="18"/>
              </w:rPr>
              <w:t xml:space="preserve"> for neighbourhood income, perinatal characteristics (gestational diabetes, gestational hypertension, and preeclampsia/eclampsia), and maternal characteristics (maternal: </w:t>
            </w:r>
            <w:r>
              <w:rPr>
                <w:sz w:val="18"/>
                <w:szCs w:val="18"/>
              </w:rPr>
              <w:t xml:space="preserve">age, </w:t>
            </w:r>
            <w:r w:rsidRPr="00B742B8">
              <w:rPr>
                <w:sz w:val="18"/>
                <w:szCs w:val="18"/>
              </w:rPr>
              <w:t>IHD, stroke, diabetes, and hypertension)</w:t>
            </w:r>
          </w:p>
        </w:tc>
      </w:tr>
    </w:tbl>
    <w:p w14:paraId="0C885A71" w14:textId="77777777" w:rsidR="003B6E1B" w:rsidRDefault="003B6E1B" w:rsidP="00527D79"/>
    <w:p w14:paraId="2EB56227" w14:textId="5E792D7B" w:rsidR="00E9207D" w:rsidRPr="00E27702" w:rsidRDefault="00E9207D" w:rsidP="00E9207D">
      <w:r w:rsidRPr="00E27702">
        <w:t xml:space="preserve">Table </w:t>
      </w:r>
      <w:r>
        <w:t>S</w:t>
      </w:r>
      <w:r w:rsidR="008060B0">
        <w:t>8</w:t>
      </w:r>
      <w:r w:rsidRPr="00E27702">
        <w:t xml:space="preserve">: Association between birthweight with </w:t>
      </w:r>
      <w:r>
        <w:t>hazard</w:t>
      </w:r>
      <w:r w:rsidRPr="00E27702">
        <w:t xml:space="preserve"> of </w:t>
      </w:r>
      <w:r>
        <w:t>IHD</w:t>
      </w:r>
      <w:r w:rsidRPr="00E27702">
        <w:t xml:space="preserve"> attained </w:t>
      </w:r>
      <w:r>
        <w:t>between</w:t>
      </w:r>
      <w:r w:rsidRPr="00E27702">
        <w:t xml:space="preserve"> 18</w:t>
      </w:r>
      <w:r>
        <w:t xml:space="preserve">-26 years </w:t>
      </w:r>
      <w:r w:rsidRPr="00E27702">
        <w:t xml:space="preserve">by </w:t>
      </w:r>
      <w:r>
        <w:t>sex</w:t>
      </w:r>
      <w:r w:rsidRPr="00E27702">
        <w:t xml:space="preserve"> </w:t>
      </w:r>
      <w:r>
        <w:t>(</w:t>
      </w:r>
      <w:r w:rsidRPr="00607CBB">
        <w:t>p=0.</w:t>
      </w:r>
      <w:r>
        <w:t xml:space="preserve">28) </w:t>
      </w:r>
      <w:r w:rsidRPr="00E27702">
        <w:t>in Ontario, Canada from 2012 to 2020</w:t>
      </w:r>
    </w:p>
    <w:tbl>
      <w:tblPr>
        <w:tblStyle w:val="TableGrid"/>
        <w:tblW w:w="47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662"/>
        <w:gridCol w:w="1662"/>
        <w:gridCol w:w="1662"/>
        <w:gridCol w:w="1662"/>
      </w:tblGrid>
      <w:tr w:rsidR="00E9207D" w14:paraId="57F1B10F" w14:textId="77777777" w:rsidTr="00EC58C3">
        <w:trPr>
          <w:trHeight w:val="255"/>
        </w:trPr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14:paraId="7F83420A" w14:textId="77777777" w:rsidR="00E9207D" w:rsidRPr="0084678A" w:rsidRDefault="00E9207D" w:rsidP="00EC58C3">
            <w:pPr>
              <w:rPr>
                <w:b/>
                <w:bCs/>
              </w:rPr>
            </w:pPr>
          </w:p>
        </w:tc>
        <w:tc>
          <w:tcPr>
            <w:tcW w:w="372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896B99" w14:textId="77777777" w:rsidR="00E9207D" w:rsidRPr="0084678A" w:rsidRDefault="00E9207D" w:rsidP="00EC5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Hazard Ratio (95% CI)</w:t>
            </w:r>
          </w:p>
        </w:tc>
      </w:tr>
      <w:tr w:rsidR="00E9207D" w14:paraId="774CF722" w14:textId="77777777" w:rsidTr="00EC58C3">
        <w:trPr>
          <w:trHeight w:val="266"/>
        </w:trPr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14:paraId="6E227C8A" w14:textId="77777777" w:rsidR="00E9207D" w:rsidRPr="0084678A" w:rsidRDefault="00E9207D" w:rsidP="00EC58C3">
            <w:pPr>
              <w:rPr>
                <w:b/>
                <w:bCs/>
              </w:rPr>
            </w:pPr>
            <w:r w:rsidRPr="0084678A">
              <w:rPr>
                <w:b/>
                <w:bCs/>
              </w:rPr>
              <w:t xml:space="preserve">Birthweight  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10B025" w14:textId="77777777" w:rsidR="00E9207D" w:rsidRPr="0084678A" w:rsidRDefault="00E9207D" w:rsidP="00EC58C3">
            <w:pPr>
              <w:jc w:val="center"/>
              <w:rPr>
                <w:b/>
                <w:bCs/>
              </w:rPr>
            </w:pPr>
            <w:r w:rsidRPr="0084678A">
              <w:rPr>
                <w:b/>
                <w:bCs/>
              </w:rPr>
              <w:t>Unadjusted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25893" w14:textId="77777777" w:rsidR="00E9207D" w:rsidRPr="0084678A" w:rsidRDefault="00E9207D" w:rsidP="00EC58C3">
            <w:pPr>
              <w:jc w:val="center"/>
              <w:rPr>
                <w:b/>
                <w:bCs/>
              </w:rPr>
            </w:pPr>
            <w:proofErr w:type="spellStart"/>
            <w:r w:rsidRPr="0084678A">
              <w:rPr>
                <w:b/>
                <w:bCs/>
              </w:rPr>
              <w:t>Adjusted</w:t>
            </w:r>
            <w:r>
              <w:rPr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E9207D" w14:paraId="6404F44C" w14:textId="77777777" w:rsidTr="00EC58C3">
        <w:trPr>
          <w:trHeight w:val="255"/>
        </w:trPr>
        <w:tc>
          <w:tcPr>
            <w:tcW w:w="1272" w:type="pct"/>
            <w:tcBorders>
              <w:top w:val="single" w:sz="4" w:space="0" w:color="auto"/>
            </w:tcBorders>
          </w:tcPr>
          <w:p w14:paraId="5EB1DD98" w14:textId="77777777" w:rsidR="00E9207D" w:rsidRDefault="00E9207D" w:rsidP="00EC58C3"/>
        </w:tc>
        <w:tc>
          <w:tcPr>
            <w:tcW w:w="932" w:type="pct"/>
            <w:tcBorders>
              <w:top w:val="single" w:sz="4" w:space="0" w:color="auto"/>
            </w:tcBorders>
          </w:tcPr>
          <w:p w14:paraId="688EEF00" w14:textId="77777777" w:rsidR="00E9207D" w:rsidRDefault="00E9207D" w:rsidP="00EC58C3">
            <w:r>
              <w:rPr>
                <w:rFonts w:cstheme="minorHAnsi"/>
              </w:rPr>
              <w:t>Female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4E73CA96" w14:textId="77777777" w:rsidR="00E9207D" w:rsidRDefault="00E9207D" w:rsidP="00EC58C3">
            <w:r>
              <w:t>Male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4B2FB26F" w14:textId="77777777" w:rsidR="00E9207D" w:rsidRDefault="00E9207D" w:rsidP="00EC58C3">
            <w:r>
              <w:rPr>
                <w:rFonts w:cstheme="minorHAnsi"/>
              </w:rPr>
              <w:t>Female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7FDD3346" w14:textId="77777777" w:rsidR="00E9207D" w:rsidRDefault="00E9207D" w:rsidP="00EC58C3">
            <w:r>
              <w:t>Male</w:t>
            </w:r>
          </w:p>
        </w:tc>
      </w:tr>
      <w:tr w:rsidR="00E9207D" w14:paraId="7CF8BD4C" w14:textId="77777777" w:rsidTr="00EC58C3">
        <w:trPr>
          <w:trHeight w:val="257"/>
        </w:trPr>
        <w:tc>
          <w:tcPr>
            <w:tcW w:w="1272" w:type="pct"/>
            <w:tcBorders>
              <w:top w:val="single" w:sz="4" w:space="0" w:color="auto"/>
            </w:tcBorders>
          </w:tcPr>
          <w:p w14:paraId="2D1CE8CB" w14:textId="77777777" w:rsidR="00E9207D" w:rsidRDefault="00E9207D" w:rsidP="00EC58C3">
            <w:r>
              <w:t>Less than 2500g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491B7DC6" w14:textId="5E7A042B" w:rsidR="00E9207D" w:rsidRDefault="008D28BB" w:rsidP="00EC58C3">
            <w:r>
              <w:t>0.78 (0.32, 1.92)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3EB50074" w14:textId="538E0461" w:rsidR="00E9207D" w:rsidRDefault="008D28BB" w:rsidP="00EC58C3">
            <w:r>
              <w:t>1.69 (0.98, 2.91)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40DF2EB8" w14:textId="20D8E6EC" w:rsidR="00E9207D" w:rsidRPr="009C6CA6" w:rsidRDefault="00D50848" w:rsidP="00EC58C3">
            <w:r>
              <w:t>0.72 (0.29, 1.82)</w:t>
            </w: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4D1014BF" w14:textId="71505C44" w:rsidR="00E9207D" w:rsidRPr="009C6CA6" w:rsidRDefault="00D50848" w:rsidP="00EC58C3">
            <w:r>
              <w:t>1.73 (1.00, 2.97)</w:t>
            </w:r>
          </w:p>
        </w:tc>
      </w:tr>
      <w:tr w:rsidR="00E9207D" w14:paraId="06008AA4" w14:textId="77777777" w:rsidTr="00EC58C3">
        <w:trPr>
          <w:trHeight w:val="257"/>
        </w:trPr>
        <w:tc>
          <w:tcPr>
            <w:tcW w:w="1272" w:type="pct"/>
          </w:tcPr>
          <w:p w14:paraId="6D830B9C" w14:textId="77777777" w:rsidR="00E9207D" w:rsidRDefault="00E9207D" w:rsidP="00EC58C3">
            <w:r>
              <w:t xml:space="preserve">2500 to 4000g </w:t>
            </w:r>
          </w:p>
        </w:tc>
        <w:tc>
          <w:tcPr>
            <w:tcW w:w="932" w:type="pct"/>
          </w:tcPr>
          <w:p w14:paraId="57615B61" w14:textId="77777777" w:rsidR="00E9207D" w:rsidRDefault="00E9207D" w:rsidP="00EC58C3">
            <w:r>
              <w:t>Referent</w:t>
            </w:r>
          </w:p>
        </w:tc>
        <w:tc>
          <w:tcPr>
            <w:tcW w:w="932" w:type="pct"/>
          </w:tcPr>
          <w:p w14:paraId="4CFB6DE1" w14:textId="77777777" w:rsidR="00E9207D" w:rsidRDefault="00E9207D" w:rsidP="00EC58C3">
            <w:r w:rsidRPr="00284403">
              <w:t>Referent</w:t>
            </w:r>
          </w:p>
        </w:tc>
        <w:tc>
          <w:tcPr>
            <w:tcW w:w="932" w:type="pct"/>
          </w:tcPr>
          <w:p w14:paraId="64B3422E" w14:textId="77777777" w:rsidR="00E9207D" w:rsidRPr="009C6CA6" w:rsidRDefault="00E9207D" w:rsidP="00EC58C3">
            <w:r w:rsidRPr="009C6CA6">
              <w:t>Referent</w:t>
            </w:r>
          </w:p>
        </w:tc>
        <w:tc>
          <w:tcPr>
            <w:tcW w:w="932" w:type="pct"/>
          </w:tcPr>
          <w:p w14:paraId="4BFEB8B3" w14:textId="77777777" w:rsidR="00E9207D" w:rsidRPr="009C6CA6" w:rsidRDefault="00E9207D" w:rsidP="00EC58C3">
            <w:r w:rsidRPr="009C6CA6">
              <w:t>Referent</w:t>
            </w:r>
          </w:p>
        </w:tc>
      </w:tr>
      <w:tr w:rsidR="00E9207D" w14:paraId="22682DD2" w14:textId="77777777" w:rsidTr="00EC58C3">
        <w:trPr>
          <w:trHeight w:val="257"/>
        </w:trPr>
        <w:tc>
          <w:tcPr>
            <w:tcW w:w="1272" w:type="pct"/>
            <w:tcBorders>
              <w:bottom w:val="single" w:sz="4" w:space="0" w:color="auto"/>
            </w:tcBorders>
          </w:tcPr>
          <w:p w14:paraId="5DD3605C" w14:textId="77777777" w:rsidR="00E9207D" w:rsidRDefault="00E9207D" w:rsidP="00EC58C3">
            <w:r>
              <w:t>Greater than 4000g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11249EC3" w14:textId="1232320A" w:rsidR="00E9207D" w:rsidRDefault="008D28BB" w:rsidP="00EC58C3">
            <w:r>
              <w:t>1.07 (0.63, 1.80)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44EB638D" w14:textId="007C5122" w:rsidR="00E9207D" w:rsidRDefault="008D28BB" w:rsidP="00EC58C3">
            <w:r>
              <w:t>0.89 (0.61, 1.31)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1556E15B" w14:textId="30C48C7C" w:rsidR="00E9207D" w:rsidRPr="009C6CA6" w:rsidRDefault="00D50848" w:rsidP="00EC58C3">
            <w:r>
              <w:t>1.08 (0.65, 1.82)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41101E53" w14:textId="254E9351" w:rsidR="00E9207D" w:rsidRPr="009C6CA6" w:rsidRDefault="00D50848" w:rsidP="00EC58C3">
            <w:r>
              <w:t>0.91 (0.62, 1.34)</w:t>
            </w:r>
          </w:p>
        </w:tc>
      </w:tr>
      <w:tr w:rsidR="00E9207D" w14:paraId="0B98C27A" w14:textId="77777777" w:rsidTr="00EC58C3">
        <w:trPr>
          <w:trHeight w:val="434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11B298B3" w14:textId="77777777" w:rsidR="00E9207D" w:rsidRPr="00B742B8" w:rsidRDefault="00E9207D" w:rsidP="00EC58C3">
            <w:pPr>
              <w:rPr>
                <w:sz w:val="18"/>
                <w:szCs w:val="18"/>
              </w:rPr>
            </w:pPr>
            <w:proofErr w:type="spellStart"/>
            <w:r w:rsidRPr="00B742B8">
              <w:rPr>
                <w:sz w:val="18"/>
                <w:szCs w:val="18"/>
                <w:vertAlign w:val="superscript"/>
              </w:rPr>
              <w:t>a</w:t>
            </w:r>
            <w:r w:rsidRPr="00B742B8">
              <w:rPr>
                <w:sz w:val="18"/>
                <w:szCs w:val="18"/>
              </w:rPr>
              <w:t>Adjusted</w:t>
            </w:r>
            <w:proofErr w:type="spellEnd"/>
            <w:r w:rsidRPr="00B742B8">
              <w:rPr>
                <w:sz w:val="18"/>
                <w:szCs w:val="18"/>
              </w:rPr>
              <w:t xml:space="preserve"> for neighbourhood income, perinatal characteristics (gestational diabetes, gestational hypertension, and preeclampsia/eclampsia), and maternal characteristics (maternal: </w:t>
            </w:r>
            <w:r>
              <w:rPr>
                <w:sz w:val="18"/>
                <w:szCs w:val="18"/>
              </w:rPr>
              <w:t xml:space="preserve">age, </w:t>
            </w:r>
            <w:r w:rsidRPr="00B742B8">
              <w:rPr>
                <w:sz w:val="18"/>
                <w:szCs w:val="18"/>
              </w:rPr>
              <w:t>IHD, stroke, diabetes, and hypertension)</w:t>
            </w:r>
          </w:p>
        </w:tc>
      </w:tr>
    </w:tbl>
    <w:p w14:paraId="0C0B3423" w14:textId="77777777" w:rsidR="00E9207D" w:rsidRDefault="00E9207D" w:rsidP="00527D79"/>
    <w:sectPr w:rsidR="00E920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25D07"/>
    <w:multiLevelType w:val="hybridMultilevel"/>
    <w:tmpl w:val="BDFAD08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D47C2D"/>
    <w:multiLevelType w:val="hybridMultilevel"/>
    <w:tmpl w:val="C736FF9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8B68FF"/>
    <w:multiLevelType w:val="hybridMultilevel"/>
    <w:tmpl w:val="9322E9B4"/>
    <w:lvl w:ilvl="0" w:tplc="28882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53DF6"/>
    <w:multiLevelType w:val="hybridMultilevel"/>
    <w:tmpl w:val="D7BE47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765249">
    <w:abstractNumId w:val="1"/>
  </w:num>
  <w:num w:numId="2" w16cid:durableId="965894162">
    <w:abstractNumId w:val="3"/>
  </w:num>
  <w:num w:numId="3" w16cid:durableId="1943874694">
    <w:abstractNumId w:val="0"/>
  </w:num>
  <w:num w:numId="4" w16cid:durableId="914627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82"/>
    <w:rsid w:val="00046370"/>
    <w:rsid w:val="000757CC"/>
    <w:rsid w:val="00075D68"/>
    <w:rsid w:val="000B687E"/>
    <w:rsid w:val="000E1784"/>
    <w:rsid w:val="001E6EC4"/>
    <w:rsid w:val="001F7C1C"/>
    <w:rsid w:val="00241AF4"/>
    <w:rsid w:val="00252A38"/>
    <w:rsid w:val="002B1FE7"/>
    <w:rsid w:val="002D4A72"/>
    <w:rsid w:val="00306684"/>
    <w:rsid w:val="0038479D"/>
    <w:rsid w:val="00393A1F"/>
    <w:rsid w:val="003B6E1B"/>
    <w:rsid w:val="00433A40"/>
    <w:rsid w:val="00465F1F"/>
    <w:rsid w:val="004E6FF7"/>
    <w:rsid w:val="004F75D0"/>
    <w:rsid w:val="00504C07"/>
    <w:rsid w:val="00527D79"/>
    <w:rsid w:val="005866CB"/>
    <w:rsid w:val="005D22CF"/>
    <w:rsid w:val="005D6A9F"/>
    <w:rsid w:val="006040DB"/>
    <w:rsid w:val="00607CBB"/>
    <w:rsid w:val="00643F72"/>
    <w:rsid w:val="006F66A6"/>
    <w:rsid w:val="006F7006"/>
    <w:rsid w:val="00706C96"/>
    <w:rsid w:val="00721541"/>
    <w:rsid w:val="00795478"/>
    <w:rsid w:val="008060B0"/>
    <w:rsid w:val="0082703B"/>
    <w:rsid w:val="0085171A"/>
    <w:rsid w:val="00893B3A"/>
    <w:rsid w:val="008B482D"/>
    <w:rsid w:val="008D28BB"/>
    <w:rsid w:val="008F25ED"/>
    <w:rsid w:val="00A45331"/>
    <w:rsid w:val="00A46DA8"/>
    <w:rsid w:val="00A629BA"/>
    <w:rsid w:val="00B065D6"/>
    <w:rsid w:val="00BC2CBF"/>
    <w:rsid w:val="00C25342"/>
    <w:rsid w:val="00C52F4C"/>
    <w:rsid w:val="00C7338E"/>
    <w:rsid w:val="00D05B22"/>
    <w:rsid w:val="00D50848"/>
    <w:rsid w:val="00D71DB4"/>
    <w:rsid w:val="00DB2340"/>
    <w:rsid w:val="00E27702"/>
    <w:rsid w:val="00E83C8F"/>
    <w:rsid w:val="00E84C41"/>
    <w:rsid w:val="00E9207D"/>
    <w:rsid w:val="00E97AE7"/>
    <w:rsid w:val="00F10799"/>
    <w:rsid w:val="00F63842"/>
    <w:rsid w:val="00F6592B"/>
    <w:rsid w:val="00F731ED"/>
    <w:rsid w:val="00F76950"/>
    <w:rsid w:val="00F9197A"/>
    <w:rsid w:val="00FA01B9"/>
    <w:rsid w:val="00FA415D"/>
    <w:rsid w:val="00FD163A"/>
    <w:rsid w:val="00FD4D82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B4486"/>
  <w15:chartTrackingRefBased/>
  <w15:docId w15:val="{51247D50-719C-4B2D-8CE7-3862B3B7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82"/>
    <w:rPr>
      <w:rFonts w:eastAsiaTheme="minorEastAsia"/>
      <w:kern w:val="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D82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3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4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DB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DB"/>
    <w:rPr>
      <w:rFonts w:eastAsiaTheme="minorEastAsia"/>
      <w:b/>
      <w:bCs/>
      <w:kern w:val="0"/>
      <w:sz w:val="20"/>
      <w:szCs w:val="20"/>
      <w:lang w:eastAsia="ja-JP"/>
      <w14:ligatures w14:val="none"/>
    </w:rPr>
  </w:style>
  <w:style w:type="paragraph" w:styleId="Revision">
    <w:name w:val="Revision"/>
    <w:hidden/>
    <w:uiPriority w:val="99"/>
    <w:semiHidden/>
    <w:rsid w:val="00893B3A"/>
    <w:pPr>
      <w:spacing w:after="0" w:line="240" w:lineRule="auto"/>
    </w:pPr>
    <w:rPr>
      <w:rFonts w:eastAsiaTheme="minorEastAsia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Yulika Yoshida-Montezuma</dc:creator>
  <cp:keywords/>
  <dc:description/>
  <cp:lastModifiedBy>Yulika Yoshida-Montezuma</cp:lastModifiedBy>
  <cp:revision>3</cp:revision>
  <dcterms:created xsi:type="dcterms:W3CDTF">2023-11-01T17:14:00Z</dcterms:created>
  <dcterms:modified xsi:type="dcterms:W3CDTF">2023-11-01T17:14:00Z</dcterms:modified>
</cp:coreProperties>
</file>