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16" w:rsidRPr="0034054C" w:rsidRDefault="00BE7916" w:rsidP="00BE7916">
      <w:pPr>
        <w:rPr>
          <w:b/>
          <w:color w:val="404040" w:themeColor="text1" w:themeTint="BF"/>
          <w:sz w:val="22"/>
          <w:szCs w:val="22"/>
          <w:lang w:val="en-GB" w:eastAsia="en-US"/>
        </w:rPr>
      </w:pPr>
      <w:proofErr w:type="gramStart"/>
      <w:r w:rsidRPr="0034054C">
        <w:rPr>
          <w:b/>
          <w:color w:val="404040" w:themeColor="text1" w:themeTint="BF"/>
          <w:sz w:val="22"/>
          <w:szCs w:val="22"/>
          <w:lang w:val="en-GB" w:eastAsia="en-US"/>
        </w:rPr>
        <w:t>Table</w:t>
      </w:r>
      <w:r w:rsidR="000C1B23" w:rsidRPr="0034054C">
        <w:rPr>
          <w:b/>
          <w:color w:val="404040" w:themeColor="text1" w:themeTint="BF"/>
          <w:sz w:val="22"/>
          <w:szCs w:val="22"/>
          <w:lang w:val="en-GB" w:eastAsia="en-US"/>
        </w:rPr>
        <w:t xml:space="preserve"> 5</w:t>
      </w:r>
      <w:r w:rsidRPr="0034054C">
        <w:rPr>
          <w:b/>
          <w:color w:val="404040" w:themeColor="text1" w:themeTint="BF"/>
          <w:sz w:val="22"/>
          <w:szCs w:val="22"/>
          <w:lang w:val="en-GB" w:eastAsia="en-US"/>
        </w:rPr>
        <w:t xml:space="preserve"> in Appendix.</w:t>
      </w:r>
      <w:proofErr w:type="gramEnd"/>
      <w:r w:rsidRPr="0034054C">
        <w:rPr>
          <w:b/>
          <w:color w:val="404040" w:themeColor="text1" w:themeTint="BF"/>
          <w:sz w:val="22"/>
          <w:szCs w:val="22"/>
          <w:lang w:val="en-GB" w:eastAsia="en-US"/>
        </w:rPr>
        <w:t xml:space="preserve"> </w:t>
      </w:r>
      <w:r w:rsidR="0034054C" w:rsidRPr="0034054C">
        <w:rPr>
          <w:b/>
          <w:color w:val="404040" w:themeColor="text1" w:themeTint="BF"/>
          <w:sz w:val="22"/>
          <w:szCs w:val="22"/>
          <w:lang w:val="en-GB" w:eastAsia="en-US"/>
        </w:rPr>
        <w:tab/>
      </w:r>
      <w:proofErr w:type="gramStart"/>
      <w:r w:rsidRPr="0034054C">
        <w:rPr>
          <w:b/>
          <w:color w:val="404040" w:themeColor="text1" w:themeTint="BF"/>
          <w:sz w:val="22"/>
          <w:szCs w:val="22"/>
          <w:lang w:val="en-GB" w:eastAsia="en-US"/>
        </w:rPr>
        <w:t>Prevalence of somatic risk factors at baseline, in sample and in three diagnostic groups.</w:t>
      </w:r>
      <w:proofErr w:type="gramEnd"/>
      <w:r w:rsidRPr="0034054C">
        <w:rPr>
          <w:b/>
          <w:color w:val="404040" w:themeColor="text1" w:themeTint="BF"/>
          <w:sz w:val="22"/>
          <w:szCs w:val="22"/>
          <w:lang w:val="en-GB"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1380"/>
        <w:gridCol w:w="671"/>
        <w:gridCol w:w="1418"/>
        <w:gridCol w:w="1417"/>
        <w:gridCol w:w="1269"/>
      </w:tblGrid>
      <w:tr w:rsidR="00BE7916" w:rsidRPr="0034054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All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Depressive neurosis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Alcohol use disorder</w:t>
            </w:r>
          </w:p>
          <w:p w:rsidR="00BE7916" w:rsidRPr="00726A0C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Psychosis</w:t>
            </w:r>
          </w:p>
        </w:tc>
      </w:tr>
      <w:tr w:rsidR="00BE7916" w:rsidRPr="0034054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%</w:t>
            </w:r>
            <w:r w:rsidRPr="0034054C">
              <w:rPr>
                <w:color w:val="404040" w:themeColor="text1" w:themeTint="BF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%</w:t>
            </w:r>
            <w:r w:rsidRPr="0034054C">
              <w:rPr>
                <w:color w:val="404040" w:themeColor="text1" w:themeTint="BF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%</w:t>
            </w:r>
            <w:r w:rsidRPr="0034054C">
              <w:rPr>
                <w:color w:val="404040" w:themeColor="text1" w:themeTint="BF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269" w:type="dxa"/>
          </w:tcPr>
          <w:p w:rsidR="00BE7916" w:rsidRPr="00BE0CED" w:rsidRDefault="00BE7916" w:rsidP="006D211B">
            <w:pPr>
              <w:jc w:val="center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%</w:t>
            </w:r>
            <w:r w:rsidRPr="0034054C">
              <w:rPr>
                <w:color w:val="404040" w:themeColor="text1" w:themeTint="BF"/>
                <w:sz w:val="22"/>
                <w:szCs w:val="22"/>
                <w:vertAlign w:val="superscript"/>
                <w:lang w:val="en-US"/>
              </w:rPr>
              <w:t>a</w:t>
            </w:r>
          </w:p>
        </w:tc>
      </w:tr>
      <w:tr w:rsidR="00BE7916" w:rsidRPr="0034054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Body composition </w:t>
            </w: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i/>
                <w:color w:val="404040" w:themeColor="text1" w:themeTint="BF"/>
                <w:sz w:val="22"/>
                <w:szCs w:val="22"/>
                <w:lang w:val="en-GB"/>
              </w:rPr>
              <w:t>BMI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="00BE7916" w:rsidRPr="00BE0CED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BE7916" w:rsidRPr="0034054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34054C" w:rsidRDefault="00BE7916" w:rsidP="006D211B">
            <w:pPr>
              <w:rPr>
                <w:color w:val="404040" w:themeColor="text1" w:themeTint="BF"/>
                <w:sz w:val="22"/>
                <w:szCs w:val="22"/>
                <w:lang w:val="en-US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30.0–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3.9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3.9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1.7</w:t>
            </w:r>
          </w:p>
        </w:tc>
        <w:tc>
          <w:tcPr>
            <w:tcW w:w="1269" w:type="dxa"/>
          </w:tcPr>
          <w:p w:rsidR="00BE7916" w:rsidRPr="00BE0CED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34054C">
              <w:rPr>
                <w:color w:val="404040" w:themeColor="text1" w:themeTint="BF"/>
                <w:sz w:val="22"/>
                <w:szCs w:val="22"/>
                <w:lang w:val="en-US"/>
              </w:rPr>
              <w:t>10.5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25.0–29.9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24.5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17.5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25.6</w:t>
            </w:r>
          </w:p>
        </w:tc>
        <w:tc>
          <w:tcPr>
            <w:tcW w:w="1269" w:type="dxa"/>
          </w:tcPr>
          <w:p w:rsidR="00BE7916" w:rsidRPr="00BE0CED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BE0CED">
              <w:rPr>
                <w:color w:val="404040" w:themeColor="text1" w:themeTint="BF"/>
                <w:sz w:val="22"/>
                <w:szCs w:val="22"/>
              </w:rPr>
              <w:t>32.0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18.5–24.9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56.2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60.5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64.3</w:t>
            </w:r>
          </w:p>
        </w:tc>
        <w:tc>
          <w:tcPr>
            <w:tcW w:w="1269" w:type="dxa"/>
          </w:tcPr>
          <w:p w:rsidR="00BE7916" w:rsidRPr="00BE0CED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BE0CED">
              <w:rPr>
                <w:color w:val="404040" w:themeColor="text1" w:themeTint="BF"/>
                <w:sz w:val="22"/>
                <w:szCs w:val="22"/>
              </w:rPr>
              <w:t>52.1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&lt; 18.5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15.5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18.2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8.4</w:t>
            </w:r>
          </w:p>
        </w:tc>
        <w:tc>
          <w:tcPr>
            <w:tcW w:w="1269" w:type="dxa"/>
          </w:tcPr>
          <w:p w:rsidR="00BE7916" w:rsidRPr="00BE0CED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BE0CED">
              <w:rPr>
                <w:color w:val="404040" w:themeColor="text1" w:themeTint="BF"/>
                <w:sz w:val="22"/>
                <w:szCs w:val="22"/>
              </w:rPr>
              <w:t>5.5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="00BE7916" w:rsidRPr="00BE0CED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i/>
                <w:color w:val="404040" w:themeColor="text1" w:themeTint="BF"/>
                <w:sz w:val="22"/>
                <w:szCs w:val="22"/>
              </w:rPr>
            </w:pPr>
            <w:r w:rsidRPr="00726A0C">
              <w:rPr>
                <w:i/>
                <w:color w:val="404040" w:themeColor="text1" w:themeTint="BF"/>
                <w:sz w:val="22"/>
                <w:szCs w:val="22"/>
              </w:rPr>
              <w:t xml:space="preserve">Hypertension </w:t>
            </w: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</w:rPr>
            </w:pPr>
            <w:proofErr w:type="spellStart"/>
            <w:r w:rsidRPr="00726A0C">
              <w:rPr>
                <w:i/>
                <w:color w:val="404040" w:themeColor="text1" w:themeTint="BF"/>
                <w:sz w:val="22"/>
                <w:szCs w:val="22"/>
              </w:rPr>
              <w:t>Syst</w:t>
            </w:r>
            <w:proofErr w:type="spellEnd"/>
            <w:r w:rsidRPr="00726A0C">
              <w:rPr>
                <w:i/>
                <w:color w:val="404040" w:themeColor="text1" w:themeTint="BF"/>
                <w:sz w:val="22"/>
                <w:szCs w:val="22"/>
              </w:rPr>
              <w:t xml:space="preserve"> BP &gt;140 or Dias BP &gt;</w:t>
            </w:r>
            <w:r w:rsidRPr="00726A0C">
              <w:rPr>
                <w:color w:val="404040" w:themeColor="text1" w:themeTint="BF"/>
                <w:sz w:val="22"/>
                <w:szCs w:val="22"/>
              </w:rPr>
              <w:t>90 mm Hg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Yes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29.4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29.5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42.8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34.3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No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70.6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70.5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57.2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65.7</w:t>
            </w:r>
          </w:p>
        </w:tc>
        <w:bookmarkStart w:id="0" w:name="_GoBack"/>
        <w:bookmarkEnd w:id="0"/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Fasting Blood Glucose </w:t>
            </w: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proofErr w:type="spellStart"/>
            <w:r w:rsidRPr="00726A0C">
              <w:rPr>
                <w:rFonts w:eastAsia="Arial Unicode MS"/>
                <w:color w:val="404040" w:themeColor="text1" w:themeTint="BF"/>
                <w:sz w:val="22"/>
                <w:szCs w:val="22"/>
                <w:shd w:val="clear" w:color="auto" w:fill="FFFFFF"/>
                <w:lang w:val="en-US"/>
              </w:rPr>
              <w:t>mmol</w:t>
            </w:r>
            <w:proofErr w:type="spellEnd"/>
            <w:r w:rsidRPr="00726A0C">
              <w:rPr>
                <w:rFonts w:eastAsia="Arial Unicode MS"/>
                <w:color w:val="404040" w:themeColor="text1" w:themeTint="BF"/>
                <w:sz w:val="22"/>
                <w:szCs w:val="22"/>
                <w:shd w:val="clear" w:color="auto" w:fill="FFFFFF"/>
                <w:lang w:val="en-US"/>
              </w:rPr>
              <w:t>/l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rFonts w:eastAsia="Arial Unicode MS"/>
                <w:color w:val="404040" w:themeColor="text1" w:themeTint="BF"/>
                <w:sz w:val="22"/>
                <w:szCs w:val="22"/>
                <w:shd w:val="clear" w:color="auto" w:fill="FFFFFF"/>
                <w:lang w:val="en-US"/>
              </w:rPr>
              <w:t>6.1-6.9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4.3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6.1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1.7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2.9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rFonts w:eastAsia="Arial Unicode MS"/>
                <w:color w:val="404040" w:themeColor="text1" w:themeTint="BF"/>
                <w:sz w:val="22"/>
                <w:szCs w:val="22"/>
                <w:shd w:val="clear" w:color="auto" w:fill="FFFFFF"/>
                <w:lang w:val="en-US"/>
              </w:rPr>
              <w:t>7.0-7.7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3.3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7.8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rFonts w:eastAsia="Arial Unicode MS"/>
                <w:color w:val="404040" w:themeColor="text1" w:themeTint="BF"/>
                <w:sz w:val="22"/>
                <w:szCs w:val="22"/>
                <w:shd w:val="clear" w:color="auto" w:fill="FFFFFF"/>
                <w:lang w:val="en-US"/>
              </w:rPr>
              <w:t xml:space="preserve">&gt; 7.7 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1.6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4.3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0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i/>
                <w:color w:val="404040" w:themeColor="text1" w:themeTint="BF"/>
                <w:sz w:val="22"/>
                <w:szCs w:val="22"/>
                <w:lang w:val="en-GB"/>
              </w:rPr>
              <w:t>Pulmonary function</w:t>
            </w: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US"/>
              </w:rPr>
              <w:t xml:space="preserve">FEV1% 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i/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US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US"/>
              </w:rPr>
              <w:t>&lt; 0.70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11.8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9.7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23.0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23.7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i/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US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US"/>
              </w:rPr>
              <w:t>≥ 0.70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88.2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90.3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77.0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76.3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i/>
                <w:color w:val="404040" w:themeColor="text1" w:themeTint="BF"/>
                <w:sz w:val="22"/>
                <w:szCs w:val="22"/>
                <w:lang w:val="en-GB"/>
              </w:rPr>
              <w:t>Smoking</w:t>
            </w: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i/>
                <w:color w:val="404040" w:themeColor="text1" w:themeTint="BF"/>
                <w:sz w:val="22"/>
                <w:szCs w:val="22"/>
                <w:lang w:val="en-GB"/>
              </w:rPr>
              <w:t>Tobacco (g)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0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50.6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57.1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20.9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66.7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1–10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13.3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11.1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10.6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17.9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11–20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20.0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26.5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24.6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5.2</w:t>
            </w:r>
          </w:p>
        </w:tc>
      </w:tr>
      <w:tr w:rsidR="00BE7916" w:rsidRPr="00726A0C" w:rsidTr="006D211B">
        <w:tc>
          <w:tcPr>
            <w:tcW w:w="1422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  <w:tc>
          <w:tcPr>
            <w:tcW w:w="1380" w:type="dxa"/>
          </w:tcPr>
          <w:p w:rsidR="00BE7916" w:rsidRPr="00726A0C" w:rsidRDefault="00BE7916" w:rsidP="006D211B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  <w:lang w:val="en-GB"/>
              </w:rPr>
              <w:t>21-</w:t>
            </w:r>
          </w:p>
        </w:tc>
        <w:tc>
          <w:tcPr>
            <w:tcW w:w="671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16.1</w:t>
            </w:r>
          </w:p>
        </w:tc>
        <w:tc>
          <w:tcPr>
            <w:tcW w:w="1418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5.4</w:t>
            </w:r>
          </w:p>
        </w:tc>
        <w:tc>
          <w:tcPr>
            <w:tcW w:w="1417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43.9</w:t>
            </w:r>
          </w:p>
        </w:tc>
        <w:tc>
          <w:tcPr>
            <w:tcW w:w="1269" w:type="dxa"/>
          </w:tcPr>
          <w:p w:rsidR="00BE7916" w:rsidRPr="00726A0C" w:rsidRDefault="00BE7916" w:rsidP="006D211B">
            <w:pPr>
              <w:jc w:val="right"/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726A0C">
              <w:rPr>
                <w:color w:val="404040" w:themeColor="text1" w:themeTint="BF"/>
                <w:sz w:val="22"/>
                <w:szCs w:val="22"/>
              </w:rPr>
              <w:t>10.3</w:t>
            </w:r>
          </w:p>
        </w:tc>
      </w:tr>
    </w:tbl>
    <w:p w:rsidR="006224CF" w:rsidRPr="00BE7916" w:rsidRDefault="00BE7916">
      <w:pPr>
        <w:rPr>
          <w:lang w:val="en-US"/>
        </w:rPr>
      </w:pPr>
      <w:r w:rsidRPr="00726A0C">
        <w:rPr>
          <w:color w:val="404040" w:themeColor="text1" w:themeTint="BF"/>
          <w:sz w:val="22"/>
          <w:szCs w:val="22"/>
          <w:lang w:val="en-US"/>
        </w:rPr>
        <w:t xml:space="preserve">Note: </w:t>
      </w:r>
      <w:r w:rsidRPr="00726A0C">
        <w:rPr>
          <w:color w:val="404040" w:themeColor="text1" w:themeTint="BF"/>
          <w:sz w:val="22"/>
          <w:szCs w:val="22"/>
          <w:vertAlign w:val="superscript"/>
          <w:lang w:val="en-US"/>
        </w:rPr>
        <w:t xml:space="preserve">a </w:t>
      </w:r>
      <w:r w:rsidRPr="00726A0C">
        <w:rPr>
          <w:color w:val="404040" w:themeColor="text1" w:themeTint="BF"/>
          <w:sz w:val="22"/>
          <w:szCs w:val="22"/>
          <w:lang w:val="en-US"/>
        </w:rPr>
        <w:t xml:space="preserve">weighted prevalence. </w:t>
      </w:r>
      <w:r w:rsidRPr="00726A0C">
        <w:rPr>
          <w:i/>
          <w:color w:val="404040" w:themeColor="text1" w:themeTint="BF"/>
          <w:sz w:val="22"/>
          <w:szCs w:val="22"/>
          <w:lang w:val="en-GB" w:eastAsia="en-US"/>
        </w:rPr>
        <w:t>n</w:t>
      </w:r>
      <w:r w:rsidRPr="00726A0C">
        <w:rPr>
          <w:color w:val="404040" w:themeColor="text1" w:themeTint="BF"/>
          <w:sz w:val="22"/>
          <w:szCs w:val="22"/>
          <w:lang w:val="en-GB" w:eastAsia="en-US"/>
        </w:rPr>
        <w:t xml:space="preserve"> = 1</w:t>
      </w:r>
      <w:r w:rsidR="000D6C02">
        <w:rPr>
          <w:color w:val="404040" w:themeColor="text1" w:themeTint="BF"/>
          <w:sz w:val="22"/>
          <w:szCs w:val="22"/>
          <w:lang w:val="en-GB" w:eastAsia="en-US"/>
        </w:rPr>
        <w:t> </w:t>
      </w:r>
      <w:r w:rsidRPr="00726A0C">
        <w:rPr>
          <w:color w:val="404040" w:themeColor="text1" w:themeTint="BF"/>
          <w:sz w:val="22"/>
          <w:szCs w:val="22"/>
          <w:lang w:val="en-GB" w:eastAsia="en-US"/>
        </w:rPr>
        <w:t>135</w:t>
      </w:r>
      <w:r w:rsidR="000D6C02">
        <w:rPr>
          <w:color w:val="404040" w:themeColor="text1" w:themeTint="BF"/>
          <w:sz w:val="22"/>
          <w:szCs w:val="22"/>
          <w:lang w:val="en-GB" w:eastAsia="en-US"/>
        </w:rPr>
        <w:t>.</w:t>
      </w:r>
      <w:r w:rsidR="000D6C02" w:rsidRPr="00F03789">
        <w:rPr>
          <w:color w:val="404040" w:themeColor="text1" w:themeTint="BF"/>
          <w:sz w:val="22"/>
          <w:szCs w:val="22"/>
          <w:lang w:val="en-GB" w:eastAsia="en-US"/>
        </w:rPr>
        <w:t xml:space="preserve"> The analysis is based on subsamples i-ii because they had </w:t>
      </w:r>
      <w:proofErr w:type="spellStart"/>
      <w:r w:rsidR="00AF1C48" w:rsidRPr="00F03789">
        <w:rPr>
          <w:color w:val="404040" w:themeColor="text1" w:themeTint="BF"/>
          <w:sz w:val="22"/>
          <w:szCs w:val="22"/>
          <w:lang w:val="en-GB" w:eastAsia="en-US"/>
        </w:rPr>
        <w:t>od</w:t>
      </w:r>
      <w:r w:rsidR="000D6C02" w:rsidRPr="00F03789">
        <w:rPr>
          <w:color w:val="404040" w:themeColor="text1" w:themeTint="BF"/>
          <w:sz w:val="22"/>
          <w:szCs w:val="22"/>
          <w:lang w:val="en-GB" w:eastAsia="en-US"/>
        </w:rPr>
        <w:t>ontological</w:t>
      </w:r>
      <w:proofErr w:type="spellEnd"/>
      <w:r w:rsidR="000D6C02" w:rsidRPr="00F03789">
        <w:rPr>
          <w:color w:val="404040" w:themeColor="text1" w:themeTint="BF"/>
          <w:sz w:val="22"/>
          <w:szCs w:val="22"/>
          <w:lang w:val="en-GB" w:eastAsia="en-US"/>
        </w:rPr>
        <w:t xml:space="preserve"> examination/smoking status. </w:t>
      </w:r>
      <w:r w:rsidR="000D6C02" w:rsidRPr="00F03789">
        <w:rPr>
          <w:color w:val="404040" w:themeColor="text1" w:themeTint="BF"/>
          <w:sz w:val="22"/>
          <w:szCs w:val="22"/>
          <w:vertAlign w:val="superscript"/>
          <w:lang w:val="en-US"/>
        </w:rPr>
        <w:t xml:space="preserve"> </w:t>
      </w:r>
    </w:p>
    <w:sectPr w:rsidR="006224CF" w:rsidRPr="00BE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16"/>
    <w:rsid w:val="000C1B23"/>
    <w:rsid w:val="000D6C02"/>
    <w:rsid w:val="001A13D7"/>
    <w:rsid w:val="0034054C"/>
    <w:rsid w:val="00575AF9"/>
    <w:rsid w:val="005F6C7B"/>
    <w:rsid w:val="008A2859"/>
    <w:rsid w:val="00AF1C48"/>
    <w:rsid w:val="00BE0CED"/>
    <w:rsid w:val="00BE7916"/>
    <w:rsid w:val="00ED47D3"/>
    <w:rsid w:val="00F03789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Institutet, IMM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Lundin</dc:creator>
  <cp:lastModifiedBy>Andreas Lundin</cp:lastModifiedBy>
  <cp:revision>3</cp:revision>
  <dcterms:created xsi:type="dcterms:W3CDTF">2015-01-26T16:49:00Z</dcterms:created>
  <dcterms:modified xsi:type="dcterms:W3CDTF">2015-01-26T17:38:00Z</dcterms:modified>
</cp:coreProperties>
</file>