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BFD" w:rsidRDefault="00415BFD" w:rsidP="00FE39F6"/>
    <w:p w:rsidR="00415BFD" w:rsidRDefault="00415BFD" w:rsidP="00FE39F6"/>
    <w:p w:rsidR="00415BFD" w:rsidRDefault="00415BFD" w:rsidP="00FE39F6"/>
    <w:p w:rsidR="00415BFD" w:rsidRDefault="00415BFD" w:rsidP="00B54903"/>
    <w:p w:rsidR="00415BFD" w:rsidRDefault="00415BFD" w:rsidP="00B54903"/>
    <w:p w:rsidR="00415BFD" w:rsidRDefault="00415BFD" w:rsidP="00B54903"/>
    <w:p w:rsidR="00415BFD" w:rsidRDefault="00415BFD" w:rsidP="00B54903"/>
    <w:p w:rsidR="00415BFD" w:rsidRDefault="00415BFD" w:rsidP="00B54903"/>
    <w:p w:rsidR="00415BFD" w:rsidRDefault="00415BFD" w:rsidP="00B54903"/>
    <w:p w:rsidR="00415BFD" w:rsidRDefault="00415BFD" w:rsidP="00B54903"/>
    <w:p w:rsidR="00415BFD" w:rsidRDefault="00415BFD" w:rsidP="00B54903"/>
    <w:p w:rsidR="00415BFD" w:rsidRPr="009F03A5" w:rsidRDefault="00415BFD" w:rsidP="009F03A5">
      <w:pPr>
        <w:jc w:val="center"/>
        <w:rPr>
          <w:rFonts w:ascii="Arial" w:hAnsi="Arial" w:cs="Arial"/>
          <w:b/>
          <w:sz w:val="56"/>
        </w:rPr>
      </w:pPr>
      <w:r>
        <w:rPr>
          <w:rFonts w:ascii="Arial" w:hAnsi="Arial" w:cs="Arial"/>
          <w:b/>
          <w:sz w:val="56"/>
        </w:rPr>
        <w:t>Supplementary appendix</w:t>
      </w:r>
    </w:p>
    <w:p w:rsidR="00415BFD" w:rsidRDefault="00415BFD" w:rsidP="00F5147F">
      <w:pPr>
        <w:jc w:val="center"/>
        <w:rPr>
          <w:rFonts w:ascii="Arial" w:hAnsi="Arial" w:cs="Arial"/>
          <w:sz w:val="24"/>
          <w:lang w:bidi="ar-SA"/>
        </w:rPr>
      </w:pPr>
    </w:p>
    <w:p w:rsidR="00415BFD" w:rsidRDefault="00415BFD" w:rsidP="006C27B8">
      <w:pPr>
        <w:jc w:val="center"/>
        <w:rPr>
          <w:rFonts w:ascii="Arial" w:hAnsi="Arial" w:cs="Arial"/>
          <w:sz w:val="24"/>
          <w:lang w:bidi="ar-SA"/>
        </w:rPr>
      </w:pPr>
      <w:r w:rsidRPr="009F03A5">
        <w:rPr>
          <w:rFonts w:ascii="Arial" w:hAnsi="Arial" w:cs="Arial"/>
          <w:sz w:val="24"/>
          <w:lang w:bidi="ar-SA"/>
        </w:rPr>
        <w:t>This document presents a full description of methods</w:t>
      </w:r>
      <w:r>
        <w:rPr>
          <w:rFonts w:ascii="Arial" w:hAnsi="Arial" w:cs="Arial"/>
          <w:sz w:val="24"/>
          <w:lang w:bidi="ar-SA"/>
        </w:rPr>
        <w:t xml:space="preserve"> used to model the cost-effectiveness of delivering universal and indicated school-based interventions to prevent the onset of depression in Australian youth aged 11-17 years</w:t>
      </w:r>
      <w:r w:rsidRPr="009F03A5">
        <w:rPr>
          <w:rFonts w:ascii="Arial" w:hAnsi="Arial" w:cs="Arial"/>
          <w:sz w:val="24"/>
          <w:lang w:bidi="ar-SA"/>
        </w:rPr>
        <w:t>.</w:t>
      </w:r>
    </w:p>
    <w:p w:rsidR="00415BFD" w:rsidRDefault="00415BFD" w:rsidP="00B54903">
      <w:pPr>
        <w:rPr>
          <w:lang w:bidi="ar-SA"/>
        </w:rPr>
      </w:pPr>
    </w:p>
    <w:p w:rsidR="00415BFD" w:rsidRDefault="00415BFD" w:rsidP="00B54903"/>
    <w:p w:rsidR="00415BFD" w:rsidRDefault="00415BFD" w:rsidP="00B54903"/>
    <w:p w:rsidR="00415BFD" w:rsidRDefault="00415BFD">
      <w:pPr>
        <w:spacing w:line="240" w:lineRule="auto"/>
        <w:jc w:val="left"/>
      </w:pPr>
      <w:r>
        <w:br w:type="page"/>
      </w:r>
    </w:p>
    <w:bookmarkStart w:id="0" w:name="_Toc452066379" w:displacedByCustomXml="next"/>
    <w:sdt>
      <w:sdtPr>
        <w:rPr>
          <w:rFonts w:ascii="Times New Roman" w:eastAsia="MS PMincho" w:hAnsi="Times New Roman"/>
          <w:b w:val="0"/>
          <w:bCs w:val="0"/>
          <w:sz w:val="22"/>
          <w:szCs w:val="22"/>
          <w:lang w:bidi="en-US"/>
        </w:rPr>
        <w:id w:val="225584660"/>
        <w:docPartObj>
          <w:docPartGallery w:val="Table of Contents"/>
          <w:docPartUnique/>
        </w:docPartObj>
      </w:sdtPr>
      <w:sdtEndPr>
        <w:rPr>
          <w:rFonts w:ascii="Georgia" w:hAnsi="Georgia"/>
          <w:noProof/>
          <w:sz w:val="20"/>
        </w:rPr>
      </w:sdtEndPr>
      <w:sdtContent>
        <w:p w:rsidR="00415BFD" w:rsidRPr="007E7BB8" w:rsidRDefault="00415BFD" w:rsidP="00B54903">
          <w:pPr>
            <w:pStyle w:val="Heading1nonumber"/>
          </w:pPr>
          <w:r>
            <w:rPr>
              <w:rStyle w:val="Heading1Char"/>
            </w:rPr>
            <w:t>Table of C</w:t>
          </w:r>
          <w:r w:rsidRPr="005B118B">
            <w:rPr>
              <w:rStyle w:val="Heading1Char"/>
            </w:rPr>
            <w:t>ontents</w:t>
          </w:r>
          <w:bookmarkEnd w:id="0"/>
        </w:p>
        <w:p w:rsidR="00415BFD" w:rsidRDefault="00415BFD">
          <w:pPr>
            <w:pStyle w:val="TOC1"/>
            <w:tabs>
              <w:tab w:val="right" w:leader="dot" w:pos="9016"/>
            </w:tabs>
            <w:rPr>
              <w:rFonts w:asciiTheme="minorHAnsi" w:eastAsiaTheme="minorEastAsia" w:hAnsiTheme="minorHAnsi" w:cstheme="minorBidi"/>
              <w:noProof/>
              <w:sz w:val="22"/>
              <w:lang w:eastAsia="en-AU" w:bidi="ar-SA"/>
            </w:rPr>
          </w:pPr>
          <w:r>
            <w:fldChar w:fldCharType="begin"/>
          </w:r>
          <w:r>
            <w:instrText xml:space="preserve"> TOC \o "1-3" \h \z \u </w:instrText>
          </w:r>
          <w:r>
            <w:fldChar w:fldCharType="separate"/>
          </w:r>
          <w:hyperlink w:anchor="_Toc452066379" w:history="1">
            <w:r w:rsidRPr="00161BBD">
              <w:rPr>
                <w:rStyle w:val="Hyperlink"/>
                <w:noProof/>
              </w:rPr>
              <w:t>Table of Contents</w:t>
            </w:r>
            <w:r>
              <w:rPr>
                <w:noProof/>
                <w:webHidden/>
              </w:rPr>
              <w:tab/>
            </w:r>
            <w:r>
              <w:rPr>
                <w:noProof/>
                <w:webHidden/>
              </w:rPr>
              <w:fldChar w:fldCharType="begin"/>
            </w:r>
            <w:r>
              <w:rPr>
                <w:noProof/>
                <w:webHidden/>
              </w:rPr>
              <w:instrText xml:space="preserve"> PAGEREF _Toc452066379 \h </w:instrText>
            </w:r>
            <w:r>
              <w:rPr>
                <w:noProof/>
                <w:webHidden/>
              </w:rPr>
            </w:r>
            <w:r>
              <w:rPr>
                <w:noProof/>
                <w:webHidden/>
              </w:rPr>
              <w:fldChar w:fldCharType="separate"/>
            </w:r>
            <w:r>
              <w:rPr>
                <w:noProof/>
                <w:webHidden/>
              </w:rPr>
              <w:t>2</w:t>
            </w:r>
            <w:r>
              <w:rPr>
                <w:noProof/>
                <w:webHidden/>
              </w:rPr>
              <w:fldChar w:fldCharType="end"/>
            </w:r>
          </w:hyperlink>
        </w:p>
        <w:p w:rsidR="00415BFD" w:rsidRDefault="00415BFD">
          <w:pPr>
            <w:pStyle w:val="TOC1"/>
            <w:tabs>
              <w:tab w:val="right" w:leader="dot" w:pos="9016"/>
            </w:tabs>
            <w:rPr>
              <w:rFonts w:asciiTheme="minorHAnsi" w:eastAsiaTheme="minorEastAsia" w:hAnsiTheme="minorHAnsi" w:cstheme="minorBidi"/>
              <w:noProof/>
              <w:sz w:val="22"/>
              <w:lang w:eastAsia="en-AU" w:bidi="ar-SA"/>
            </w:rPr>
          </w:pPr>
          <w:hyperlink w:anchor="_Toc452066380" w:history="1">
            <w:r w:rsidRPr="00161BBD">
              <w:rPr>
                <w:rStyle w:val="Hyperlink"/>
                <w:noProof/>
              </w:rPr>
              <w:t>List of Figures</w:t>
            </w:r>
            <w:r>
              <w:rPr>
                <w:noProof/>
                <w:webHidden/>
              </w:rPr>
              <w:tab/>
            </w:r>
            <w:r>
              <w:rPr>
                <w:noProof/>
                <w:webHidden/>
              </w:rPr>
              <w:fldChar w:fldCharType="begin"/>
            </w:r>
            <w:r>
              <w:rPr>
                <w:noProof/>
                <w:webHidden/>
              </w:rPr>
              <w:instrText xml:space="preserve"> PAGEREF _Toc452066380 \h </w:instrText>
            </w:r>
            <w:r>
              <w:rPr>
                <w:noProof/>
                <w:webHidden/>
              </w:rPr>
            </w:r>
            <w:r>
              <w:rPr>
                <w:noProof/>
                <w:webHidden/>
              </w:rPr>
              <w:fldChar w:fldCharType="separate"/>
            </w:r>
            <w:r>
              <w:rPr>
                <w:noProof/>
                <w:webHidden/>
              </w:rPr>
              <w:t>4</w:t>
            </w:r>
            <w:r>
              <w:rPr>
                <w:noProof/>
                <w:webHidden/>
              </w:rPr>
              <w:fldChar w:fldCharType="end"/>
            </w:r>
          </w:hyperlink>
        </w:p>
        <w:p w:rsidR="00415BFD" w:rsidRDefault="00415BFD">
          <w:pPr>
            <w:pStyle w:val="TOC1"/>
            <w:tabs>
              <w:tab w:val="right" w:leader="dot" w:pos="9016"/>
            </w:tabs>
            <w:rPr>
              <w:rFonts w:asciiTheme="minorHAnsi" w:eastAsiaTheme="minorEastAsia" w:hAnsiTheme="minorHAnsi" w:cstheme="minorBidi"/>
              <w:noProof/>
              <w:sz w:val="22"/>
              <w:lang w:eastAsia="en-AU" w:bidi="ar-SA"/>
            </w:rPr>
          </w:pPr>
          <w:hyperlink w:anchor="_Toc452066381" w:history="1">
            <w:r w:rsidRPr="00161BBD">
              <w:rPr>
                <w:rStyle w:val="Hyperlink"/>
                <w:noProof/>
              </w:rPr>
              <w:t>List of Tables</w:t>
            </w:r>
            <w:r>
              <w:rPr>
                <w:noProof/>
                <w:webHidden/>
              </w:rPr>
              <w:tab/>
            </w:r>
            <w:r>
              <w:rPr>
                <w:noProof/>
                <w:webHidden/>
              </w:rPr>
              <w:fldChar w:fldCharType="begin"/>
            </w:r>
            <w:r>
              <w:rPr>
                <w:noProof/>
                <w:webHidden/>
              </w:rPr>
              <w:instrText xml:space="preserve"> PAGEREF _Toc452066381 \h </w:instrText>
            </w:r>
            <w:r>
              <w:rPr>
                <w:noProof/>
                <w:webHidden/>
              </w:rPr>
            </w:r>
            <w:r>
              <w:rPr>
                <w:noProof/>
                <w:webHidden/>
              </w:rPr>
              <w:fldChar w:fldCharType="separate"/>
            </w:r>
            <w:r>
              <w:rPr>
                <w:noProof/>
                <w:webHidden/>
              </w:rPr>
              <w:t>5</w:t>
            </w:r>
            <w:r>
              <w:rPr>
                <w:noProof/>
                <w:webHidden/>
              </w:rPr>
              <w:fldChar w:fldCharType="end"/>
            </w:r>
          </w:hyperlink>
        </w:p>
        <w:p w:rsidR="00415BFD" w:rsidRDefault="00415BFD">
          <w:pPr>
            <w:pStyle w:val="TOC1"/>
            <w:tabs>
              <w:tab w:val="left" w:pos="440"/>
              <w:tab w:val="right" w:leader="dot" w:pos="9016"/>
            </w:tabs>
            <w:rPr>
              <w:rFonts w:asciiTheme="minorHAnsi" w:eastAsiaTheme="minorEastAsia" w:hAnsiTheme="minorHAnsi" w:cstheme="minorBidi"/>
              <w:noProof/>
              <w:sz w:val="22"/>
              <w:lang w:eastAsia="en-AU" w:bidi="ar-SA"/>
            </w:rPr>
          </w:pPr>
          <w:hyperlink w:anchor="_Toc452066382" w:history="1">
            <w:r w:rsidRPr="00161BBD">
              <w:rPr>
                <w:rStyle w:val="Hyperlink"/>
                <w:noProof/>
              </w:rPr>
              <w:t>1.</w:t>
            </w:r>
            <w:r>
              <w:rPr>
                <w:rFonts w:asciiTheme="minorHAnsi" w:eastAsiaTheme="minorEastAsia" w:hAnsiTheme="minorHAnsi" w:cstheme="minorBidi"/>
                <w:noProof/>
                <w:sz w:val="22"/>
                <w:lang w:eastAsia="en-AU" w:bidi="ar-SA"/>
              </w:rPr>
              <w:tab/>
            </w:r>
            <w:r w:rsidRPr="00161BBD">
              <w:rPr>
                <w:rStyle w:val="Hyperlink"/>
                <w:noProof/>
              </w:rPr>
              <w:t>Broad overview of the decision analytic model</w:t>
            </w:r>
            <w:r>
              <w:rPr>
                <w:noProof/>
                <w:webHidden/>
              </w:rPr>
              <w:tab/>
            </w:r>
            <w:r>
              <w:rPr>
                <w:noProof/>
                <w:webHidden/>
              </w:rPr>
              <w:fldChar w:fldCharType="begin"/>
            </w:r>
            <w:r>
              <w:rPr>
                <w:noProof/>
                <w:webHidden/>
              </w:rPr>
              <w:instrText xml:space="preserve"> PAGEREF _Toc452066382 \h </w:instrText>
            </w:r>
            <w:r>
              <w:rPr>
                <w:noProof/>
                <w:webHidden/>
              </w:rPr>
            </w:r>
            <w:r>
              <w:rPr>
                <w:noProof/>
                <w:webHidden/>
              </w:rPr>
              <w:fldChar w:fldCharType="separate"/>
            </w:r>
            <w:r>
              <w:rPr>
                <w:noProof/>
                <w:webHidden/>
              </w:rPr>
              <w:t>7</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383" w:history="1">
            <w:r w:rsidRPr="00161BBD">
              <w:rPr>
                <w:rStyle w:val="Hyperlink"/>
                <w:noProof/>
              </w:rPr>
              <w:t>1.1</w:t>
            </w:r>
            <w:r>
              <w:rPr>
                <w:rFonts w:asciiTheme="minorHAnsi" w:eastAsiaTheme="minorEastAsia" w:hAnsiTheme="minorHAnsi" w:cstheme="minorBidi"/>
                <w:noProof/>
                <w:sz w:val="22"/>
                <w:lang w:eastAsia="en-AU" w:bidi="ar-SA"/>
              </w:rPr>
              <w:tab/>
            </w:r>
            <w:r w:rsidRPr="00161BBD">
              <w:rPr>
                <w:rStyle w:val="Hyperlink"/>
                <w:noProof/>
              </w:rPr>
              <w:t>Overview</w:t>
            </w:r>
            <w:r>
              <w:rPr>
                <w:noProof/>
                <w:webHidden/>
              </w:rPr>
              <w:tab/>
            </w:r>
            <w:r>
              <w:rPr>
                <w:noProof/>
                <w:webHidden/>
              </w:rPr>
              <w:fldChar w:fldCharType="begin"/>
            </w:r>
            <w:r>
              <w:rPr>
                <w:noProof/>
                <w:webHidden/>
              </w:rPr>
              <w:instrText xml:space="preserve"> PAGEREF _Toc452066383 \h </w:instrText>
            </w:r>
            <w:r>
              <w:rPr>
                <w:noProof/>
                <w:webHidden/>
              </w:rPr>
            </w:r>
            <w:r>
              <w:rPr>
                <w:noProof/>
                <w:webHidden/>
              </w:rPr>
              <w:fldChar w:fldCharType="separate"/>
            </w:r>
            <w:r>
              <w:rPr>
                <w:noProof/>
                <w:webHidden/>
              </w:rPr>
              <w:t>7</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384" w:history="1">
            <w:r w:rsidRPr="00161BBD">
              <w:rPr>
                <w:rStyle w:val="Hyperlink"/>
                <w:noProof/>
              </w:rPr>
              <w:t>1.2</w:t>
            </w:r>
            <w:r>
              <w:rPr>
                <w:rFonts w:asciiTheme="minorHAnsi" w:eastAsiaTheme="minorEastAsia" w:hAnsiTheme="minorHAnsi" w:cstheme="minorBidi"/>
                <w:noProof/>
                <w:sz w:val="22"/>
                <w:lang w:eastAsia="en-AU" w:bidi="ar-SA"/>
              </w:rPr>
              <w:tab/>
            </w:r>
            <w:r w:rsidRPr="00161BBD">
              <w:rPr>
                <w:rStyle w:val="Hyperlink"/>
                <w:noProof/>
              </w:rPr>
              <w:t>Analytic scope of the model</w:t>
            </w:r>
            <w:r>
              <w:rPr>
                <w:noProof/>
                <w:webHidden/>
              </w:rPr>
              <w:tab/>
            </w:r>
            <w:r>
              <w:rPr>
                <w:noProof/>
                <w:webHidden/>
              </w:rPr>
              <w:fldChar w:fldCharType="begin"/>
            </w:r>
            <w:r>
              <w:rPr>
                <w:noProof/>
                <w:webHidden/>
              </w:rPr>
              <w:instrText xml:space="preserve"> PAGEREF _Toc452066384 \h </w:instrText>
            </w:r>
            <w:r>
              <w:rPr>
                <w:noProof/>
                <w:webHidden/>
              </w:rPr>
            </w:r>
            <w:r>
              <w:rPr>
                <w:noProof/>
                <w:webHidden/>
              </w:rPr>
              <w:fldChar w:fldCharType="separate"/>
            </w:r>
            <w:r>
              <w:rPr>
                <w:noProof/>
                <w:webHidden/>
              </w:rPr>
              <w:t>7</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385" w:history="1">
            <w:r w:rsidRPr="00161BBD">
              <w:rPr>
                <w:rStyle w:val="Hyperlink"/>
                <w:noProof/>
              </w:rPr>
              <w:t>1.3</w:t>
            </w:r>
            <w:r>
              <w:rPr>
                <w:rFonts w:asciiTheme="minorHAnsi" w:eastAsiaTheme="minorEastAsia" w:hAnsiTheme="minorHAnsi" w:cstheme="minorBidi"/>
                <w:noProof/>
                <w:sz w:val="22"/>
                <w:lang w:eastAsia="en-AU" w:bidi="ar-SA"/>
              </w:rPr>
              <w:tab/>
            </w:r>
            <w:r w:rsidRPr="00161BBD">
              <w:rPr>
                <w:rStyle w:val="Hyperlink"/>
                <w:noProof/>
              </w:rPr>
              <w:t>Rationale for data sources chosen to model intervention pathways</w:t>
            </w:r>
            <w:r>
              <w:rPr>
                <w:noProof/>
                <w:webHidden/>
              </w:rPr>
              <w:tab/>
            </w:r>
            <w:r>
              <w:rPr>
                <w:noProof/>
                <w:webHidden/>
              </w:rPr>
              <w:fldChar w:fldCharType="begin"/>
            </w:r>
            <w:r>
              <w:rPr>
                <w:noProof/>
                <w:webHidden/>
              </w:rPr>
              <w:instrText xml:space="preserve"> PAGEREF _Toc452066385 \h </w:instrText>
            </w:r>
            <w:r>
              <w:rPr>
                <w:noProof/>
                <w:webHidden/>
              </w:rPr>
            </w:r>
            <w:r>
              <w:rPr>
                <w:noProof/>
                <w:webHidden/>
              </w:rPr>
              <w:fldChar w:fldCharType="separate"/>
            </w:r>
            <w:r>
              <w:rPr>
                <w:noProof/>
                <w:webHidden/>
              </w:rPr>
              <w:t>9</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386" w:history="1">
            <w:r w:rsidRPr="00161BBD">
              <w:rPr>
                <w:rStyle w:val="Hyperlink"/>
                <w:noProof/>
              </w:rPr>
              <w:t>1.4</w:t>
            </w:r>
            <w:r>
              <w:rPr>
                <w:rFonts w:asciiTheme="minorHAnsi" w:eastAsiaTheme="minorEastAsia" w:hAnsiTheme="minorHAnsi" w:cstheme="minorBidi"/>
                <w:noProof/>
                <w:sz w:val="22"/>
                <w:lang w:eastAsia="en-AU" w:bidi="ar-SA"/>
              </w:rPr>
              <w:tab/>
            </w:r>
            <w:r w:rsidRPr="00161BBD">
              <w:rPr>
                <w:rStyle w:val="Hyperlink"/>
                <w:noProof/>
              </w:rPr>
              <w:t>Consolidated Health Economic Evaluation Reporting Standards (CHEERS) statement</w:t>
            </w:r>
            <w:r>
              <w:rPr>
                <w:noProof/>
                <w:webHidden/>
              </w:rPr>
              <w:tab/>
            </w:r>
            <w:r>
              <w:rPr>
                <w:noProof/>
                <w:webHidden/>
              </w:rPr>
              <w:fldChar w:fldCharType="begin"/>
            </w:r>
            <w:r>
              <w:rPr>
                <w:noProof/>
                <w:webHidden/>
              </w:rPr>
              <w:instrText xml:space="preserve"> PAGEREF _Toc452066386 \h </w:instrText>
            </w:r>
            <w:r>
              <w:rPr>
                <w:noProof/>
                <w:webHidden/>
              </w:rPr>
            </w:r>
            <w:r>
              <w:rPr>
                <w:noProof/>
                <w:webHidden/>
              </w:rPr>
              <w:fldChar w:fldCharType="separate"/>
            </w:r>
            <w:r>
              <w:rPr>
                <w:noProof/>
                <w:webHidden/>
              </w:rPr>
              <w:t>23</w:t>
            </w:r>
            <w:r>
              <w:rPr>
                <w:noProof/>
                <w:webHidden/>
              </w:rPr>
              <w:fldChar w:fldCharType="end"/>
            </w:r>
          </w:hyperlink>
        </w:p>
        <w:p w:rsidR="00415BFD" w:rsidRDefault="00415BFD">
          <w:pPr>
            <w:pStyle w:val="TOC1"/>
            <w:tabs>
              <w:tab w:val="left" w:pos="440"/>
              <w:tab w:val="right" w:leader="dot" w:pos="9016"/>
            </w:tabs>
            <w:rPr>
              <w:rFonts w:asciiTheme="minorHAnsi" w:eastAsiaTheme="minorEastAsia" w:hAnsiTheme="minorHAnsi" w:cstheme="minorBidi"/>
              <w:noProof/>
              <w:sz w:val="22"/>
              <w:lang w:eastAsia="en-AU" w:bidi="ar-SA"/>
            </w:rPr>
          </w:pPr>
          <w:hyperlink w:anchor="_Toc452066387" w:history="1">
            <w:r w:rsidRPr="00161BBD">
              <w:rPr>
                <w:rStyle w:val="Hyperlink"/>
                <w:noProof/>
              </w:rPr>
              <w:t>2.</w:t>
            </w:r>
            <w:r>
              <w:rPr>
                <w:rFonts w:asciiTheme="minorHAnsi" w:eastAsiaTheme="minorEastAsia" w:hAnsiTheme="minorHAnsi" w:cstheme="minorBidi"/>
                <w:noProof/>
                <w:sz w:val="22"/>
                <w:lang w:eastAsia="en-AU" w:bidi="ar-SA"/>
              </w:rPr>
              <w:tab/>
            </w:r>
            <w:r w:rsidRPr="00161BBD">
              <w:rPr>
                <w:rStyle w:val="Hyperlink"/>
                <w:noProof/>
              </w:rPr>
              <w:t>Analysis of intervention effect sizes</w:t>
            </w:r>
            <w:r>
              <w:rPr>
                <w:noProof/>
                <w:webHidden/>
              </w:rPr>
              <w:tab/>
            </w:r>
            <w:r>
              <w:rPr>
                <w:noProof/>
                <w:webHidden/>
              </w:rPr>
              <w:fldChar w:fldCharType="begin"/>
            </w:r>
            <w:r>
              <w:rPr>
                <w:noProof/>
                <w:webHidden/>
              </w:rPr>
              <w:instrText xml:space="preserve"> PAGEREF _Toc452066387 \h </w:instrText>
            </w:r>
            <w:r>
              <w:rPr>
                <w:noProof/>
                <w:webHidden/>
              </w:rPr>
            </w:r>
            <w:r>
              <w:rPr>
                <w:noProof/>
                <w:webHidden/>
              </w:rPr>
              <w:fldChar w:fldCharType="separate"/>
            </w:r>
            <w:r>
              <w:rPr>
                <w:noProof/>
                <w:webHidden/>
              </w:rPr>
              <w:t>26</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388" w:history="1">
            <w:r w:rsidRPr="00161BBD">
              <w:rPr>
                <w:rStyle w:val="Hyperlink"/>
                <w:noProof/>
              </w:rPr>
              <w:t>2.1</w:t>
            </w:r>
            <w:r>
              <w:rPr>
                <w:rFonts w:asciiTheme="minorHAnsi" w:eastAsiaTheme="minorEastAsia" w:hAnsiTheme="minorHAnsi" w:cstheme="minorBidi"/>
                <w:noProof/>
                <w:sz w:val="22"/>
                <w:lang w:eastAsia="en-AU" w:bidi="ar-SA"/>
              </w:rPr>
              <w:tab/>
            </w:r>
            <w:r w:rsidRPr="00161BBD">
              <w:rPr>
                <w:rStyle w:val="Hyperlink"/>
                <w:noProof/>
              </w:rPr>
              <w:t>Overview</w:t>
            </w:r>
            <w:r>
              <w:rPr>
                <w:noProof/>
                <w:webHidden/>
              </w:rPr>
              <w:tab/>
            </w:r>
            <w:r>
              <w:rPr>
                <w:noProof/>
                <w:webHidden/>
              </w:rPr>
              <w:fldChar w:fldCharType="begin"/>
            </w:r>
            <w:r>
              <w:rPr>
                <w:noProof/>
                <w:webHidden/>
              </w:rPr>
              <w:instrText xml:space="preserve"> PAGEREF _Toc452066388 \h </w:instrText>
            </w:r>
            <w:r>
              <w:rPr>
                <w:noProof/>
                <w:webHidden/>
              </w:rPr>
            </w:r>
            <w:r>
              <w:rPr>
                <w:noProof/>
                <w:webHidden/>
              </w:rPr>
              <w:fldChar w:fldCharType="separate"/>
            </w:r>
            <w:r>
              <w:rPr>
                <w:noProof/>
                <w:webHidden/>
              </w:rPr>
              <w:t>26</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389" w:history="1">
            <w:r w:rsidRPr="00161BBD">
              <w:rPr>
                <w:rStyle w:val="Hyperlink"/>
                <w:noProof/>
              </w:rPr>
              <w:t>2.2</w:t>
            </w:r>
            <w:r>
              <w:rPr>
                <w:rFonts w:asciiTheme="minorHAnsi" w:eastAsiaTheme="minorEastAsia" w:hAnsiTheme="minorHAnsi" w:cstheme="minorBidi"/>
                <w:noProof/>
                <w:sz w:val="22"/>
                <w:lang w:eastAsia="en-AU" w:bidi="ar-SA"/>
              </w:rPr>
              <w:tab/>
            </w:r>
            <w:r w:rsidRPr="00161BBD">
              <w:rPr>
                <w:rStyle w:val="Hyperlink"/>
                <w:noProof/>
              </w:rPr>
              <w:t>Meta-review of RCT studies</w:t>
            </w:r>
            <w:r>
              <w:rPr>
                <w:noProof/>
                <w:webHidden/>
              </w:rPr>
              <w:tab/>
            </w:r>
            <w:r>
              <w:rPr>
                <w:noProof/>
                <w:webHidden/>
              </w:rPr>
              <w:fldChar w:fldCharType="begin"/>
            </w:r>
            <w:r>
              <w:rPr>
                <w:noProof/>
                <w:webHidden/>
              </w:rPr>
              <w:instrText xml:space="preserve"> PAGEREF _Toc452066389 \h </w:instrText>
            </w:r>
            <w:r>
              <w:rPr>
                <w:noProof/>
                <w:webHidden/>
              </w:rPr>
            </w:r>
            <w:r>
              <w:rPr>
                <w:noProof/>
                <w:webHidden/>
              </w:rPr>
              <w:fldChar w:fldCharType="separate"/>
            </w:r>
            <w:r>
              <w:rPr>
                <w:noProof/>
                <w:webHidden/>
              </w:rPr>
              <w:t>26</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390" w:history="1">
            <w:r w:rsidRPr="00161BBD">
              <w:rPr>
                <w:rStyle w:val="Hyperlink"/>
                <w:noProof/>
              </w:rPr>
              <w:t>2.3</w:t>
            </w:r>
            <w:r>
              <w:rPr>
                <w:rFonts w:asciiTheme="minorHAnsi" w:eastAsiaTheme="minorEastAsia" w:hAnsiTheme="minorHAnsi" w:cstheme="minorBidi"/>
                <w:noProof/>
                <w:sz w:val="22"/>
                <w:lang w:eastAsia="en-AU" w:bidi="ar-SA"/>
              </w:rPr>
              <w:tab/>
            </w:r>
            <w:r w:rsidRPr="00161BBD">
              <w:rPr>
                <w:rStyle w:val="Hyperlink"/>
                <w:noProof/>
              </w:rPr>
              <w:t>Intervention effect sizes for universal psychological intervention</w:t>
            </w:r>
            <w:r>
              <w:rPr>
                <w:noProof/>
                <w:webHidden/>
              </w:rPr>
              <w:tab/>
            </w:r>
            <w:r>
              <w:rPr>
                <w:noProof/>
                <w:webHidden/>
              </w:rPr>
              <w:fldChar w:fldCharType="begin"/>
            </w:r>
            <w:r>
              <w:rPr>
                <w:noProof/>
                <w:webHidden/>
              </w:rPr>
              <w:instrText xml:space="preserve"> PAGEREF _Toc452066390 \h </w:instrText>
            </w:r>
            <w:r>
              <w:rPr>
                <w:noProof/>
                <w:webHidden/>
              </w:rPr>
            </w:r>
            <w:r>
              <w:rPr>
                <w:noProof/>
                <w:webHidden/>
              </w:rPr>
              <w:fldChar w:fldCharType="separate"/>
            </w:r>
            <w:r>
              <w:rPr>
                <w:noProof/>
                <w:webHidden/>
              </w:rPr>
              <w:t>33</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391" w:history="1">
            <w:r w:rsidRPr="00161BBD">
              <w:rPr>
                <w:rStyle w:val="Hyperlink"/>
                <w:noProof/>
              </w:rPr>
              <w:t>2.4</w:t>
            </w:r>
            <w:r>
              <w:rPr>
                <w:rFonts w:asciiTheme="minorHAnsi" w:eastAsiaTheme="minorEastAsia" w:hAnsiTheme="minorHAnsi" w:cstheme="minorBidi"/>
                <w:noProof/>
                <w:sz w:val="22"/>
                <w:lang w:eastAsia="en-AU" w:bidi="ar-SA"/>
              </w:rPr>
              <w:tab/>
            </w:r>
            <w:r w:rsidRPr="00161BBD">
              <w:rPr>
                <w:rStyle w:val="Hyperlink"/>
                <w:noProof/>
              </w:rPr>
              <w:t>Intervention effect sizes for indicated psychological intervention</w:t>
            </w:r>
            <w:r>
              <w:rPr>
                <w:noProof/>
                <w:webHidden/>
              </w:rPr>
              <w:tab/>
            </w:r>
            <w:r>
              <w:rPr>
                <w:noProof/>
                <w:webHidden/>
              </w:rPr>
              <w:fldChar w:fldCharType="begin"/>
            </w:r>
            <w:r>
              <w:rPr>
                <w:noProof/>
                <w:webHidden/>
              </w:rPr>
              <w:instrText xml:space="preserve"> PAGEREF _Toc452066391 \h </w:instrText>
            </w:r>
            <w:r>
              <w:rPr>
                <w:noProof/>
                <w:webHidden/>
              </w:rPr>
            </w:r>
            <w:r>
              <w:rPr>
                <w:noProof/>
                <w:webHidden/>
              </w:rPr>
              <w:fldChar w:fldCharType="separate"/>
            </w:r>
            <w:r>
              <w:rPr>
                <w:noProof/>
                <w:webHidden/>
              </w:rPr>
              <w:t>35</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392" w:history="1">
            <w:r w:rsidRPr="00161BBD">
              <w:rPr>
                <w:rStyle w:val="Hyperlink"/>
                <w:noProof/>
              </w:rPr>
              <w:t>2.5</w:t>
            </w:r>
            <w:r>
              <w:rPr>
                <w:rFonts w:asciiTheme="minorHAnsi" w:eastAsiaTheme="minorEastAsia" w:hAnsiTheme="minorHAnsi" w:cstheme="minorBidi"/>
                <w:noProof/>
                <w:sz w:val="22"/>
                <w:lang w:eastAsia="en-AU" w:bidi="ar-SA"/>
              </w:rPr>
              <w:tab/>
            </w:r>
            <w:r w:rsidRPr="00161BBD">
              <w:rPr>
                <w:rStyle w:val="Hyperlink"/>
                <w:noProof/>
              </w:rPr>
              <w:t>Intervention effect sizes for indicated bibliotherapy intervention</w:t>
            </w:r>
            <w:r>
              <w:rPr>
                <w:noProof/>
                <w:webHidden/>
              </w:rPr>
              <w:tab/>
            </w:r>
            <w:r>
              <w:rPr>
                <w:noProof/>
                <w:webHidden/>
              </w:rPr>
              <w:fldChar w:fldCharType="begin"/>
            </w:r>
            <w:r>
              <w:rPr>
                <w:noProof/>
                <w:webHidden/>
              </w:rPr>
              <w:instrText xml:space="preserve"> PAGEREF _Toc452066392 \h </w:instrText>
            </w:r>
            <w:r>
              <w:rPr>
                <w:noProof/>
                <w:webHidden/>
              </w:rPr>
            </w:r>
            <w:r>
              <w:rPr>
                <w:noProof/>
                <w:webHidden/>
              </w:rPr>
              <w:fldChar w:fldCharType="separate"/>
            </w:r>
            <w:r>
              <w:rPr>
                <w:noProof/>
                <w:webHidden/>
              </w:rPr>
              <w:t>38</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393" w:history="1">
            <w:r w:rsidRPr="00161BBD">
              <w:rPr>
                <w:rStyle w:val="Hyperlink"/>
                <w:noProof/>
              </w:rPr>
              <w:t>2.6</w:t>
            </w:r>
            <w:r>
              <w:rPr>
                <w:rFonts w:asciiTheme="minorHAnsi" w:eastAsiaTheme="minorEastAsia" w:hAnsiTheme="minorHAnsi" w:cstheme="minorBidi"/>
                <w:noProof/>
                <w:sz w:val="22"/>
                <w:lang w:eastAsia="en-AU" w:bidi="ar-SA"/>
              </w:rPr>
              <w:tab/>
            </w:r>
            <w:r w:rsidRPr="00161BBD">
              <w:rPr>
                <w:rStyle w:val="Hyperlink"/>
                <w:noProof/>
              </w:rPr>
              <w:t>Intervention effect sizes for universal and indicated prevention interventions delivered via the internet</w:t>
            </w:r>
            <w:r>
              <w:rPr>
                <w:noProof/>
                <w:webHidden/>
              </w:rPr>
              <w:tab/>
            </w:r>
            <w:r>
              <w:rPr>
                <w:noProof/>
                <w:webHidden/>
              </w:rPr>
              <w:fldChar w:fldCharType="begin"/>
            </w:r>
            <w:r>
              <w:rPr>
                <w:noProof/>
                <w:webHidden/>
              </w:rPr>
              <w:instrText xml:space="preserve"> PAGEREF _Toc452066393 \h </w:instrText>
            </w:r>
            <w:r>
              <w:rPr>
                <w:noProof/>
                <w:webHidden/>
              </w:rPr>
            </w:r>
            <w:r>
              <w:rPr>
                <w:noProof/>
                <w:webHidden/>
              </w:rPr>
              <w:fldChar w:fldCharType="separate"/>
            </w:r>
            <w:r>
              <w:rPr>
                <w:noProof/>
                <w:webHidden/>
              </w:rPr>
              <w:t>38</w:t>
            </w:r>
            <w:r>
              <w:rPr>
                <w:noProof/>
                <w:webHidden/>
              </w:rPr>
              <w:fldChar w:fldCharType="end"/>
            </w:r>
          </w:hyperlink>
        </w:p>
        <w:p w:rsidR="00415BFD" w:rsidRDefault="00415BFD">
          <w:pPr>
            <w:pStyle w:val="TOC1"/>
            <w:tabs>
              <w:tab w:val="left" w:pos="440"/>
              <w:tab w:val="right" w:leader="dot" w:pos="9016"/>
            </w:tabs>
            <w:rPr>
              <w:rFonts w:asciiTheme="minorHAnsi" w:eastAsiaTheme="minorEastAsia" w:hAnsiTheme="minorHAnsi" w:cstheme="minorBidi"/>
              <w:noProof/>
              <w:sz w:val="22"/>
              <w:lang w:eastAsia="en-AU" w:bidi="ar-SA"/>
            </w:rPr>
          </w:pPr>
          <w:hyperlink w:anchor="_Toc452066394" w:history="1">
            <w:r w:rsidRPr="00161BBD">
              <w:rPr>
                <w:rStyle w:val="Hyperlink"/>
                <w:noProof/>
              </w:rPr>
              <w:t>3.</w:t>
            </w:r>
            <w:r>
              <w:rPr>
                <w:rFonts w:asciiTheme="minorHAnsi" w:eastAsiaTheme="minorEastAsia" w:hAnsiTheme="minorHAnsi" w:cstheme="minorBidi"/>
                <w:noProof/>
                <w:sz w:val="22"/>
                <w:lang w:eastAsia="en-AU" w:bidi="ar-SA"/>
              </w:rPr>
              <w:tab/>
            </w:r>
            <w:r w:rsidRPr="00161BBD">
              <w:rPr>
                <w:rStyle w:val="Hyperlink"/>
                <w:noProof/>
              </w:rPr>
              <w:t>Identification of the eligible population</w:t>
            </w:r>
            <w:r>
              <w:rPr>
                <w:noProof/>
                <w:webHidden/>
              </w:rPr>
              <w:tab/>
            </w:r>
            <w:r>
              <w:rPr>
                <w:noProof/>
                <w:webHidden/>
              </w:rPr>
              <w:fldChar w:fldCharType="begin"/>
            </w:r>
            <w:r>
              <w:rPr>
                <w:noProof/>
                <w:webHidden/>
              </w:rPr>
              <w:instrText xml:space="preserve"> PAGEREF _Toc452066394 \h </w:instrText>
            </w:r>
            <w:r>
              <w:rPr>
                <w:noProof/>
                <w:webHidden/>
              </w:rPr>
            </w:r>
            <w:r>
              <w:rPr>
                <w:noProof/>
                <w:webHidden/>
              </w:rPr>
              <w:fldChar w:fldCharType="separate"/>
            </w:r>
            <w:r>
              <w:rPr>
                <w:noProof/>
                <w:webHidden/>
              </w:rPr>
              <w:t>40</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395" w:history="1">
            <w:r w:rsidRPr="00161BBD">
              <w:rPr>
                <w:rStyle w:val="Hyperlink"/>
                <w:noProof/>
              </w:rPr>
              <w:t>3.1</w:t>
            </w:r>
            <w:r>
              <w:rPr>
                <w:rFonts w:asciiTheme="minorHAnsi" w:eastAsiaTheme="minorEastAsia" w:hAnsiTheme="minorHAnsi" w:cstheme="minorBidi"/>
                <w:noProof/>
                <w:sz w:val="22"/>
                <w:lang w:eastAsia="en-AU" w:bidi="ar-SA"/>
              </w:rPr>
              <w:tab/>
            </w:r>
            <w:r w:rsidRPr="00161BBD">
              <w:rPr>
                <w:rStyle w:val="Hyperlink"/>
                <w:noProof/>
              </w:rPr>
              <w:t>Overview</w:t>
            </w:r>
            <w:r>
              <w:rPr>
                <w:noProof/>
                <w:webHidden/>
              </w:rPr>
              <w:tab/>
            </w:r>
            <w:r>
              <w:rPr>
                <w:noProof/>
                <w:webHidden/>
              </w:rPr>
              <w:fldChar w:fldCharType="begin"/>
            </w:r>
            <w:r>
              <w:rPr>
                <w:noProof/>
                <w:webHidden/>
              </w:rPr>
              <w:instrText xml:space="preserve"> PAGEREF _Toc452066395 \h </w:instrText>
            </w:r>
            <w:r>
              <w:rPr>
                <w:noProof/>
                <w:webHidden/>
              </w:rPr>
            </w:r>
            <w:r>
              <w:rPr>
                <w:noProof/>
                <w:webHidden/>
              </w:rPr>
              <w:fldChar w:fldCharType="separate"/>
            </w:r>
            <w:r>
              <w:rPr>
                <w:noProof/>
                <w:webHidden/>
              </w:rPr>
              <w:t>40</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396" w:history="1">
            <w:r w:rsidRPr="00161BBD">
              <w:rPr>
                <w:rStyle w:val="Hyperlink"/>
                <w:noProof/>
              </w:rPr>
              <w:t>3.2</w:t>
            </w:r>
            <w:r>
              <w:rPr>
                <w:rFonts w:asciiTheme="minorHAnsi" w:eastAsiaTheme="minorEastAsia" w:hAnsiTheme="minorHAnsi" w:cstheme="minorBidi"/>
                <w:noProof/>
                <w:sz w:val="22"/>
                <w:lang w:eastAsia="en-AU" w:bidi="ar-SA"/>
              </w:rPr>
              <w:tab/>
            </w:r>
            <w:r w:rsidRPr="00161BBD">
              <w:rPr>
                <w:rStyle w:val="Hyperlink"/>
                <w:noProof/>
              </w:rPr>
              <w:t>Eligible population for universal prevention</w:t>
            </w:r>
            <w:r>
              <w:rPr>
                <w:noProof/>
                <w:webHidden/>
              </w:rPr>
              <w:tab/>
            </w:r>
            <w:r>
              <w:rPr>
                <w:noProof/>
                <w:webHidden/>
              </w:rPr>
              <w:fldChar w:fldCharType="begin"/>
            </w:r>
            <w:r>
              <w:rPr>
                <w:noProof/>
                <w:webHidden/>
              </w:rPr>
              <w:instrText xml:space="preserve"> PAGEREF _Toc452066396 \h </w:instrText>
            </w:r>
            <w:r>
              <w:rPr>
                <w:noProof/>
                <w:webHidden/>
              </w:rPr>
            </w:r>
            <w:r>
              <w:rPr>
                <w:noProof/>
                <w:webHidden/>
              </w:rPr>
              <w:fldChar w:fldCharType="separate"/>
            </w:r>
            <w:r>
              <w:rPr>
                <w:noProof/>
                <w:webHidden/>
              </w:rPr>
              <w:t>40</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397" w:history="1">
            <w:r w:rsidRPr="00161BBD">
              <w:rPr>
                <w:rStyle w:val="Hyperlink"/>
                <w:noProof/>
              </w:rPr>
              <w:t>3.3</w:t>
            </w:r>
            <w:r>
              <w:rPr>
                <w:rFonts w:asciiTheme="minorHAnsi" w:eastAsiaTheme="minorEastAsia" w:hAnsiTheme="minorHAnsi" w:cstheme="minorBidi"/>
                <w:noProof/>
                <w:sz w:val="22"/>
                <w:lang w:eastAsia="en-AU" w:bidi="ar-SA"/>
              </w:rPr>
              <w:tab/>
            </w:r>
            <w:r w:rsidRPr="00161BBD">
              <w:rPr>
                <w:rStyle w:val="Hyperlink"/>
                <w:noProof/>
              </w:rPr>
              <w:t>Eligible population for indicated prevention</w:t>
            </w:r>
            <w:r>
              <w:rPr>
                <w:noProof/>
                <w:webHidden/>
              </w:rPr>
              <w:tab/>
            </w:r>
            <w:r>
              <w:rPr>
                <w:noProof/>
                <w:webHidden/>
              </w:rPr>
              <w:fldChar w:fldCharType="begin"/>
            </w:r>
            <w:r>
              <w:rPr>
                <w:noProof/>
                <w:webHidden/>
              </w:rPr>
              <w:instrText xml:space="preserve"> PAGEREF _Toc452066397 \h </w:instrText>
            </w:r>
            <w:r>
              <w:rPr>
                <w:noProof/>
                <w:webHidden/>
              </w:rPr>
            </w:r>
            <w:r>
              <w:rPr>
                <w:noProof/>
                <w:webHidden/>
              </w:rPr>
              <w:fldChar w:fldCharType="separate"/>
            </w:r>
            <w:r>
              <w:rPr>
                <w:noProof/>
                <w:webHidden/>
              </w:rPr>
              <w:t>42</w:t>
            </w:r>
            <w:r>
              <w:rPr>
                <w:noProof/>
                <w:webHidden/>
              </w:rPr>
              <w:fldChar w:fldCharType="end"/>
            </w:r>
          </w:hyperlink>
        </w:p>
        <w:p w:rsidR="00415BFD" w:rsidRDefault="00415BFD">
          <w:pPr>
            <w:pStyle w:val="TOC1"/>
            <w:tabs>
              <w:tab w:val="left" w:pos="440"/>
              <w:tab w:val="right" w:leader="dot" w:pos="9016"/>
            </w:tabs>
            <w:rPr>
              <w:rFonts w:asciiTheme="minorHAnsi" w:eastAsiaTheme="minorEastAsia" w:hAnsiTheme="minorHAnsi" w:cstheme="minorBidi"/>
              <w:noProof/>
              <w:sz w:val="22"/>
              <w:lang w:eastAsia="en-AU" w:bidi="ar-SA"/>
            </w:rPr>
          </w:pPr>
          <w:hyperlink w:anchor="_Toc452066398" w:history="1">
            <w:r w:rsidRPr="00161BBD">
              <w:rPr>
                <w:rStyle w:val="Hyperlink"/>
                <w:noProof/>
              </w:rPr>
              <w:t>4.</w:t>
            </w:r>
            <w:r>
              <w:rPr>
                <w:rFonts w:asciiTheme="minorHAnsi" w:eastAsiaTheme="minorEastAsia" w:hAnsiTheme="minorHAnsi" w:cstheme="minorBidi"/>
                <w:noProof/>
                <w:sz w:val="22"/>
                <w:lang w:eastAsia="en-AU" w:bidi="ar-SA"/>
              </w:rPr>
              <w:tab/>
            </w:r>
            <w:r w:rsidRPr="00161BBD">
              <w:rPr>
                <w:rStyle w:val="Hyperlink"/>
                <w:noProof/>
              </w:rPr>
              <w:t>Modelling health benefits</w:t>
            </w:r>
            <w:r>
              <w:rPr>
                <w:noProof/>
                <w:webHidden/>
              </w:rPr>
              <w:tab/>
            </w:r>
            <w:r>
              <w:rPr>
                <w:noProof/>
                <w:webHidden/>
              </w:rPr>
              <w:fldChar w:fldCharType="begin"/>
            </w:r>
            <w:r>
              <w:rPr>
                <w:noProof/>
                <w:webHidden/>
              </w:rPr>
              <w:instrText xml:space="preserve"> PAGEREF _Toc452066398 \h </w:instrText>
            </w:r>
            <w:r>
              <w:rPr>
                <w:noProof/>
                <w:webHidden/>
              </w:rPr>
            </w:r>
            <w:r>
              <w:rPr>
                <w:noProof/>
                <w:webHidden/>
              </w:rPr>
              <w:fldChar w:fldCharType="separate"/>
            </w:r>
            <w:r>
              <w:rPr>
                <w:noProof/>
                <w:webHidden/>
              </w:rPr>
              <w:t>47</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399" w:history="1">
            <w:r w:rsidRPr="00161BBD">
              <w:rPr>
                <w:rStyle w:val="Hyperlink"/>
                <w:noProof/>
              </w:rPr>
              <w:t>4.1</w:t>
            </w:r>
            <w:r>
              <w:rPr>
                <w:rFonts w:asciiTheme="minorHAnsi" w:eastAsiaTheme="minorEastAsia" w:hAnsiTheme="minorHAnsi" w:cstheme="minorBidi"/>
                <w:noProof/>
                <w:sz w:val="22"/>
                <w:lang w:eastAsia="en-AU" w:bidi="ar-SA"/>
              </w:rPr>
              <w:tab/>
            </w:r>
            <w:r w:rsidRPr="00161BBD">
              <w:rPr>
                <w:rStyle w:val="Hyperlink"/>
                <w:noProof/>
              </w:rPr>
              <w:t>Description of the model</w:t>
            </w:r>
            <w:r>
              <w:rPr>
                <w:noProof/>
                <w:webHidden/>
              </w:rPr>
              <w:tab/>
            </w:r>
            <w:r>
              <w:rPr>
                <w:noProof/>
                <w:webHidden/>
              </w:rPr>
              <w:fldChar w:fldCharType="begin"/>
            </w:r>
            <w:r>
              <w:rPr>
                <w:noProof/>
                <w:webHidden/>
              </w:rPr>
              <w:instrText xml:space="preserve"> PAGEREF _Toc452066399 \h </w:instrText>
            </w:r>
            <w:r>
              <w:rPr>
                <w:noProof/>
                <w:webHidden/>
              </w:rPr>
            </w:r>
            <w:r>
              <w:rPr>
                <w:noProof/>
                <w:webHidden/>
              </w:rPr>
              <w:fldChar w:fldCharType="separate"/>
            </w:r>
            <w:r>
              <w:rPr>
                <w:noProof/>
                <w:webHidden/>
              </w:rPr>
              <w:t>47</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00" w:history="1">
            <w:r w:rsidRPr="00161BBD">
              <w:rPr>
                <w:rStyle w:val="Hyperlink"/>
                <w:noProof/>
              </w:rPr>
              <w:t>4.2</w:t>
            </w:r>
            <w:r>
              <w:rPr>
                <w:rFonts w:asciiTheme="minorHAnsi" w:eastAsiaTheme="minorEastAsia" w:hAnsiTheme="minorHAnsi" w:cstheme="minorBidi"/>
                <w:noProof/>
                <w:sz w:val="22"/>
                <w:lang w:eastAsia="en-AU" w:bidi="ar-SA"/>
              </w:rPr>
              <w:tab/>
            </w:r>
            <w:r w:rsidRPr="00161BBD">
              <w:rPr>
                <w:rStyle w:val="Hyperlink"/>
                <w:noProof/>
              </w:rPr>
              <w:t>Duration parameter</w:t>
            </w:r>
            <w:r>
              <w:rPr>
                <w:noProof/>
                <w:webHidden/>
              </w:rPr>
              <w:tab/>
            </w:r>
            <w:r>
              <w:rPr>
                <w:noProof/>
                <w:webHidden/>
              </w:rPr>
              <w:fldChar w:fldCharType="begin"/>
            </w:r>
            <w:r>
              <w:rPr>
                <w:noProof/>
                <w:webHidden/>
              </w:rPr>
              <w:instrText xml:space="preserve"> PAGEREF _Toc452066400 \h </w:instrText>
            </w:r>
            <w:r>
              <w:rPr>
                <w:noProof/>
                <w:webHidden/>
              </w:rPr>
            </w:r>
            <w:r>
              <w:rPr>
                <w:noProof/>
                <w:webHidden/>
              </w:rPr>
              <w:fldChar w:fldCharType="separate"/>
            </w:r>
            <w:r>
              <w:rPr>
                <w:noProof/>
                <w:webHidden/>
              </w:rPr>
              <w:t>49</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01" w:history="1">
            <w:r w:rsidRPr="00161BBD">
              <w:rPr>
                <w:rStyle w:val="Hyperlink"/>
                <w:noProof/>
              </w:rPr>
              <w:t>4.3</w:t>
            </w:r>
            <w:r>
              <w:rPr>
                <w:rFonts w:asciiTheme="minorHAnsi" w:eastAsiaTheme="minorEastAsia" w:hAnsiTheme="minorHAnsi" w:cstheme="minorBidi"/>
                <w:noProof/>
                <w:sz w:val="22"/>
                <w:lang w:eastAsia="en-AU" w:bidi="ar-SA"/>
              </w:rPr>
              <w:tab/>
            </w:r>
            <w:r w:rsidRPr="00161BBD">
              <w:rPr>
                <w:rStyle w:val="Hyperlink"/>
                <w:noProof/>
              </w:rPr>
              <w:t>Incidence parameter</w:t>
            </w:r>
            <w:r>
              <w:rPr>
                <w:noProof/>
                <w:webHidden/>
              </w:rPr>
              <w:tab/>
            </w:r>
            <w:r>
              <w:rPr>
                <w:noProof/>
                <w:webHidden/>
              </w:rPr>
              <w:fldChar w:fldCharType="begin"/>
            </w:r>
            <w:r>
              <w:rPr>
                <w:noProof/>
                <w:webHidden/>
              </w:rPr>
              <w:instrText xml:space="preserve"> PAGEREF _Toc452066401 \h </w:instrText>
            </w:r>
            <w:r>
              <w:rPr>
                <w:noProof/>
                <w:webHidden/>
              </w:rPr>
            </w:r>
            <w:r>
              <w:rPr>
                <w:noProof/>
                <w:webHidden/>
              </w:rPr>
              <w:fldChar w:fldCharType="separate"/>
            </w:r>
            <w:r>
              <w:rPr>
                <w:noProof/>
                <w:webHidden/>
              </w:rPr>
              <w:t>50</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02" w:history="1">
            <w:r w:rsidRPr="00161BBD">
              <w:rPr>
                <w:rStyle w:val="Hyperlink"/>
                <w:noProof/>
              </w:rPr>
              <w:t>4.4</w:t>
            </w:r>
            <w:r>
              <w:rPr>
                <w:rFonts w:asciiTheme="minorHAnsi" w:eastAsiaTheme="minorEastAsia" w:hAnsiTheme="minorHAnsi" w:cstheme="minorBidi"/>
                <w:noProof/>
                <w:sz w:val="22"/>
                <w:lang w:eastAsia="en-AU" w:bidi="ar-SA"/>
              </w:rPr>
              <w:tab/>
            </w:r>
            <w:r w:rsidRPr="00161BBD">
              <w:rPr>
                <w:rStyle w:val="Hyperlink"/>
                <w:noProof/>
              </w:rPr>
              <w:t>Other-cause mortality parameter</w:t>
            </w:r>
            <w:r>
              <w:rPr>
                <w:noProof/>
                <w:webHidden/>
              </w:rPr>
              <w:tab/>
            </w:r>
            <w:r>
              <w:rPr>
                <w:noProof/>
                <w:webHidden/>
              </w:rPr>
              <w:fldChar w:fldCharType="begin"/>
            </w:r>
            <w:r>
              <w:rPr>
                <w:noProof/>
                <w:webHidden/>
              </w:rPr>
              <w:instrText xml:space="preserve"> PAGEREF _Toc452066402 \h </w:instrText>
            </w:r>
            <w:r>
              <w:rPr>
                <w:noProof/>
                <w:webHidden/>
              </w:rPr>
            </w:r>
            <w:r>
              <w:rPr>
                <w:noProof/>
                <w:webHidden/>
              </w:rPr>
              <w:fldChar w:fldCharType="separate"/>
            </w:r>
            <w:r>
              <w:rPr>
                <w:noProof/>
                <w:webHidden/>
              </w:rPr>
              <w:t>53</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03" w:history="1">
            <w:r w:rsidRPr="00161BBD">
              <w:rPr>
                <w:rStyle w:val="Hyperlink"/>
                <w:noProof/>
              </w:rPr>
              <w:t>4.5</w:t>
            </w:r>
            <w:r>
              <w:rPr>
                <w:rFonts w:asciiTheme="minorHAnsi" w:eastAsiaTheme="minorEastAsia" w:hAnsiTheme="minorHAnsi" w:cstheme="minorBidi"/>
                <w:noProof/>
                <w:sz w:val="22"/>
                <w:lang w:eastAsia="en-AU" w:bidi="ar-SA"/>
              </w:rPr>
              <w:tab/>
            </w:r>
            <w:r w:rsidRPr="00161BBD">
              <w:rPr>
                <w:rStyle w:val="Hyperlink"/>
                <w:noProof/>
              </w:rPr>
              <w:t>Case fatality parameter</w:t>
            </w:r>
            <w:r>
              <w:rPr>
                <w:noProof/>
                <w:webHidden/>
              </w:rPr>
              <w:tab/>
            </w:r>
            <w:r>
              <w:rPr>
                <w:noProof/>
                <w:webHidden/>
              </w:rPr>
              <w:fldChar w:fldCharType="begin"/>
            </w:r>
            <w:r>
              <w:rPr>
                <w:noProof/>
                <w:webHidden/>
              </w:rPr>
              <w:instrText xml:space="preserve"> PAGEREF _Toc452066403 \h </w:instrText>
            </w:r>
            <w:r>
              <w:rPr>
                <w:noProof/>
                <w:webHidden/>
              </w:rPr>
            </w:r>
            <w:r>
              <w:rPr>
                <w:noProof/>
                <w:webHidden/>
              </w:rPr>
              <w:fldChar w:fldCharType="separate"/>
            </w:r>
            <w:r>
              <w:rPr>
                <w:noProof/>
                <w:webHidden/>
              </w:rPr>
              <w:t>54</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04" w:history="1">
            <w:r w:rsidRPr="00161BBD">
              <w:rPr>
                <w:rStyle w:val="Hyperlink"/>
                <w:noProof/>
              </w:rPr>
              <w:t>4.6</w:t>
            </w:r>
            <w:r>
              <w:rPr>
                <w:rFonts w:asciiTheme="minorHAnsi" w:eastAsiaTheme="minorEastAsia" w:hAnsiTheme="minorHAnsi" w:cstheme="minorBidi"/>
                <w:noProof/>
                <w:sz w:val="22"/>
                <w:lang w:eastAsia="en-AU" w:bidi="ar-SA"/>
              </w:rPr>
              <w:tab/>
            </w:r>
            <w:r w:rsidRPr="00161BBD">
              <w:rPr>
                <w:rStyle w:val="Hyperlink"/>
                <w:noProof/>
              </w:rPr>
              <w:t>Remission parameter</w:t>
            </w:r>
            <w:r>
              <w:rPr>
                <w:noProof/>
                <w:webHidden/>
              </w:rPr>
              <w:tab/>
            </w:r>
            <w:r>
              <w:rPr>
                <w:noProof/>
                <w:webHidden/>
              </w:rPr>
              <w:fldChar w:fldCharType="begin"/>
            </w:r>
            <w:r>
              <w:rPr>
                <w:noProof/>
                <w:webHidden/>
              </w:rPr>
              <w:instrText xml:space="preserve"> PAGEREF _Toc452066404 \h </w:instrText>
            </w:r>
            <w:r>
              <w:rPr>
                <w:noProof/>
                <w:webHidden/>
              </w:rPr>
            </w:r>
            <w:r>
              <w:rPr>
                <w:noProof/>
                <w:webHidden/>
              </w:rPr>
              <w:fldChar w:fldCharType="separate"/>
            </w:r>
            <w:r>
              <w:rPr>
                <w:noProof/>
                <w:webHidden/>
              </w:rPr>
              <w:t>55</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05" w:history="1">
            <w:r w:rsidRPr="00161BBD">
              <w:rPr>
                <w:rStyle w:val="Hyperlink"/>
                <w:noProof/>
              </w:rPr>
              <w:t>4.7</w:t>
            </w:r>
            <w:r>
              <w:rPr>
                <w:rFonts w:asciiTheme="minorHAnsi" w:eastAsiaTheme="minorEastAsia" w:hAnsiTheme="minorHAnsi" w:cstheme="minorBidi"/>
                <w:noProof/>
                <w:sz w:val="22"/>
                <w:lang w:eastAsia="en-AU" w:bidi="ar-SA"/>
              </w:rPr>
              <w:tab/>
            </w:r>
            <w:r w:rsidRPr="00161BBD">
              <w:rPr>
                <w:rStyle w:val="Hyperlink"/>
                <w:noProof/>
              </w:rPr>
              <w:t>Prevalence parameter</w:t>
            </w:r>
            <w:r>
              <w:rPr>
                <w:noProof/>
                <w:webHidden/>
              </w:rPr>
              <w:tab/>
            </w:r>
            <w:r>
              <w:rPr>
                <w:noProof/>
                <w:webHidden/>
              </w:rPr>
              <w:fldChar w:fldCharType="begin"/>
            </w:r>
            <w:r>
              <w:rPr>
                <w:noProof/>
                <w:webHidden/>
              </w:rPr>
              <w:instrText xml:space="preserve"> PAGEREF _Toc452066405 \h </w:instrText>
            </w:r>
            <w:r>
              <w:rPr>
                <w:noProof/>
                <w:webHidden/>
              </w:rPr>
            </w:r>
            <w:r>
              <w:rPr>
                <w:noProof/>
                <w:webHidden/>
              </w:rPr>
              <w:fldChar w:fldCharType="separate"/>
            </w:r>
            <w:r>
              <w:rPr>
                <w:noProof/>
                <w:webHidden/>
              </w:rPr>
              <w:t>55</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06" w:history="1">
            <w:r w:rsidRPr="00161BBD">
              <w:rPr>
                <w:rStyle w:val="Hyperlink"/>
                <w:noProof/>
              </w:rPr>
              <w:t>4.8</w:t>
            </w:r>
            <w:r>
              <w:rPr>
                <w:rFonts w:asciiTheme="minorHAnsi" w:eastAsiaTheme="minorEastAsia" w:hAnsiTheme="minorHAnsi" w:cstheme="minorBidi"/>
                <w:noProof/>
                <w:sz w:val="22"/>
                <w:lang w:eastAsia="en-AU" w:bidi="ar-SA"/>
              </w:rPr>
              <w:tab/>
            </w:r>
            <w:r w:rsidRPr="00161BBD">
              <w:rPr>
                <w:rStyle w:val="Hyperlink"/>
                <w:noProof/>
              </w:rPr>
              <w:t>Disability weight</w:t>
            </w:r>
            <w:r>
              <w:rPr>
                <w:noProof/>
                <w:webHidden/>
              </w:rPr>
              <w:tab/>
            </w:r>
            <w:r>
              <w:rPr>
                <w:noProof/>
                <w:webHidden/>
              </w:rPr>
              <w:fldChar w:fldCharType="begin"/>
            </w:r>
            <w:r>
              <w:rPr>
                <w:noProof/>
                <w:webHidden/>
              </w:rPr>
              <w:instrText xml:space="preserve"> PAGEREF _Toc452066406 \h </w:instrText>
            </w:r>
            <w:r>
              <w:rPr>
                <w:noProof/>
                <w:webHidden/>
              </w:rPr>
            </w:r>
            <w:r>
              <w:rPr>
                <w:noProof/>
                <w:webHidden/>
              </w:rPr>
              <w:fldChar w:fldCharType="separate"/>
            </w:r>
            <w:r>
              <w:rPr>
                <w:noProof/>
                <w:webHidden/>
              </w:rPr>
              <w:t>56</w:t>
            </w:r>
            <w:r>
              <w:rPr>
                <w:noProof/>
                <w:webHidden/>
              </w:rPr>
              <w:fldChar w:fldCharType="end"/>
            </w:r>
          </w:hyperlink>
        </w:p>
        <w:p w:rsidR="00415BFD" w:rsidRDefault="00415BFD">
          <w:pPr>
            <w:pStyle w:val="TOC1"/>
            <w:tabs>
              <w:tab w:val="left" w:pos="440"/>
              <w:tab w:val="right" w:leader="dot" w:pos="9016"/>
            </w:tabs>
            <w:rPr>
              <w:rFonts w:asciiTheme="minorHAnsi" w:eastAsiaTheme="minorEastAsia" w:hAnsiTheme="minorHAnsi" w:cstheme="minorBidi"/>
              <w:noProof/>
              <w:sz w:val="22"/>
              <w:lang w:eastAsia="en-AU" w:bidi="ar-SA"/>
            </w:rPr>
          </w:pPr>
          <w:hyperlink w:anchor="_Toc452066407" w:history="1">
            <w:r w:rsidRPr="00161BBD">
              <w:rPr>
                <w:rStyle w:val="Hyperlink"/>
                <w:noProof/>
              </w:rPr>
              <w:t>5.</w:t>
            </w:r>
            <w:r>
              <w:rPr>
                <w:rFonts w:asciiTheme="minorHAnsi" w:eastAsiaTheme="minorEastAsia" w:hAnsiTheme="minorHAnsi" w:cstheme="minorBidi"/>
                <w:noProof/>
                <w:sz w:val="22"/>
                <w:lang w:eastAsia="en-AU" w:bidi="ar-SA"/>
              </w:rPr>
              <w:tab/>
            </w:r>
            <w:r w:rsidRPr="00161BBD">
              <w:rPr>
                <w:rStyle w:val="Hyperlink"/>
                <w:noProof/>
              </w:rPr>
              <w:t>Cost analysis</w:t>
            </w:r>
            <w:r>
              <w:rPr>
                <w:noProof/>
                <w:webHidden/>
              </w:rPr>
              <w:tab/>
            </w:r>
            <w:r>
              <w:rPr>
                <w:noProof/>
                <w:webHidden/>
              </w:rPr>
              <w:fldChar w:fldCharType="begin"/>
            </w:r>
            <w:r>
              <w:rPr>
                <w:noProof/>
                <w:webHidden/>
              </w:rPr>
              <w:instrText xml:space="preserve"> PAGEREF _Toc452066407 \h </w:instrText>
            </w:r>
            <w:r>
              <w:rPr>
                <w:noProof/>
                <w:webHidden/>
              </w:rPr>
            </w:r>
            <w:r>
              <w:rPr>
                <w:noProof/>
                <w:webHidden/>
              </w:rPr>
              <w:fldChar w:fldCharType="separate"/>
            </w:r>
            <w:r>
              <w:rPr>
                <w:noProof/>
                <w:webHidden/>
              </w:rPr>
              <w:t>58</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08" w:history="1">
            <w:r w:rsidRPr="00161BBD">
              <w:rPr>
                <w:rStyle w:val="Hyperlink"/>
                <w:noProof/>
              </w:rPr>
              <w:t>5.1</w:t>
            </w:r>
            <w:r>
              <w:rPr>
                <w:rFonts w:asciiTheme="minorHAnsi" w:eastAsiaTheme="minorEastAsia" w:hAnsiTheme="minorHAnsi" w:cstheme="minorBidi"/>
                <w:noProof/>
                <w:sz w:val="22"/>
                <w:lang w:eastAsia="en-AU" w:bidi="ar-SA"/>
              </w:rPr>
              <w:tab/>
            </w:r>
            <w:r w:rsidRPr="00161BBD">
              <w:rPr>
                <w:rStyle w:val="Hyperlink"/>
                <w:noProof/>
              </w:rPr>
              <w:t>Overview</w:t>
            </w:r>
            <w:r>
              <w:rPr>
                <w:noProof/>
                <w:webHidden/>
              </w:rPr>
              <w:tab/>
            </w:r>
            <w:r>
              <w:rPr>
                <w:noProof/>
                <w:webHidden/>
              </w:rPr>
              <w:fldChar w:fldCharType="begin"/>
            </w:r>
            <w:r>
              <w:rPr>
                <w:noProof/>
                <w:webHidden/>
              </w:rPr>
              <w:instrText xml:space="preserve"> PAGEREF _Toc452066408 \h </w:instrText>
            </w:r>
            <w:r>
              <w:rPr>
                <w:noProof/>
                <w:webHidden/>
              </w:rPr>
            </w:r>
            <w:r>
              <w:rPr>
                <w:noProof/>
                <w:webHidden/>
              </w:rPr>
              <w:fldChar w:fldCharType="separate"/>
            </w:r>
            <w:r>
              <w:rPr>
                <w:noProof/>
                <w:webHidden/>
              </w:rPr>
              <w:t>58</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09" w:history="1">
            <w:r w:rsidRPr="00161BBD">
              <w:rPr>
                <w:rStyle w:val="Hyperlink"/>
                <w:noProof/>
              </w:rPr>
              <w:t>5.2</w:t>
            </w:r>
            <w:r>
              <w:rPr>
                <w:rFonts w:asciiTheme="minorHAnsi" w:eastAsiaTheme="minorEastAsia" w:hAnsiTheme="minorHAnsi" w:cstheme="minorBidi"/>
                <w:noProof/>
                <w:sz w:val="22"/>
                <w:lang w:eastAsia="en-AU" w:bidi="ar-SA"/>
              </w:rPr>
              <w:tab/>
            </w:r>
            <w:r w:rsidRPr="00161BBD">
              <w:rPr>
                <w:rStyle w:val="Hyperlink"/>
                <w:noProof/>
              </w:rPr>
              <w:t>Cost analysis of face-to-face universal psychological intervention</w:t>
            </w:r>
            <w:r>
              <w:rPr>
                <w:noProof/>
                <w:webHidden/>
              </w:rPr>
              <w:tab/>
            </w:r>
            <w:r>
              <w:rPr>
                <w:noProof/>
                <w:webHidden/>
              </w:rPr>
              <w:fldChar w:fldCharType="begin"/>
            </w:r>
            <w:r>
              <w:rPr>
                <w:noProof/>
                <w:webHidden/>
              </w:rPr>
              <w:instrText xml:space="preserve"> PAGEREF _Toc452066409 \h </w:instrText>
            </w:r>
            <w:r>
              <w:rPr>
                <w:noProof/>
                <w:webHidden/>
              </w:rPr>
            </w:r>
            <w:r>
              <w:rPr>
                <w:noProof/>
                <w:webHidden/>
              </w:rPr>
              <w:fldChar w:fldCharType="separate"/>
            </w:r>
            <w:r>
              <w:rPr>
                <w:noProof/>
                <w:webHidden/>
              </w:rPr>
              <w:t>58</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10" w:history="1">
            <w:r w:rsidRPr="00161BBD">
              <w:rPr>
                <w:rStyle w:val="Hyperlink"/>
                <w:noProof/>
              </w:rPr>
              <w:t>5.3</w:t>
            </w:r>
            <w:r>
              <w:rPr>
                <w:rFonts w:asciiTheme="minorHAnsi" w:eastAsiaTheme="minorEastAsia" w:hAnsiTheme="minorHAnsi" w:cstheme="minorBidi"/>
                <w:noProof/>
                <w:sz w:val="22"/>
                <w:lang w:eastAsia="en-AU" w:bidi="ar-SA"/>
              </w:rPr>
              <w:tab/>
            </w:r>
            <w:r w:rsidRPr="00161BBD">
              <w:rPr>
                <w:rStyle w:val="Hyperlink"/>
                <w:noProof/>
              </w:rPr>
              <w:t>Cost analysis of internet-delivered universal psychological intervention</w:t>
            </w:r>
            <w:r>
              <w:rPr>
                <w:noProof/>
                <w:webHidden/>
              </w:rPr>
              <w:tab/>
            </w:r>
            <w:r>
              <w:rPr>
                <w:noProof/>
                <w:webHidden/>
              </w:rPr>
              <w:fldChar w:fldCharType="begin"/>
            </w:r>
            <w:r>
              <w:rPr>
                <w:noProof/>
                <w:webHidden/>
              </w:rPr>
              <w:instrText xml:space="preserve"> PAGEREF _Toc452066410 \h </w:instrText>
            </w:r>
            <w:r>
              <w:rPr>
                <w:noProof/>
                <w:webHidden/>
              </w:rPr>
            </w:r>
            <w:r>
              <w:rPr>
                <w:noProof/>
                <w:webHidden/>
              </w:rPr>
              <w:fldChar w:fldCharType="separate"/>
            </w:r>
            <w:r>
              <w:rPr>
                <w:noProof/>
                <w:webHidden/>
              </w:rPr>
              <w:t>60</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11" w:history="1">
            <w:r w:rsidRPr="00161BBD">
              <w:rPr>
                <w:rStyle w:val="Hyperlink"/>
                <w:noProof/>
              </w:rPr>
              <w:t>5.4</w:t>
            </w:r>
            <w:r>
              <w:rPr>
                <w:rFonts w:asciiTheme="minorHAnsi" w:eastAsiaTheme="minorEastAsia" w:hAnsiTheme="minorHAnsi" w:cstheme="minorBidi"/>
                <w:noProof/>
                <w:sz w:val="22"/>
                <w:lang w:eastAsia="en-AU" w:bidi="ar-SA"/>
              </w:rPr>
              <w:tab/>
            </w:r>
            <w:r w:rsidRPr="00161BBD">
              <w:rPr>
                <w:rStyle w:val="Hyperlink"/>
                <w:noProof/>
              </w:rPr>
              <w:t>Cost analysis of face-to-face indicated psychological intervention</w:t>
            </w:r>
            <w:r>
              <w:rPr>
                <w:noProof/>
                <w:webHidden/>
              </w:rPr>
              <w:tab/>
            </w:r>
            <w:r>
              <w:rPr>
                <w:noProof/>
                <w:webHidden/>
              </w:rPr>
              <w:fldChar w:fldCharType="begin"/>
            </w:r>
            <w:r>
              <w:rPr>
                <w:noProof/>
                <w:webHidden/>
              </w:rPr>
              <w:instrText xml:space="preserve"> PAGEREF _Toc452066411 \h </w:instrText>
            </w:r>
            <w:r>
              <w:rPr>
                <w:noProof/>
                <w:webHidden/>
              </w:rPr>
            </w:r>
            <w:r>
              <w:rPr>
                <w:noProof/>
                <w:webHidden/>
              </w:rPr>
              <w:fldChar w:fldCharType="separate"/>
            </w:r>
            <w:r>
              <w:rPr>
                <w:noProof/>
                <w:webHidden/>
              </w:rPr>
              <w:t>61</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12" w:history="1">
            <w:r w:rsidRPr="00161BBD">
              <w:rPr>
                <w:rStyle w:val="Hyperlink"/>
                <w:noProof/>
              </w:rPr>
              <w:t>5.5</w:t>
            </w:r>
            <w:r>
              <w:rPr>
                <w:rFonts w:asciiTheme="minorHAnsi" w:eastAsiaTheme="minorEastAsia" w:hAnsiTheme="minorHAnsi" w:cstheme="minorBidi"/>
                <w:noProof/>
                <w:sz w:val="22"/>
                <w:lang w:eastAsia="en-AU" w:bidi="ar-SA"/>
              </w:rPr>
              <w:tab/>
            </w:r>
            <w:r w:rsidRPr="00161BBD">
              <w:rPr>
                <w:rStyle w:val="Hyperlink"/>
                <w:noProof/>
              </w:rPr>
              <w:t>Cost analysis of internet-delivered indicated psychological intervention</w:t>
            </w:r>
            <w:r>
              <w:rPr>
                <w:noProof/>
                <w:webHidden/>
              </w:rPr>
              <w:tab/>
            </w:r>
            <w:r>
              <w:rPr>
                <w:noProof/>
                <w:webHidden/>
              </w:rPr>
              <w:fldChar w:fldCharType="begin"/>
            </w:r>
            <w:r>
              <w:rPr>
                <w:noProof/>
                <w:webHidden/>
              </w:rPr>
              <w:instrText xml:space="preserve"> PAGEREF _Toc452066412 \h </w:instrText>
            </w:r>
            <w:r>
              <w:rPr>
                <w:noProof/>
                <w:webHidden/>
              </w:rPr>
            </w:r>
            <w:r>
              <w:rPr>
                <w:noProof/>
                <w:webHidden/>
              </w:rPr>
              <w:fldChar w:fldCharType="separate"/>
            </w:r>
            <w:r>
              <w:rPr>
                <w:noProof/>
                <w:webHidden/>
              </w:rPr>
              <w:t>64</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13" w:history="1">
            <w:r w:rsidRPr="00161BBD">
              <w:rPr>
                <w:rStyle w:val="Hyperlink"/>
                <w:noProof/>
              </w:rPr>
              <w:t>5.6</w:t>
            </w:r>
            <w:r>
              <w:rPr>
                <w:rFonts w:asciiTheme="minorHAnsi" w:eastAsiaTheme="minorEastAsia" w:hAnsiTheme="minorHAnsi" w:cstheme="minorBidi"/>
                <w:noProof/>
                <w:sz w:val="22"/>
                <w:lang w:eastAsia="en-AU" w:bidi="ar-SA"/>
              </w:rPr>
              <w:tab/>
            </w:r>
            <w:r w:rsidRPr="00161BBD">
              <w:rPr>
                <w:rStyle w:val="Hyperlink"/>
                <w:noProof/>
              </w:rPr>
              <w:t>Cost offsets</w:t>
            </w:r>
            <w:r>
              <w:rPr>
                <w:noProof/>
                <w:webHidden/>
              </w:rPr>
              <w:tab/>
            </w:r>
            <w:r>
              <w:rPr>
                <w:noProof/>
                <w:webHidden/>
              </w:rPr>
              <w:fldChar w:fldCharType="begin"/>
            </w:r>
            <w:r>
              <w:rPr>
                <w:noProof/>
                <w:webHidden/>
              </w:rPr>
              <w:instrText xml:space="preserve"> PAGEREF _Toc452066413 \h </w:instrText>
            </w:r>
            <w:r>
              <w:rPr>
                <w:noProof/>
                <w:webHidden/>
              </w:rPr>
            </w:r>
            <w:r>
              <w:rPr>
                <w:noProof/>
                <w:webHidden/>
              </w:rPr>
              <w:fldChar w:fldCharType="separate"/>
            </w:r>
            <w:r>
              <w:rPr>
                <w:noProof/>
                <w:webHidden/>
              </w:rPr>
              <w:t>65</w:t>
            </w:r>
            <w:r>
              <w:rPr>
                <w:noProof/>
                <w:webHidden/>
              </w:rPr>
              <w:fldChar w:fldCharType="end"/>
            </w:r>
          </w:hyperlink>
        </w:p>
        <w:p w:rsidR="00415BFD" w:rsidRDefault="00415BFD">
          <w:pPr>
            <w:pStyle w:val="TOC1"/>
            <w:tabs>
              <w:tab w:val="left" w:pos="440"/>
              <w:tab w:val="right" w:leader="dot" w:pos="9016"/>
            </w:tabs>
            <w:rPr>
              <w:rFonts w:asciiTheme="minorHAnsi" w:eastAsiaTheme="minorEastAsia" w:hAnsiTheme="minorHAnsi" w:cstheme="minorBidi"/>
              <w:noProof/>
              <w:sz w:val="22"/>
              <w:lang w:eastAsia="en-AU" w:bidi="ar-SA"/>
            </w:rPr>
          </w:pPr>
          <w:hyperlink w:anchor="_Toc452066414" w:history="1">
            <w:r w:rsidRPr="00161BBD">
              <w:rPr>
                <w:rStyle w:val="Hyperlink"/>
                <w:noProof/>
              </w:rPr>
              <w:t>6.</w:t>
            </w:r>
            <w:r>
              <w:rPr>
                <w:rFonts w:asciiTheme="minorHAnsi" w:eastAsiaTheme="minorEastAsia" w:hAnsiTheme="minorHAnsi" w:cstheme="minorBidi"/>
                <w:noProof/>
                <w:sz w:val="22"/>
                <w:lang w:eastAsia="en-AU" w:bidi="ar-SA"/>
              </w:rPr>
              <w:tab/>
            </w:r>
            <w:r w:rsidRPr="00161BBD">
              <w:rPr>
                <w:rStyle w:val="Hyperlink"/>
                <w:noProof/>
              </w:rPr>
              <w:t>Sensitivity analysis</w:t>
            </w:r>
            <w:r>
              <w:rPr>
                <w:noProof/>
                <w:webHidden/>
              </w:rPr>
              <w:tab/>
            </w:r>
            <w:r>
              <w:rPr>
                <w:noProof/>
                <w:webHidden/>
              </w:rPr>
              <w:fldChar w:fldCharType="begin"/>
            </w:r>
            <w:r>
              <w:rPr>
                <w:noProof/>
                <w:webHidden/>
              </w:rPr>
              <w:instrText xml:space="preserve"> PAGEREF _Toc452066414 \h </w:instrText>
            </w:r>
            <w:r>
              <w:rPr>
                <w:noProof/>
                <w:webHidden/>
              </w:rPr>
            </w:r>
            <w:r>
              <w:rPr>
                <w:noProof/>
                <w:webHidden/>
              </w:rPr>
              <w:fldChar w:fldCharType="separate"/>
            </w:r>
            <w:r>
              <w:rPr>
                <w:noProof/>
                <w:webHidden/>
              </w:rPr>
              <w:t>66</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15" w:history="1">
            <w:r w:rsidRPr="00161BBD">
              <w:rPr>
                <w:rStyle w:val="Hyperlink"/>
                <w:noProof/>
              </w:rPr>
              <w:t>6.1</w:t>
            </w:r>
            <w:r>
              <w:rPr>
                <w:rFonts w:asciiTheme="minorHAnsi" w:eastAsiaTheme="minorEastAsia" w:hAnsiTheme="minorHAnsi" w:cstheme="minorBidi"/>
                <w:noProof/>
                <w:sz w:val="22"/>
                <w:lang w:eastAsia="en-AU" w:bidi="ar-SA"/>
              </w:rPr>
              <w:tab/>
            </w:r>
            <w:r w:rsidRPr="00161BBD">
              <w:rPr>
                <w:rStyle w:val="Hyperlink"/>
                <w:noProof/>
              </w:rPr>
              <w:t>Overview</w:t>
            </w:r>
            <w:r>
              <w:rPr>
                <w:noProof/>
                <w:webHidden/>
              </w:rPr>
              <w:tab/>
            </w:r>
            <w:r>
              <w:rPr>
                <w:noProof/>
                <w:webHidden/>
              </w:rPr>
              <w:fldChar w:fldCharType="begin"/>
            </w:r>
            <w:r>
              <w:rPr>
                <w:noProof/>
                <w:webHidden/>
              </w:rPr>
              <w:instrText xml:space="preserve"> PAGEREF _Toc452066415 \h </w:instrText>
            </w:r>
            <w:r>
              <w:rPr>
                <w:noProof/>
                <w:webHidden/>
              </w:rPr>
            </w:r>
            <w:r>
              <w:rPr>
                <w:noProof/>
                <w:webHidden/>
              </w:rPr>
              <w:fldChar w:fldCharType="separate"/>
            </w:r>
            <w:r>
              <w:rPr>
                <w:noProof/>
                <w:webHidden/>
              </w:rPr>
              <w:t>66</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16" w:history="1">
            <w:r w:rsidRPr="00161BBD">
              <w:rPr>
                <w:rStyle w:val="Hyperlink"/>
                <w:noProof/>
              </w:rPr>
              <w:t>6.2</w:t>
            </w:r>
            <w:r>
              <w:rPr>
                <w:rFonts w:asciiTheme="minorHAnsi" w:eastAsiaTheme="minorEastAsia" w:hAnsiTheme="minorHAnsi" w:cstheme="minorBidi"/>
                <w:noProof/>
                <w:sz w:val="22"/>
                <w:lang w:eastAsia="en-AU" w:bidi="ar-SA"/>
              </w:rPr>
              <w:tab/>
            </w:r>
            <w:r w:rsidRPr="00161BBD">
              <w:rPr>
                <w:rStyle w:val="Hyperlink"/>
                <w:noProof/>
              </w:rPr>
              <w:t>Sensitivity analysis excluding cost offsets</w:t>
            </w:r>
            <w:r>
              <w:rPr>
                <w:noProof/>
                <w:webHidden/>
              </w:rPr>
              <w:tab/>
            </w:r>
            <w:r>
              <w:rPr>
                <w:noProof/>
                <w:webHidden/>
              </w:rPr>
              <w:fldChar w:fldCharType="begin"/>
            </w:r>
            <w:r>
              <w:rPr>
                <w:noProof/>
                <w:webHidden/>
              </w:rPr>
              <w:instrText xml:space="preserve"> PAGEREF _Toc452066416 \h </w:instrText>
            </w:r>
            <w:r>
              <w:rPr>
                <w:noProof/>
                <w:webHidden/>
              </w:rPr>
            </w:r>
            <w:r>
              <w:rPr>
                <w:noProof/>
                <w:webHidden/>
              </w:rPr>
              <w:fldChar w:fldCharType="separate"/>
            </w:r>
            <w:r>
              <w:rPr>
                <w:noProof/>
                <w:webHidden/>
              </w:rPr>
              <w:t>66</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17" w:history="1">
            <w:r w:rsidRPr="00161BBD">
              <w:rPr>
                <w:rStyle w:val="Hyperlink"/>
                <w:noProof/>
              </w:rPr>
              <w:t>6.3</w:t>
            </w:r>
            <w:r>
              <w:rPr>
                <w:rFonts w:asciiTheme="minorHAnsi" w:eastAsiaTheme="minorEastAsia" w:hAnsiTheme="minorHAnsi" w:cstheme="minorBidi"/>
                <w:noProof/>
                <w:sz w:val="22"/>
                <w:lang w:eastAsia="en-AU" w:bidi="ar-SA"/>
              </w:rPr>
              <w:tab/>
            </w:r>
            <w:r w:rsidRPr="00161BBD">
              <w:rPr>
                <w:rStyle w:val="Hyperlink"/>
                <w:noProof/>
              </w:rPr>
              <w:t>Sensitivity analysis including time and travel costs</w:t>
            </w:r>
            <w:r>
              <w:rPr>
                <w:noProof/>
                <w:webHidden/>
              </w:rPr>
              <w:tab/>
            </w:r>
            <w:r>
              <w:rPr>
                <w:noProof/>
                <w:webHidden/>
              </w:rPr>
              <w:fldChar w:fldCharType="begin"/>
            </w:r>
            <w:r>
              <w:rPr>
                <w:noProof/>
                <w:webHidden/>
              </w:rPr>
              <w:instrText xml:space="preserve"> PAGEREF _Toc452066417 \h </w:instrText>
            </w:r>
            <w:r>
              <w:rPr>
                <w:noProof/>
                <w:webHidden/>
              </w:rPr>
            </w:r>
            <w:r>
              <w:rPr>
                <w:noProof/>
                <w:webHidden/>
              </w:rPr>
              <w:fldChar w:fldCharType="separate"/>
            </w:r>
            <w:r>
              <w:rPr>
                <w:noProof/>
                <w:webHidden/>
              </w:rPr>
              <w:t>66</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18" w:history="1">
            <w:r w:rsidRPr="00161BBD">
              <w:rPr>
                <w:rStyle w:val="Hyperlink"/>
                <w:noProof/>
              </w:rPr>
              <w:t>6.4</w:t>
            </w:r>
            <w:r>
              <w:rPr>
                <w:rFonts w:asciiTheme="minorHAnsi" w:eastAsiaTheme="minorEastAsia" w:hAnsiTheme="minorHAnsi" w:cstheme="minorBidi"/>
                <w:noProof/>
                <w:sz w:val="22"/>
                <w:lang w:eastAsia="en-AU" w:bidi="ar-SA"/>
              </w:rPr>
              <w:tab/>
            </w:r>
            <w:r w:rsidRPr="00161BBD">
              <w:rPr>
                <w:rStyle w:val="Hyperlink"/>
                <w:noProof/>
              </w:rPr>
              <w:t>Sensitivity analysis assuming a school participation rate of 50%, instead of 100%</w:t>
            </w:r>
            <w:r>
              <w:rPr>
                <w:noProof/>
                <w:webHidden/>
              </w:rPr>
              <w:tab/>
            </w:r>
            <w:r>
              <w:rPr>
                <w:noProof/>
                <w:webHidden/>
              </w:rPr>
              <w:fldChar w:fldCharType="begin"/>
            </w:r>
            <w:r>
              <w:rPr>
                <w:noProof/>
                <w:webHidden/>
              </w:rPr>
              <w:instrText xml:space="preserve"> PAGEREF _Toc452066418 \h </w:instrText>
            </w:r>
            <w:r>
              <w:rPr>
                <w:noProof/>
                <w:webHidden/>
              </w:rPr>
            </w:r>
            <w:r>
              <w:rPr>
                <w:noProof/>
                <w:webHidden/>
              </w:rPr>
              <w:fldChar w:fldCharType="separate"/>
            </w:r>
            <w:r>
              <w:rPr>
                <w:noProof/>
                <w:webHidden/>
              </w:rPr>
              <w:t>67</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19" w:history="1">
            <w:r w:rsidRPr="00161BBD">
              <w:rPr>
                <w:rStyle w:val="Hyperlink"/>
                <w:noProof/>
              </w:rPr>
              <w:t>6.5</w:t>
            </w:r>
            <w:r>
              <w:rPr>
                <w:rFonts w:asciiTheme="minorHAnsi" w:eastAsiaTheme="minorEastAsia" w:hAnsiTheme="minorHAnsi" w:cstheme="minorBidi"/>
                <w:noProof/>
                <w:sz w:val="22"/>
                <w:lang w:eastAsia="en-AU" w:bidi="ar-SA"/>
              </w:rPr>
              <w:tab/>
            </w:r>
            <w:r w:rsidRPr="00161BBD">
              <w:rPr>
                <w:rStyle w:val="Hyperlink"/>
                <w:noProof/>
              </w:rPr>
              <w:t>Sensitivity analysis modelling non-significant intervention effect sizes and extrapolating an exponential decay rate over time</w:t>
            </w:r>
            <w:r>
              <w:rPr>
                <w:noProof/>
                <w:webHidden/>
              </w:rPr>
              <w:tab/>
            </w:r>
            <w:r>
              <w:rPr>
                <w:noProof/>
                <w:webHidden/>
              </w:rPr>
              <w:fldChar w:fldCharType="begin"/>
            </w:r>
            <w:r>
              <w:rPr>
                <w:noProof/>
                <w:webHidden/>
              </w:rPr>
              <w:instrText xml:space="preserve"> PAGEREF _Toc452066419 \h </w:instrText>
            </w:r>
            <w:r>
              <w:rPr>
                <w:noProof/>
                <w:webHidden/>
              </w:rPr>
            </w:r>
            <w:r>
              <w:rPr>
                <w:noProof/>
                <w:webHidden/>
              </w:rPr>
              <w:fldChar w:fldCharType="separate"/>
            </w:r>
            <w:r>
              <w:rPr>
                <w:noProof/>
                <w:webHidden/>
              </w:rPr>
              <w:t>68</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20" w:history="1">
            <w:r w:rsidRPr="00161BBD">
              <w:rPr>
                <w:rStyle w:val="Hyperlink"/>
                <w:noProof/>
              </w:rPr>
              <w:t>6.6</w:t>
            </w:r>
            <w:r>
              <w:rPr>
                <w:rFonts w:asciiTheme="minorHAnsi" w:eastAsiaTheme="minorEastAsia" w:hAnsiTheme="minorHAnsi" w:cstheme="minorBidi"/>
                <w:noProof/>
                <w:sz w:val="22"/>
                <w:lang w:eastAsia="en-AU" w:bidi="ar-SA"/>
              </w:rPr>
              <w:tab/>
            </w:r>
            <w:r w:rsidRPr="00161BBD">
              <w:rPr>
                <w:rStyle w:val="Hyperlink"/>
                <w:noProof/>
              </w:rPr>
              <w:t>Sensitivity analysis modelling effect sizes based on RCTs using structured clinical interviews</w:t>
            </w:r>
            <w:r>
              <w:rPr>
                <w:noProof/>
                <w:webHidden/>
              </w:rPr>
              <w:tab/>
            </w:r>
            <w:r>
              <w:rPr>
                <w:noProof/>
                <w:webHidden/>
              </w:rPr>
              <w:fldChar w:fldCharType="begin"/>
            </w:r>
            <w:r>
              <w:rPr>
                <w:noProof/>
                <w:webHidden/>
              </w:rPr>
              <w:instrText xml:space="preserve"> PAGEREF _Toc452066420 \h </w:instrText>
            </w:r>
            <w:r>
              <w:rPr>
                <w:noProof/>
                <w:webHidden/>
              </w:rPr>
            </w:r>
            <w:r>
              <w:rPr>
                <w:noProof/>
                <w:webHidden/>
              </w:rPr>
              <w:fldChar w:fldCharType="separate"/>
            </w:r>
            <w:r>
              <w:rPr>
                <w:noProof/>
                <w:webHidden/>
              </w:rPr>
              <w:t>69</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21" w:history="1">
            <w:r w:rsidRPr="00161BBD">
              <w:rPr>
                <w:rStyle w:val="Hyperlink"/>
                <w:noProof/>
              </w:rPr>
              <w:t>6.7</w:t>
            </w:r>
            <w:r>
              <w:rPr>
                <w:rFonts w:asciiTheme="minorHAnsi" w:eastAsiaTheme="minorEastAsia" w:hAnsiTheme="minorHAnsi" w:cstheme="minorBidi"/>
                <w:noProof/>
                <w:sz w:val="22"/>
                <w:lang w:eastAsia="en-AU" w:bidi="ar-SA"/>
              </w:rPr>
              <w:tab/>
            </w:r>
            <w:r w:rsidRPr="00161BBD">
              <w:rPr>
                <w:rStyle w:val="Hyperlink"/>
                <w:noProof/>
              </w:rPr>
              <w:t>Sensitivity analysis modelling effect sizes based on RCTs that use ITT analysis</w:t>
            </w:r>
            <w:r>
              <w:rPr>
                <w:noProof/>
                <w:webHidden/>
              </w:rPr>
              <w:tab/>
            </w:r>
            <w:r>
              <w:rPr>
                <w:noProof/>
                <w:webHidden/>
              </w:rPr>
              <w:fldChar w:fldCharType="begin"/>
            </w:r>
            <w:r>
              <w:rPr>
                <w:noProof/>
                <w:webHidden/>
              </w:rPr>
              <w:instrText xml:space="preserve"> PAGEREF _Toc452066421 \h </w:instrText>
            </w:r>
            <w:r>
              <w:rPr>
                <w:noProof/>
                <w:webHidden/>
              </w:rPr>
            </w:r>
            <w:r>
              <w:rPr>
                <w:noProof/>
                <w:webHidden/>
              </w:rPr>
              <w:fldChar w:fldCharType="separate"/>
            </w:r>
            <w:r>
              <w:rPr>
                <w:noProof/>
                <w:webHidden/>
              </w:rPr>
              <w:t>71</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22" w:history="1">
            <w:r w:rsidRPr="00161BBD">
              <w:rPr>
                <w:rStyle w:val="Hyperlink"/>
                <w:noProof/>
              </w:rPr>
              <w:t>6.8</w:t>
            </w:r>
            <w:r>
              <w:rPr>
                <w:rFonts w:asciiTheme="minorHAnsi" w:eastAsiaTheme="minorEastAsia" w:hAnsiTheme="minorHAnsi" w:cstheme="minorBidi"/>
                <w:noProof/>
                <w:sz w:val="22"/>
                <w:lang w:eastAsia="en-AU" w:bidi="ar-SA"/>
              </w:rPr>
              <w:tab/>
            </w:r>
            <w:r w:rsidRPr="00161BBD">
              <w:rPr>
                <w:rStyle w:val="Hyperlink"/>
                <w:noProof/>
              </w:rPr>
              <w:t>Sensitivity analysis using a weighted average disability weight based on an alternative severity distribution derived from DSM-IV algorithms for mild, moderate and severe depression</w:t>
            </w:r>
            <w:r>
              <w:rPr>
                <w:noProof/>
                <w:webHidden/>
              </w:rPr>
              <w:tab/>
            </w:r>
            <w:r>
              <w:rPr>
                <w:noProof/>
                <w:webHidden/>
              </w:rPr>
              <w:fldChar w:fldCharType="begin"/>
            </w:r>
            <w:r>
              <w:rPr>
                <w:noProof/>
                <w:webHidden/>
              </w:rPr>
              <w:instrText xml:space="preserve"> PAGEREF _Toc452066422 \h </w:instrText>
            </w:r>
            <w:r>
              <w:rPr>
                <w:noProof/>
                <w:webHidden/>
              </w:rPr>
            </w:r>
            <w:r>
              <w:rPr>
                <w:noProof/>
                <w:webHidden/>
              </w:rPr>
              <w:fldChar w:fldCharType="separate"/>
            </w:r>
            <w:r>
              <w:rPr>
                <w:noProof/>
                <w:webHidden/>
              </w:rPr>
              <w:t>72</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23" w:history="1">
            <w:r w:rsidRPr="00161BBD">
              <w:rPr>
                <w:rStyle w:val="Hyperlink"/>
                <w:noProof/>
              </w:rPr>
              <w:t>6.9</w:t>
            </w:r>
            <w:r>
              <w:rPr>
                <w:rFonts w:asciiTheme="minorHAnsi" w:eastAsiaTheme="minorEastAsia" w:hAnsiTheme="minorHAnsi" w:cstheme="minorBidi"/>
                <w:noProof/>
                <w:sz w:val="22"/>
                <w:lang w:eastAsia="en-AU" w:bidi="ar-SA"/>
              </w:rPr>
              <w:tab/>
            </w:r>
            <w:r w:rsidRPr="00161BBD">
              <w:rPr>
                <w:rStyle w:val="Hyperlink"/>
                <w:noProof/>
              </w:rPr>
              <w:t>Sensitivity analysis using pooled standard gamble and EQ-5D utility weights in place of pooled GBD 2013 disability weights for major depression</w:t>
            </w:r>
            <w:r>
              <w:rPr>
                <w:noProof/>
                <w:webHidden/>
              </w:rPr>
              <w:tab/>
            </w:r>
            <w:r>
              <w:rPr>
                <w:noProof/>
                <w:webHidden/>
              </w:rPr>
              <w:fldChar w:fldCharType="begin"/>
            </w:r>
            <w:r>
              <w:rPr>
                <w:noProof/>
                <w:webHidden/>
              </w:rPr>
              <w:instrText xml:space="preserve"> PAGEREF _Toc452066423 \h </w:instrText>
            </w:r>
            <w:r>
              <w:rPr>
                <w:noProof/>
                <w:webHidden/>
              </w:rPr>
            </w:r>
            <w:r>
              <w:rPr>
                <w:noProof/>
                <w:webHidden/>
              </w:rPr>
              <w:fldChar w:fldCharType="separate"/>
            </w:r>
            <w:r>
              <w:rPr>
                <w:noProof/>
                <w:webHidden/>
              </w:rPr>
              <w:t>72</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24" w:history="1">
            <w:r w:rsidRPr="00161BBD">
              <w:rPr>
                <w:rStyle w:val="Hyperlink"/>
                <w:noProof/>
              </w:rPr>
              <w:t>6.10</w:t>
            </w:r>
            <w:r>
              <w:rPr>
                <w:rFonts w:asciiTheme="minorHAnsi" w:eastAsiaTheme="minorEastAsia" w:hAnsiTheme="minorHAnsi" w:cstheme="minorBidi"/>
                <w:noProof/>
                <w:sz w:val="22"/>
                <w:lang w:eastAsia="en-AU" w:bidi="ar-SA"/>
              </w:rPr>
              <w:tab/>
            </w:r>
            <w:r w:rsidRPr="00161BBD">
              <w:rPr>
                <w:rStyle w:val="Hyperlink"/>
                <w:noProof/>
              </w:rPr>
              <w:t>Sensitivity analysis modelling internet-delivered intervention pathways</w:t>
            </w:r>
            <w:r>
              <w:rPr>
                <w:noProof/>
                <w:webHidden/>
              </w:rPr>
              <w:tab/>
            </w:r>
            <w:r>
              <w:rPr>
                <w:noProof/>
                <w:webHidden/>
              </w:rPr>
              <w:fldChar w:fldCharType="begin"/>
            </w:r>
            <w:r>
              <w:rPr>
                <w:noProof/>
                <w:webHidden/>
              </w:rPr>
              <w:instrText xml:space="preserve"> PAGEREF _Toc452066424 \h </w:instrText>
            </w:r>
            <w:r>
              <w:rPr>
                <w:noProof/>
                <w:webHidden/>
              </w:rPr>
            </w:r>
            <w:r>
              <w:rPr>
                <w:noProof/>
                <w:webHidden/>
              </w:rPr>
              <w:fldChar w:fldCharType="separate"/>
            </w:r>
            <w:r>
              <w:rPr>
                <w:noProof/>
                <w:webHidden/>
              </w:rPr>
              <w:t>73</w:t>
            </w:r>
            <w:r>
              <w:rPr>
                <w:noProof/>
                <w:webHidden/>
              </w:rPr>
              <w:fldChar w:fldCharType="end"/>
            </w:r>
          </w:hyperlink>
        </w:p>
        <w:p w:rsidR="00415BFD" w:rsidRDefault="00415BFD">
          <w:pPr>
            <w:pStyle w:val="TOC3"/>
            <w:tabs>
              <w:tab w:val="left" w:pos="1100"/>
              <w:tab w:val="right" w:leader="dot" w:pos="9016"/>
            </w:tabs>
            <w:rPr>
              <w:rFonts w:asciiTheme="minorHAnsi" w:eastAsiaTheme="minorEastAsia" w:hAnsiTheme="minorHAnsi" w:cstheme="minorBidi"/>
              <w:noProof/>
              <w:sz w:val="22"/>
              <w:lang w:eastAsia="en-AU" w:bidi="ar-SA"/>
            </w:rPr>
          </w:pPr>
          <w:hyperlink w:anchor="_Toc452066425" w:history="1">
            <w:r w:rsidRPr="00161BBD">
              <w:rPr>
                <w:rStyle w:val="Hyperlink"/>
                <w:noProof/>
              </w:rPr>
              <w:t>6.11</w:t>
            </w:r>
            <w:r>
              <w:rPr>
                <w:rFonts w:asciiTheme="minorHAnsi" w:eastAsiaTheme="minorEastAsia" w:hAnsiTheme="minorHAnsi" w:cstheme="minorBidi"/>
                <w:noProof/>
                <w:sz w:val="22"/>
                <w:lang w:eastAsia="en-AU" w:bidi="ar-SA"/>
              </w:rPr>
              <w:tab/>
            </w:r>
            <w:r w:rsidRPr="00161BBD">
              <w:rPr>
                <w:rStyle w:val="Hyperlink"/>
                <w:noProof/>
              </w:rPr>
              <w:t>Sensitivity analysis applying different discount rates to costs and benefits</w:t>
            </w:r>
            <w:r>
              <w:rPr>
                <w:noProof/>
                <w:webHidden/>
              </w:rPr>
              <w:tab/>
            </w:r>
            <w:r>
              <w:rPr>
                <w:noProof/>
                <w:webHidden/>
              </w:rPr>
              <w:fldChar w:fldCharType="begin"/>
            </w:r>
            <w:r>
              <w:rPr>
                <w:noProof/>
                <w:webHidden/>
              </w:rPr>
              <w:instrText xml:space="preserve"> PAGEREF _Toc452066425 \h </w:instrText>
            </w:r>
            <w:r>
              <w:rPr>
                <w:noProof/>
                <w:webHidden/>
              </w:rPr>
            </w:r>
            <w:r>
              <w:rPr>
                <w:noProof/>
                <w:webHidden/>
              </w:rPr>
              <w:fldChar w:fldCharType="separate"/>
            </w:r>
            <w:r>
              <w:rPr>
                <w:noProof/>
                <w:webHidden/>
              </w:rPr>
              <w:t>74</w:t>
            </w:r>
            <w:r>
              <w:rPr>
                <w:noProof/>
                <w:webHidden/>
              </w:rPr>
              <w:fldChar w:fldCharType="end"/>
            </w:r>
          </w:hyperlink>
        </w:p>
        <w:p w:rsidR="00415BFD" w:rsidRDefault="00415BFD">
          <w:pPr>
            <w:pStyle w:val="TOC1"/>
            <w:tabs>
              <w:tab w:val="left" w:pos="440"/>
              <w:tab w:val="right" w:leader="dot" w:pos="9016"/>
            </w:tabs>
            <w:rPr>
              <w:rFonts w:asciiTheme="minorHAnsi" w:eastAsiaTheme="minorEastAsia" w:hAnsiTheme="minorHAnsi" w:cstheme="minorBidi"/>
              <w:noProof/>
              <w:sz w:val="22"/>
              <w:lang w:eastAsia="en-AU" w:bidi="ar-SA"/>
            </w:rPr>
          </w:pPr>
          <w:hyperlink w:anchor="_Toc452066426" w:history="1">
            <w:r w:rsidRPr="00161BBD">
              <w:rPr>
                <w:rStyle w:val="Hyperlink"/>
                <w:noProof/>
              </w:rPr>
              <w:t>7.</w:t>
            </w:r>
            <w:r>
              <w:rPr>
                <w:rFonts w:asciiTheme="minorHAnsi" w:eastAsiaTheme="minorEastAsia" w:hAnsiTheme="minorHAnsi" w:cstheme="minorBidi"/>
                <w:noProof/>
                <w:sz w:val="22"/>
                <w:lang w:eastAsia="en-AU" w:bidi="ar-SA"/>
              </w:rPr>
              <w:tab/>
            </w:r>
            <w:r w:rsidRPr="00161BBD">
              <w:rPr>
                <w:rStyle w:val="Hyperlink"/>
                <w:noProof/>
              </w:rPr>
              <w:t>Reference List</w:t>
            </w:r>
            <w:r>
              <w:rPr>
                <w:noProof/>
                <w:webHidden/>
              </w:rPr>
              <w:tab/>
            </w:r>
            <w:r>
              <w:rPr>
                <w:noProof/>
                <w:webHidden/>
              </w:rPr>
              <w:fldChar w:fldCharType="begin"/>
            </w:r>
            <w:r>
              <w:rPr>
                <w:noProof/>
                <w:webHidden/>
              </w:rPr>
              <w:instrText xml:space="preserve"> PAGEREF _Toc452066426 \h </w:instrText>
            </w:r>
            <w:r>
              <w:rPr>
                <w:noProof/>
                <w:webHidden/>
              </w:rPr>
            </w:r>
            <w:r>
              <w:rPr>
                <w:noProof/>
                <w:webHidden/>
              </w:rPr>
              <w:fldChar w:fldCharType="separate"/>
            </w:r>
            <w:r>
              <w:rPr>
                <w:noProof/>
                <w:webHidden/>
              </w:rPr>
              <w:t>75</w:t>
            </w:r>
            <w:r>
              <w:rPr>
                <w:noProof/>
                <w:webHidden/>
              </w:rPr>
              <w:fldChar w:fldCharType="end"/>
            </w:r>
          </w:hyperlink>
        </w:p>
        <w:p w:rsidR="00415BFD" w:rsidRDefault="00415BFD" w:rsidP="00956558">
          <w:pPr>
            <w:pStyle w:val="TOC1"/>
            <w:tabs>
              <w:tab w:val="right" w:leader="dot" w:pos="9016"/>
            </w:tabs>
            <w:spacing w:after="60"/>
          </w:pPr>
          <w:r>
            <w:rPr>
              <w:b/>
              <w:bCs/>
              <w:noProof/>
            </w:rPr>
            <w:fldChar w:fldCharType="end"/>
          </w:r>
        </w:p>
      </w:sdtContent>
    </w:sdt>
    <w:p w:rsidR="00415BFD" w:rsidRDefault="00415BFD">
      <w:pPr>
        <w:spacing w:line="240" w:lineRule="auto"/>
        <w:jc w:val="left"/>
        <w:rPr>
          <w:rFonts w:ascii="Arial" w:eastAsia="MS PGothic" w:hAnsi="Arial"/>
          <w:b/>
          <w:bCs/>
          <w:sz w:val="24"/>
          <w:szCs w:val="26"/>
          <w:lang w:bidi="ar-SA"/>
        </w:rPr>
      </w:pPr>
      <w:r>
        <w:br w:type="page"/>
      </w:r>
    </w:p>
    <w:p w:rsidR="00415BFD" w:rsidRDefault="00415BFD" w:rsidP="00B54903">
      <w:pPr>
        <w:pStyle w:val="Heading1nonumber"/>
      </w:pPr>
      <w:bookmarkStart w:id="1" w:name="_Toc452066380"/>
      <w:r>
        <w:lastRenderedPageBreak/>
        <w:t>List of Figures</w:t>
      </w:r>
      <w:bookmarkEnd w:id="1"/>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r>
        <w:fldChar w:fldCharType="begin"/>
      </w:r>
      <w:r>
        <w:instrText xml:space="preserve"> TOC \f F \h \z \t "My Figure" \c </w:instrText>
      </w:r>
      <w:r>
        <w:fldChar w:fldCharType="separate"/>
      </w:r>
      <w:hyperlink w:anchor="_Toc452066427" w:history="1">
        <w:r w:rsidRPr="002C54BD">
          <w:rPr>
            <w:rStyle w:val="Hyperlink"/>
            <w:noProof/>
          </w:rPr>
          <w:t>Figure 1</w:t>
        </w:r>
        <w:r>
          <w:rPr>
            <w:rFonts w:asciiTheme="minorHAnsi" w:eastAsiaTheme="minorEastAsia" w:hAnsiTheme="minorHAnsi" w:cstheme="minorBidi"/>
            <w:noProof/>
            <w:sz w:val="22"/>
            <w:lang w:eastAsia="en-AU" w:bidi="ar-SA"/>
          </w:rPr>
          <w:tab/>
        </w:r>
        <w:r w:rsidRPr="002C54BD">
          <w:rPr>
            <w:rStyle w:val="Hyperlink"/>
            <w:noProof/>
          </w:rPr>
          <w:t>Forest plot of independent study arms used to calculate the effect size of universal psychological intervention at post-intervention</w:t>
        </w:r>
        <w:r>
          <w:rPr>
            <w:noProof/>
            <w:webHidden/>
          </w:rPr>
          <w:tab/>
        </w:r>
        <w:r>
          <w:rPr>
            <w:noProof/>
            <w:webHidden/>
          </w:rPr>
          <w:fldChar w:fldCharType="begin"/>
        </w:r>
        <w:r>
          <w:rPr>
            <w:noProof/>
            <w:webHidden/>
          </w:rPr>
          <w:instrText xml:space="preserve"> PAGEREF _Toc452066427 \h </w:instrText>
        </w:r>
        <w:r>
          <w:rPr>
            <w:noProof/>
            <w:webHidden/>
          </w:rPr>
        </w:r>
        <w:r>
          <w:rPr>
            <w:noProof/>
            <w:webHidden/>
          </w:rPr>
          <w:fldChar w:fldCharType="separate"/>
        </w:r>
        <w:r>
          <w:rPr>
            <w:noProof/>
            <w:webHidden/>
          </w:rPr>
          <w:t>33</w:t>
        </w:r>
        <w:r>
          <w:rPr>
            <w:noProof/>
            <w:webHidden/>
          </w:rPr>
          <w:fldChar w:fldCharType="end"/>
        </w:r>
      </w:hyperlink>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hyperlink w:anchor="_Toc452066428" w:history="1">
        <w:r w:rsidRPr="002C54BD">
          <w:rPr>
            <w:rStyle w:val="Hyperlink"/>
            <w:noProof/>
          </w:rPr>
          <w:t>Figure 2</w:t>
        </w:r>
        <w:r>
          <w:rPr>
            <w:rFonts w:asciiTheme="minorHAnsi" w:eastAsiaTheme="minorEastAsia" w:hAnsiTheme="minorHAnsi" w:cstheme="minorBidi"/>
            <w:noProof/>
            <w:sz w:val="22"/>
            <w:lang w:eastAsia="en-AU" w:bidi="ar-SA"/>
          </w:rPr>
          <w:tab/>
        </w:r>
        <w:r w:rsidRPr="002C54BD">
          <w:rPr>
            <w:rStyle w:val="Hyperlink"/>
            <w:noProof/>
          </w:rPr>
          <w:t>Forest plot of independent study arms used to calculate the effect size of universal psychological intervention at 6 months follow-up</w:t>
        </w:r>
        <w:r>
          <w:rPr>
            <w:noProof/>
            <w:webHidden/>
          </w:rPr>
          <w:tab/>
        </w:r>
        <w:r>
          <w:rPr>
            <w:noProof/>
            <w:webHidden/>
          </w:rPr>
          <w:fldChar w:fldCharType="begin"/>
        </w:r>
        <w:r>
          <w:rPr>
            <w:noProof/>
            <w:webHidden/>
          </w:rPr>
          <w:instrText xml:space="preserve"> PAGEREF _Toc452066428 \h </w:instrText>
        </w:r>
        <w:r>
          <w:rPr>
            <w:noProof/>
            <w:webHidden/>
          </w:rPr>
        </w:r>
        <w:r>
          <w:rPr>
            <w:noProof/>
            <w:webHidden/>
          </w:rPr>
          <w:fldChar w:fldCharType="separate"/>
        </w:r>
        <w:r>
          <w:rPr>
            <w:noProof/>
            <w:webHidden/>
          </w:rPr>
          <w:t>34</w:t>
        </w:r>
        <w:r>
          <w:rPr>
            <w:noProof/>
            <w:webHidden/>
          </w:rPr>
          <w:fldChar w:fldCharType="end"/>
        </w:r>
      </w:hyperlink>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hyperlink w:anchor="_Toc452066429" w:history="1">
        <w:r w:rsidRPr="002C54BD">
          <w:rPr>
            <w:rStyle w:val="Hyperlink"/>
            <w:noProof/>
          </w:rPr>
          <w:t>Figure 3</w:t>
        </w:r>
        <w:r>
          <w:rPr>
            <w:rFonts w:asciiTheme="minorHAnsi" w:eastAsiaTheme="minorEastAsia" w:hAnsiTheme="minorHAnsi" w:cstheme="minorBidi"/>
            <w:noProof/>
            <w:sz w:val="22"/>
            <w:lang w:eastAsia="en-AU" w:bidi="ar-SA"/>
          </w:rPr>
          <w:tab/>
        </w:r>
        <w:r w:rsidRPr="002C54BD">
          <w:rPr>
            <w:rStyle w:val="Hyperlink"/>
            <w:noProof/>
          </w:rPr>
          <w:t>Forest plot of independent study arms used to calculate the effect size of universal psychological intervention at 1 year follow-up</w:t>
        </w:r>
        <w:r>
          <w:rPr>
            <w:noProof/>
            <w:webHidden/>
          </w:rPr>
          <w:tab/>
        </w:r>
        <w:r>
          <w:rPr>
            <w:noProof/>
            <w:webHidden/>
          </w:rPr>
          <w:fldChar w:fldCharType="begin"/>
        </w:r>
        <w:r>
          <w:rPr>
            <w:noProof/>
            <w:webHidden/>
          </w:rPr>
          <w:instrText xml:space="preserve"> PAGEREF _Toc452066429 \h </w:instrText>
        </w:r>
        <w:r>
          <w:rPr>
            <w:noProof/>
            <w:webHidden/>
          </w:rPr>
        </w:r>
        <w:r>
          <w:rPr>
            <w:noProof/>
            <w:webHidden/>
          </w:rPr>
          <w:fldChar w:fldCharType="separate"/>
        </w:r>
        <w:r>
          <w:rPr>
            <w:noProof/>
            <w:webHidden/>
          </w:rPr>
          <w:t>34</w:t>
        </w:r>
        <w:r>
          <w:rPr>
            <w:noProof/>
            <w:webHidden/>
          </w:rPr>
          <w:fldChar w:fldCharType="end"/>
        </w:r>
      </w:hyperlink>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hyperlink w:anchor="_Toc452066430" w:history="1">
        <w:r w:rsidRPr="002C54BD">
          <w:rPr>
            <w:rStyle w:val="Hyperlink"/>
            <w:noProof/>
          </w:rPr>
          <w:t>Figure 4</w:t>
        </w:r>
        <w:r>
          <w:rPr>
            <w:rFonts w:asciiTheme="minorHAnsi" w:eastAsiaTheme="minorEastAsia" w:hAnsiTheme="minorHAnsi" w:cstheme="minorBidi"/>
            <w:noProof/>
            <w:sz w:val="22"/>
            <w:lang w:eastAsia="en-AU" w:bidi="ar-SA"/>
          </w:rPr>
          <w:tab/>
        </w:r>
        <w:r w:rsidRPr="002C54BD">
          <w:rPr>
            <w:rStyle w:val="Hyperlink"/>
            <w:noProof/>
          </w:rPr>
          <w:t>Forest plot of independent study arms used to calculate the effect size of universal psychological intervention at 2 years follow-up</w:t>
        </w:r>
        <w:r>
          <w:rPr>
            <w:noProof/>
            <w:webHidden/>
          </w:rPr>
          <w:tab/>
        </w:r>
        <w:r>
          <w:rPr>
            <w:noProof/>
            <w:webHidden/>
          </w:rPr>
          <w:fldChar w:fldCharType="begin"/>
        </w:r>
        <w:r>
          <w:rPr>
            <w:noProof/>
            <w:webHidden/>
          </w:rPr>
          <w:instrText xml:space="preserve"> PAGEREF _Toc452066430 \h </w:instrText>
        </w:r>
        <w:r>
          <w:rPr>
            <w:noProof/>
            <w:webHidden/>
          </w:rPr>
        </w:r>
        <w:r>
          <w:rPr>
            <w:noProof/>
            <w:webHidden/>
          </w:rPr>
          <w:fldChar w:fldCharType="separate"/>
        </w:r>
        <w:r>
          <w:rPr>
            <w:noProof/>
            <w:webHidden/>
          </w:rPr>
          <w:t>35</w:t>
        </w:r>
        <w:r>
          <w:rPr>
            <w:noProof/>
            <w:webHidden/>
          </w:rPr>
          <w:fldChar w:fldCharType="end"/>
        </w:r>
      </w:hyperlink>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hyperlink w:anchor="_Toc452066431" w:history="1">
        <w:r w:rsidRPr="002C54BD">
          <w:rPr>
            <w:rStyle w:val="Hyperlink"/>
            <w:noProof/>
          </w:rPr>
          <w:t>Figure 5</w:t>
        </w:r>
        <w:r>
          <w:rPr>
            <w:rFonts w:asciiTheme="minorHAnsi" w:eastAsiaTheme="minorEastAsia" w:hAnsiTheme="minorHAnsi" w:cstheme="minorBidi"/>
            <w:noProof/>
            <w:sz w:val="22"/>
            <w:lang w:eastAsia="en-AU" w:bidi="ar-SA"/>
          </w:rPr>
          <w:tab/>
        </w:r>
        <w:r w:rsidRPr="002C54BD">
          <w:rPr>
            <w:rStyle w:val="Hyperlink"/>
            <w:noProof/>
          </w:rPr>
          <w:t>Forest plot of independent study arms used to calculate the effect size of indicated psychological intervention at post-intervention</w:t>
        </w:r>
        <w:r>
          <w:rPr>
            <w:noProof/>
            <w:webHidden/>
          </w:rPr>
          <w:tab/>
        </w:r>
        <w:r>
          <w:rPr>
            <w:noProof/>
            <w:webHidden/>
          </w:rPr>
          <w:fldChar w:fldCharType="begin"/>
        </w:r>
        <w:r>
          <w:rPr>
            <w:noProof/>
            <w:webHidden/>
          </w:rPr>
          <w:instrText xml:space="preserve"> PAGEREF _Toc452066431 \h </w:instrText>
        </w:r>
        <w:r>
          <w:rPr>
            <w:noProof/>
            <w:webHidden/>
          </w:rPr>
        </w:r>
        <w:r>
          <w:rPr>
            <w:noProof/>
            <w:webHidden/>
          </w:rPr>
          <w:fldChar w:fldCharType="separate"/>
        </w:r>
        <w:r>
          <w:rPr>
            <w:noProof/>
            <w:webHidden/>
          </w:rPr>
          <w:t>36</w:t>
        </w:r>
        <w:r>
          <w:rPr>
            <w:noProof/>
            <w:webHidden/>
          </w:rPr>
          <w:fldChar w:fldCharType="end"/>
        </w:r>
      </w:hyperlink>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hyperlink w:anchor="_Toc452066432" w:history="1">
        <w:r w:rsidRPr="002C54BD">
          <w:rPr>
            <w:rStyle w:val="Hyperlink"/>
            <w:noProof/>
          </w:rPr>
          <w:t>Figure 6</w:t>
        </w:r>
        <w:r>
          <w:rPr>
            <w:rFonts w:asciiTheme="minorHAnsi" w:eastAsiaTheme="minorEastAsia" w:hAnsiTheme="minorHAnsi" w:cstheme="minorBidi"/>
            <w:noProof/>
            <w:sz w:val="22"/>
            <w:lang w:eastAsia="en-AU" w:bidi="ar-SA"/>
          </w:rPr>
          <w:tab/>
        </w:r>
        <w:r w:rsidRPr="002C54BD">
          <w:rPr>
            <w:rStyle w:val="Hyperlink"/>
            <w:noProof/>
          </w:rPr>
          <w:t>Forest plot of independent study arms used to calculate the effect size of indicated psychological intervention at 6-9 months follow-up</w:t>
        </w:r>
        <w:r>
          <w:rPr>
            <w:noProof/>
            <w:webHidden/>
          </w:rPr>
          <w:tab/>
        </w:r>
        <w:r>
          <w:rPr>
            <w:noProof/>
            <w:webHidden/>
          </w:rPr>
          <w:fldChar w:fldCharType="begin"/>
        </w:r>
        <w:r>
          <w:rPr>
            <w:noProof/>
            <w:webHidden/>
          </w:rPr>
          <w:instrText xml:space="preserve"> PAGEREF _Toc452066432 \h </w:instrText>
        </w:r>
        <w:r>
          <w:rPr>
            <w:noProof/>
            <w:webHidden/>
          </w:rPr>
        </w:r>
        <w:r>
          <w:rPr>
            <w:noProof/>
            <w:webHidden/>
          </w:rPr>
          <w:fldChar w:fldCharType="separate"/>
        </w:r>
        <w:r>
          <w:rPr>
            <w:noProof/>
            <w:webHidden/>
          </w:rPr>
          <w:t>36</w:t>
        </w:r>
        <w:r>
          <w:rPr>
            <w:noProof/>
            <w:webHidden/>
          </w:rPr>
          <w:fldChar w:fldCharType="end"/>
        </w:r>
      </w:hyperlink>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hyperlink w:anchor="_Toc452066433" w:history="1">
        <w:r w:rsidRPr="002C54BD">
          <w:rPr>
            <w:rStyle w:val="Hyperlink"/>
            <w:noProof/>
          </w:rPr>
          <w:t>Figure 7</w:t>
        </w:r>
        <w:r>
          <w:rPr>
            <w:rFonts w:asciiTheme="minorHAnsi" w:eastAsiaTheme="minorEastAsia" w:hAnsiTheme="minorHAnsi" w:cstheme="minorBidi"/>
            <w:noProof/>
            <w:sz w:val="22"/>
            <w:lang w:eastAsia="en-AU" w:bidi="ar-SA"/>
          </w:rPr>
          <w:tab/>
        </w:r>
        <w:r w:rsidRPr="002C54BD">
          <w:rPr>
            <w:rStyle w:val="Hyperlink"/>
            <w:noProof/>
          </w:rPr>
          <w:t>Forest plot of independent study arms used to calculate the effect size of indicated psychological intervention at 12 months follow-up</w:t>
        </w:r>
        <w:r>
          <w:rPr>
            <w:noProof/>
            <w:webHidden/>
          </w:rPr>
          <w:tab/>
        </w:r>
        <w:r>
          <w:rPr>
            <w:noProof/>
            <w:webHidden/>
          </w:rPr>
          <w:fldChar w:fldCharType="begin"/>
        </w:r>
        <w:r>
          <w:rPr>
            <w:noProof/>
            <w:webHidden/>
          </w:rPr>
          <w:instrText xml:space="preserve"> PAGEREF _Toc452066433 \h </w:instrText>
        </w:r>
        <w:r>
          <w:rPr>
            <w:noProof/>
            <w:webHidden/>
          </w:rPr>
        </w:r>
        <w:r>
          <w:rPr>
            <w:noProof/>
            <w:webHidden/>
          </w:rPr>
          <w:fldChar w:fldCharType="separate"/>
        </w:r>
        <w:r>
          <w:rPr>
            <w:noProof/>
            <w:webHidden/>
          </w:rPr>
          <w:t>37</w:t>
        </w:r>
        <w:r>
          <w:rPr>
            <w:noProof/>
            <w:webHidden/>
          </w:rPr>
          <w:fldChar w:fldCharType="end"/>
        </w:r>
      </w:hyperlink>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hyperlink w:anchor="_Toc452066434" w:history="1">
        <w:r w:rsidRPr="002C54BD">
          <w:rPr>
            <w:rStyle w:val="Hyperlink"/>
            <w:noProof/>
          </w:rPr>
          <w:t>Figure 8</w:t>
        </w:r>
        <w:r>
          <w:rPr>
            <w:rFonts w:asciiTheme="minorHAnsi" w:eastAsiaTheme="minorEastAsia" w:hAnsiTheme="minorHAnsi" w:cstheme="minorBidi"/>
            <w:noProof/>
            <w:sz w:val="22"/>
            <w:lang w:eastAsia="en-AU" w:bidi="ar-SA"/>
          </w:rPr>
          <w:tab/>
        </w:r>
        <w:r w:rsidRPr="002C54BD">
          <w:rPr>
            <w:rStyle w:val="Hyperlink"/>
            <w:noProof/>
          </w:rPr>
          <w:t>Forest plot of independent study arms used to calculate the effect size of indicated psychological intervention at 18-24 months follow-up</w:t>
        </w:r>
        <w:r>
          <w:rPr>
            <w:noProof/>
            <w:webHidden/>
          </w:rPr>
          <w:tab/>
        </w:r>
        <w:r>
          <w:rPr>
            <w:noProof/>
            <w:webHidden/>
          </w:rPr>
          <w:fldChar w:fldCharType="begin"/>
        </w:r>
        <w:r>
          <w:rPr>
            <w:noProof/>
            <w:webHidden/>
          </w:rPr>
          <w:instrText xml:space="preserve"> PAGEREF _Toc452066434 \h </w:instrText>
        </w:r>
        <w:r>
          <w:rPr>
            <w:noProof/>
            <w:webHidden/>
          </w:rPr>
        </w:r>
        <w:r>
          <w:rPr>
            <w:noProof/>
            <w:webHidden/>
          </w:rPr>
          <w:fldChar w:fldCharType="separate"/>
        </w:r>
        <w:r>
          <w:rPr>
            <w:noProof/>
            <w:webHidden/>
          </w:rPr>
          <w:t>37</w:t>
        </w:r>
        <w:r>
          <w:rPr>
            <w:noProof/>
            <w:webHidden/>
          </w:rPr>
          <w:fldChar w:fldCharType="end"/>
        </w:r>
      </w:hyperlink>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hyperlink w:anchor="_Toc452066435" w:history="1">
        <w:r w:rsidRPr="002C54BD">
          <w:rPr>
            <w:rStyle w:val="Hyperlink"/>
            <w:noProof/>
          </w:rPr>
          <w:t>Figure 9</w:t>
        </w:r>
        <w:r>
          <w:rPr>
            <w:rFonts w:asciiTheme="minorHAnsi" w:eastAsiaTheme="minorEastAsia" w:hAnsiTheme="minorHAnsi" w:cstheme="minorBidi"/>
            <w:noProof/>
            <w:sz w:val="22"/>
            <w:lang w:eastAsia="en-AU" w:bidi="ar-SA"/>
          </w:rPr>
          <w:tab/>
        </w:r>
        <w:r w:rsidRPr="002C54BD">
          <w:rPr>
            <w:rStyle w:val="Hyperlink"/>
            <w:noProof/>
          </w:rPr>
          <w:t>Forest plot of independent study arms used to calculate the effect size of indicated bibliotherapy intervention at 6-9 months follow-up</w:t>
        </w:r>
        <w:r>
          <w:rPr>
            <w:noProof/>
            <w:webHidden/>
          </w:rPr>
          <w:tab/>
        </w:r>
        <w:r>
          <w:rPr>
            <w:noProof/>
            <w:webHidden/>
          </w:rPr>
          <w:fldChar w:fldCharType="begin"/>
        </w:r>
        <w:r>
          <w:rPr>
            <w:noProof/>
            <w:webHidden/>
          </w:rPr>
          <w:instrText xml:space="preserve"> PAGEREF _Toc452066435 \h </w:instrText>
        </w:r>
        <w:r>
          <w:rPr>
            <w:noProof/>
            <w:webHidden/>
          </w:rPr>
        </w:r>
        <w:r>
          <w:rPr>
            <w:noProof/>
            <w:webHidden/>
          </w:rPr>
          <w:fldChar w:fldCharType="separate"/>
        </w:r>
        <w:r>
          <w:rPr>
            <w:noProof/>
            <w:webHidden/>
          </w:rPr>
          <w:t>38</w:t>
        </w:r>
        <w:r>
          <w:rPr>
            <w:noProof/>
            <w:webHidden/>
          </w:rPr>
          <w:fldChar w:fldCharType="end"/>
        </w:r>
      </w:hyperlink>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hyperlink w:anchor="_Toc452066436" w:history="1">
        <w:r w:rsidRPr="002C54BD">
          <w:rPr>
            <w:rStyle w:val="Hyperlink"/>
            <w:noProof/>
          </w:rPr>
          <w:t>Figure 10</w:t>
        </w:r>
        <w:r>
          <w:rPr>
            <w:rFonts w:asciiTheme="minorHAnsi" w:eastAsiaTheme="minorEastAsia" w:hAnsiTheme="minorHAnsi" w:cstheme="minorBidi"/>
            <w:noProof/>
            <w:sz w:val="22"/>
            <w:lang w:eastAsia="en-AU" w:bidi="ar-SA"/>
          </w:rPr>
          <w:tab/>
        </w:r>
        <w:r w:rsidRPr="002C54BD">
          <w:rPr>
            <w:rStyle w:val="Hyperlink"/>
            <w:noProof/>
          </w:rPr>
          <w:t>Forest plot of studies used to calculate the proportion of students who agree to participate in universal prevention</w:t>
        </w:r>
        <w:r>
          <w:rPr>
            <w:noProof/>
            <w:webHidden/>
          </w:rPr>
          <w:tab/>
        </w:r>
        <w:r>
          <w:rPr>
            <w:noProof/>
            <w:webHidden/>
          </w:rPr>
          <w:fldChar w:fldCharType="begin"/>
        </w:r>
        <w:r>
          <w:rPr>
            <w:noProof/>
            <w:webHidden/>
          </w:rPr>
          <w:instrText xml:space="preserve"> PAGEREF _Toc452066436 \h </w:instrText>
        </w:r>
        <w:r>
          <w:rPr>
            <w:noProof/>
            <w:webHidden/>
          </w:rPr>
        </w:r>
        <w:r>
          <w:rPr>
            <w:noProof/>
            <w:webHidden/>
          </w:rPr>
          <w:fldChar w:fldCharType="separate"/>
        </w:r>
        <w:r>
          <w:rPr>
            <w:noProof/>
            <w:webHidden/>
          </w:rPr>
          <w:t>41</w:t>
        </w:r>
        <w:r>
          <w:rPr>
            <w:noProof/>
            <w:webHidden/>
          </w:rPr>
          <w:fldChar w:fldCharType="end"/>
        </w:r>
      </w:hyperlink>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hyperlink w:anchor="_Toc452066437" w:history="1">
        <w:r w:rsidRPr="002C54BD">
          <w:rPr>
            <w:rStyle w:val="Hyperlink"/>
            <w:noProof/>
          </w:rPr>
          <w:t>Figure 11</w:t>
        </w:r>
        <w:r>
          <w:rPr>
            <w:rFonts w:asciiTheme="minorHAnsi" w:eastAsiaTheme="minorEastAsia" w:hAnsiTheme="minorHAnsi" w:cstheme="minorBidi"/>
            <w:noProof/>
            <w:sz w:val="22"/>
            <w:lang w:eastAsia="en-AU" w:bidi="ar-SA"/>
          </w:rPr>
          <w:tab/>
        </w:r>
        <w:r w:rsidRPr="002C54BD">
          <w:rPr>
            <w:rStyle w:val="Hyperlink"/>
            <w:noProof/>
          </w:rPr>
          <w:t>Flow chart of process used to calculate the eligible population for universal prevention</w:t>
        </w:r>
        <w:r>
          <w:rPr>
            <w:noProof/>
            <w:webHidden/>
          </w:rPr>
          <w:tab/>
        </w:r>
        <w:r>
          <w:rPr>
            <w:noProof/>
            <w:webHidden/>
          </w:rPr>
          <w:fldChar w:fldCharType="begin"/>
        </w:r>
        <w:r>
          <w:rPr>
            <w:noProof/>
            <w:webHidden/>
          </w:rPr>
          <w:instrText xml:space="preserve"> PAGEREF _Toc452066437 \h </w:instrText>
        </w:r>
        <w:r>
          <w:rPr>
            <w:noProof/>
            <w:webHidden/>
          </w:rPr>
        </w:r>
        <w:r>
          <w:rPr>
            <w:noProof/>
            <w:webHidden/>
          </w:rPr>
          <w:fldChar w:fldCharType="separate"/>
        </w:r>
        <w:r>
          <w:rPr>
            <w:noProof/>
            <w:webHidden/>
          </w:rPr>
          <w:t>41</w:t>
        </w:r>
        <w:r>
          <w:rPr>
            <w:noProof/>
            <w:webHidden/>
          </w:rPr>
          <w:fldChar w:fldCharType="end"/>
        </w:r>
      </w:hyperlink>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hyperlink w:anchor="_Toc452066438" w:history="1">
        <w:r w:rsidRPr="002C54BD">
          <w:rPr>
            <w:rStyle w:val="Hyperlink"/>
            <w:noProof/>
          </w:rPr>
          <w:t>Figure 12</w:t>
        </w:r>
        <w:r>
          <w:rPr>
            <w:rFonts w:asciiTheme="minorHAnsi" w:eastAsiaTheme="minorEastAsia" w:hAnsiTheme="minorHAnsi" w:cstheme="minorBidi"/>
            <w:noProof/>
            <w:sz w:val="22"/>
            <w:lang w:eastAsia="en-AU" w:bidi="ar-SA"/>
          </w:rPr>
          <w:tab/>
        </w:r>
        <w:r w:rsidRPr="002C54BD">
          <w:rPr>
            <w:rStyle w:val="Hyperlink"/>
            <w:noProof/>
          </w:rPr>
          <w:t>Forest plot of studies used to calculate the proportion of students who participate in a diagnostic interview following CES-D screening</w:t>
        </w:r>
        <w:r>
          <w:rPr>
            <w:noProof/>
            <w:webHidden/>
          </w:rPr>
          <w:tab/>
        </w:r>
        <w:r>
          <w:rPr>
            <w:noProof/>
            <w:webHidden/>
          </w:rPr>
          <w:fldChar w:fldCharType="begin"/>
        </w:r>
        <w:r>
          <w:rPr>
            <w:noProof/>
            <w:webHidden/>
          </w:rPr>
          <w:instrText xml:space="preserve"> PAGEREF _Toc452066438 \h </w:instrText>
        </w:r>
        <w:r>
          <w:rPr>
            <w:noProof/>
            <w:webHidden/>
          </w:rPr>
        </w:r>
        <w:r>
          <w:rPr>
            <w:noProof/>
            <w:webHidden/>
          </w:rPr>
          <w:fldChar w:fldCharType="separate"/>
        </w:r>
        <w:r>
          <w:rPr>
            <w:noProof/>
            <w:webHidden/>
          </w:rPr>
          <w:t>43</w:t>
        </w:r>
        <w:r>
          <w:rPr>
            <w:noProof/>
            <w:webHidden/>
          </w:rPr>
          <w:fldChar w:fldCharType="end"/>
        </w:r>
      </w:hyperlink>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hyperlink w:anchor="_Toc452066439" w:history="1">
        <w:r w:rsidRPr="002C54BD">
          <w:rPr>
            <w:rStyle w:val="Hyperlink"/>
            <w:noProof/>
          </w:rPr>
          <w:t>Figure 13</w:t>
        </w:r>
        <w:r>
          <w:rPr>
            <w:rFonts w:asciiTheme="minorHAnsi" w:eastAsiaTheme="minorEastAsia" w:hAnsiTheme="minorHAnsi" w:cstheme="minorBidi"/>
            <w:noProof/>
            <w:sz w:val="22"/>
            <w:lang w:eastAsia="en-AU" w:bidi="ar-SA"/>
          </w:rPr>
          <w:tab/>
        </w:r>
        <w:r w:rsidRPr="002C54BD">
          <w:rPr>
            <w:rStyle w:val="Hyperlink"/>
            <w:noProof/>
          </w:rPr>
          <w:t>Forest plot of studies used to calculate the proportion of students who agree to participate in indicated prevention following the diagnostic interview</w:t>
        </w:r>
        <w:r>
          <w:rPr>
            <w:noProof/>
            <w:webHidden/>
          </w:rPr>
          <w:tab/>
        </w:r>
        <w:r>
          <w:rPr>
            <w:noProof/>
            <w:webHidden/>
          </w:rPr>
          <w:fldChar w:fldCharType="begin"/>
        </w:r>
        <w:r>
          <w:rPr>
            <w:noProof/>
            <w:webHidden/>
          </w:rPr>
          <w:instrText xml:space="preserve"> PAGEREF _Toc452066439 \h </w:instrText>
        </w:r>
        <w:r>
          <w:rPr>
            <w:noProof/>
            <w:webHidden/>
          </w:rPr>
        </w:r>
        <w:r>
          <w:rPr>
            <w:noProof/>
            <w:webHidden/>
          </w:rPr>
          <w:fldChar w:fldCharType="separate"/>
        </w:r>
        <w:r>
          <w:rPr>
            <w:noProof/>
            <w:webHidden/>
          </w:rPr>
          <w:t>44</w:t>
        </w:r>
        <w:r>
          <w:rPr>
            <w:noProof/>
            <w:webHidden/>
          </w:rPr>
          <w:fldChar w:fldCharType="end"/>
        </w:r>
      </w:hyperlink>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hyperlink w:anchor="_Toc452066440" w:history="1">
        <w:r w:rsidRPr="002C54BD">
          <w:rPr>
            <w:rStyle w:val="Hyperlink"/>
            <w:noProof/>
          </w:rPr>
          <w:t>Figure 14</w:t>
        </w:r>
        <w:r>
          <w:rPr>
            <w:rFonts w:asciiTheme="minorHAnsi" w:eastAsiaTheme="minorEastAsia" w:hAnsiTheme="minorHAnsi" w:cstheme="minorBidi"/>
            <w:noProof/>
            <w:sz w:val="22"/>
            <w:lang w:eastAsia="en-AU" w:bidi="ar-SA"/>
          </w:rPr>
          <w:tab/>
        </w:r>
        <w:r w:rsidRPr="002C54BD">
          <w:rPr>
            <w:rStyle w:val="Hyperlink"/>
            <w:noProof/>
          </w:rPr>
          <w:t>Flow chart of process used to calculate the eligible population for indicated prevention</w:t>
        </w:r>
        <w:r>
          <w:rPr>
            <w:noProof/>
            <w:webHidden/>
          </w:rPr>
          <w:tab/>
        </w:r>
        <w:r>
          <w:rPr>
            <w:noProof/>
            <w:webHidden/>
          </w:rPr>
          <w:fldChar w:fldCharType="begin"/>
        </w:r>
        <w:r>
          <w:rPr>
            <w:noProof/>
            <w:webHidden/>
          </w:rPr>
          <w:instrText xml:space="preserve"> PAGEREF _Toc452066440 \h </w:instrText>
        </w:r>
        <w:r>
          <w:rPr>
            <w:noProof/>
            <w:webHidden/>
          </w:rPr>
        </w:r>
        <w:r>
          <w:rPr>
            <w:noProof/>
            <w:webHidden/>
          </w:rPr>
          <w:fldChar w:fldCharType="separate"/>
        </w:r>
        <w:r>
          <w:rPr>
            <w:noProof/>
            <w:webHidden/>
          </w:rPr>
          <w:t>45</w:t>
        </w:r>
        <w:r>
          <w:rPr>
            <w:noProof/>
            <w:webHidden/>
          </w:rPr>
          <w:fldChar w:fldCharType="end"/>
        </w:r>
      </w:hyperlink>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hyperlink w:anchor="_Toc452066441" w:history="1">
        <w:r w:rsidRPr="002C54BD">
          <w:rPr>
            <w:rStyle w:val="Hyperlink"/>
            <w:noProof/>
          </w:rPr>
          <w:t>Figure 15</w:t>
        </w:r>
        <w:r>
          <w:rPr>
            <w:rFonts w:asciiTheme="minorHAnsi" w:eastAsiaTheme="minorEastAsia" w:hAnsiTheme="minorHAnsi" w:cstheme="minorBidi"/>
            <w:noProof/>
            <w:sz w:val="22"/>
            <w:lang w:eastAsia="en-AU" w:bidi="ar-SA"/>
          </w:rPr>
          <w:tab/>
        </w:r>
        <w:r w:rsidRPr="002C54BD">
          <w:rPr>
            <w:rStyle w:val="Hyperlink"/>
            <w:noProof/>
          </w:rPr>
          <w:t>State transition diagram outlining the epidemiological transitions between three health states for universal prevention</w:t>
        </w:r>
        <w:r>
          <w:rPr>
            <w:noProof/>
            <w:webHidden/>
          </w:rPr>
          <w:tab/>
        </w:r>
        <w:r>
          <w:rPr>
            <w:noProof/>
            <w:webHidden/>
          </w:rPr>
          <w:fldChar w:fldCharType="begin"/>
        </w:r>
        <w:r>
          <w:rPr>
            <w:noProof/>
            <w:webHidden/>
          </w:rPr>
          <w:instrText xml:space="preserve"> PAGEREF _Toc452066441 \h </w:instrText>
        </w:r>
        <w:r>
          <w:rPr>
            <w:noProof/>
            <w:webHidden/>
          </w:rPr>
        </w:r>
        <w:r>
          <w:rPr>
            <w:noProof/>
            <w:webHidden/>
          </w:rPr>
          <w:fldChar w:fldCharType="separate"/>
        </w:r>
        <w:r>
          <w:rPr>
            <w:noProof/>
            <w:webHidden/>
          </w:rPr>
          <w:t>47</w:t>
        </w:r>
        <w:r>
          <w:rPr>
            <w:noProof/>
            <w:webHidden/>
          </w:rPr>
          <w:fldChar w:fldCharType="end"/>
        </w:r>
      </w:hyperlink>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hyperlink w:anchor="_Toc452066442" w:history="1">
        <w:r w:rsidRPr="002C54BD">
          <w:rPr>
            <w:rStyle w:val="Hyperlink"/>
            <w:noProof/>
          </w:rPr>
          <w:t>Figure 16</w:t>
        </w:r>
        <w:r>
          <w:rPr>
            <w:rFonts w:asciiTheme="minorHAnsi" w:eastAsiaTheme="minorEastAsia" w:hAnsiTheme="minorHAnsi" w:cstheme="minorBidi"/>
            <w:noProof/>
            <w:sz w:val="22"/>
            <w:lang w:eastAsia="en-AU" w:bidi="ar-SA"/>
          </w:rPr>
          <w:tab/>
        </w:r>
        <w:r w:rsidRPr="002C54BD">
          <w:rPr>
            <w:rStyle w:val="Hyperlink"/>
            <w:noProof/>
          </w:rPr>
          <w:t>State transition diagram outlining the epidemiological transitions between three health states for indicated prevention</w:t>
        </w:r>
        <w:r>
          <w:rPr>
            <w:noProof/>
            <w:webHidden/>
          </w:rPr>
          <w:tab/>
        </w:r>
        <w:r>
          <w:rPr>
            <w:noProof/>
            <w:webHidden/>
          </w:rPr>
          <w:fldChar w:fldCharType="begin"/>
        </w:r>
        <w:r>
          <w:rPr>
            <w:noProof/>
            <w:webHidden/>
          </w:rPr>
          <w:instrText xml:space="preserve"> PAGEREF _Toc452066442 \h </w:instrText>
        </w:r>
        <w:r>
          <w:rPr>
            <w:noProof/>
            <w:webHidden/>
          </w:rPr>
        </w:r>
        <w:r>
          <w:rPr>
            <w:noProof/>
            <w:webHidden/>
          </w:rPr>
          <w:fldChar w:fldCharType="separate"/>
        </w:r>
        <w:r>
          <w:rPr>
            <w:noProof/>
            <w:webHidden/>
          </w:rPr>
          <w:t>48</w:t>
        </w:r>
        <w:r>
          <w:rPr>
            <w:noProof/>
            <w:webHidden/>
          </w:rPr>
          <w:fldChar w:fldCharType="end"/>
        </w:r>
      </w:hyperlink>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hyperlink w:anchor="_Toc452066443" w:history="1">
        <w:r w:rsidRPr="002C54BD">
          <w:rPr>
            <w:rStyle w:val="Hyperlink"/>
            <w:noProof/>
          </w:rPr>
          <w:t>Figure 17</w:t>
        </w:r>
        <w:r>
          <w:rPr>
            <w:rFonts w:asciiTheme="minorHAnsi" w:eastAsiaTheme="minorEastAsia" w:hAnsiTheme="minorHAnsi" w:cstheme="minorBidi"/>
            <w:noProof/>
            <w:sz w:val="22"/>
            <w:lang w:eastAsia="en-AU" w:bidi="ar-SA"/>
          </w:rPr>
          <w:tab/>
        </w:r>
        <w:r w:rsidRPr="002C54BD">
          <w:rPr>
            <w:rStyle w:val="Hyperlink"/>
            <w:noProof/>
          </w:rPr>
          <w:t>Forest plot showing the increased risk of later onset major depression in subthreshold depressive cases relative to the non-depressed population</w:t>
        </w:r>
        <w:r>
          <w:rPr>
            <w:noProof/>
            <w:webHidden/>
          </w:rPr>
          <w:tab/>
        </w:r>
        <w:r>
          <w:rPr>
            <w:noProof/>
            <w:webHidden/>
          </w:rPr>
          <w:fldChar w:fldCharType="begin"/>
        </w:r>
        <w:r>
          <w:rPr>
            <w:noProof/>
            <w:webHidden/>
          </w:rPr>
          <w:instrText xml:space="preserve"> PAGEREF _Toc452066443 \h </w:instrText>
        </w:r>
        <w:r>
          <w:rPr>
            <w:noProof/>
            <w:webHidden/>
          </w:rPr>
        </w:r>
        <w:r>
          <w:rPr>
            <w:noProof/>
            <w:webHidden/>
          </w:rPr>
          <w:fldChar w:fldCharType="separate"/>
        </w:r>
        <w:r>
          <w:rPr>
            <w:noProof/>
            <w:webHidden/>
          </w:rPr>
          <w:t>51</w:t>
        </w:r>
        <w:r>
          <w:rPr>
            <w:noProof/>
            <w:webHidden/>
          </w:rPr>
          <w:fldChar w:fldCharType="end"/>
        </w:r>
      </w:hyperlink>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hyperlink w:anchor="_Toc452066444" w:history="1">
        <w:r w:rsidRPr="002C54BD">
          <w:rPr>
            <w:rStyle w:val="Hyperlink"/>
            <w:noProof/>
          </w:rPr>
          <w:t>Figure 18</w:t>
        </w:r>
        <w:r>
          <w:rPr>
            <w:rFonts w:asciiTheme="minorHAnsi" w:eastAsiaTheme="minorEastAsia" w:hAnsiTheme="minorHAnsi" w:cstheme="minorBidi"/>
            <w:noProof/>
            <w:sz w:val="22"/>
            <w:lang w:eastAsia="en-AU" w:bidi="ar-SA"/>
          </w:rPr>
          <w:tab/>
        </w:r>
        <w:r w:rsidRPr="002C54BD">
          <w:rPr>
            <w:rStyle w:val="Hyperlink"/>
            <w:noProof/>
          </w:rPr>
          <w:t>Plot of extrapolated effect sizes for indicated psychological intervention</w:t>
        </w:r>
        <w:r>
          <w:rPr>
            <w:noProof/>
            <w:webHidden/>
          </w:rPr>
          <w:tab/>
        </w:r>
        <w:r>
          <w:rPr>
            <w:noProof/>
            <w:webHidden/>
          </w:rPr>
          <w:fldChar w:fldCharType="begin"/>
        </w:r>
        <w:r>
          <w:rPr>
            <w:noProof/>
            <w:webHidden/>
          </w:rPr>
          <w:instrText xml:space="preserve"> PAGEREF _Toc452066444 \h </w:instrText>
        </w:r>
        <w:r>
          <w:rPr>
            <w:noProof/>
            <w:webHidden/>
          </w:rPr>
        </w:r>
        <w:r>
          <w:rPr>
            <w:noProof/>
            <w:webHidden/>
          </w:rPr>
          <w:fldChar w:fldCharType="separate"/>
        </w:r>
        <w:r>
          <w:rPr>
            <w:noProof/>
            <w:webHidden/>
          </w:rPr>
          <w:t>68</w:t>
        </w:r>
        <w:r>
          <w:rPr>
            <w:noProof/>
            <w:webHidden/>
          </w:rPr>
          <w:fldChar w:fldCharType="end"/>
        </w:r>
      </w:hyperlink>
    </w:p>
    <w:p w:rsidR="00415BFD" w:rsidRDefault="00415BFD" w:rsidP="007673D5">
      <w:pPr>
        <w:pStyle w:val="TableofFigures"/>
        <w:tabs>
          <w:tab w:val="left" w:pos="1134"/>
          <w:tab w:val="right" w:leader="dot" w:pos="9016"/>
        </w:tabs>
        <w:ind w:left="993" w:hanging="993"/>
        <w:rPr>
          <w:rFonts w:asciiTheme="minorHAnsi" w:eastAsiaTheme="minorEastAsia" w:hAnsiTheme="minorHAnsi" w:cstheme="minorBidi"/>
          <w:noProof/>
          <w:sz w:val="22"/>
          <w:lang w:eastAsia="en-AU" w:bidi="ar-SA"/>
        </w:rPr>
      </w:pPr>
      <w:hyperlink w:anchor="_Toc452066445" w:history="1">
        <w:r w:rsidRPr="002C54BD">
          <w:rPr>
            <w:rStyle w:val="Hyperlink"/>
            <w:noProof/>
          </w:rPr>
          <w:t>Figure 19</w:t>
        </w:r>
        <w:r>
          <w:rPr>
            <w:rFonts w:asciiTheme="minorHAnsi" w:eastAsiaTheme="minorEastAsia" w:hAnsiTheme="minorHAnsi" w:cstheme="minorBidi"/>
            <w:noProof/>
            <w:sz w:val="22"/>
            <w:lang w:eastAsia="en-AU" w:bidi="ar-SA"/>
          </w:rPr>
          <w:tab/>
        </w:r>
        <w:r w:rsidRPr="002C54BD">
          <w:rPr>
            <w:rStyle w:val="Hyperlink"/>
            <w:noProof/>
          </w:rPr>
          <w:t>Plot of extrapolated effect sizes for indicated bibliotherapy intervention</w:t>
        </w:r>
        <w:r>
          <w:rPr>
            <w:noProof/>
            <w:webHidden/>
          </w:rPr>
          <w:tab/>
        </w:r>
        <w:r>
          <w:rPr>
            <w:noProof/>
            <w:webHidden/>
          </w:rPr>
          <w:fldChar w:fldCharType="begin"/>
        </w:r>
        <w:r>
          <w:rPr>
            <w:noProof/>
            <w:webHidden/>
          </w:rPr>
          <w:instrText xml:space="preserve"> PAGEREF _Toc452066445 \h </w:instrText>
        </w:r>
        <w:r>
          <w:rPr>
            <w:noProof/>
            <w:webHidden/>
          </w:rPr>
        </w:r>
        <w:r>
          <w:rPr>
            <w:noProof/>
            <w:webHidden/>
          </w:rPr>
          <w:fldChar w:fldCharType="separate"/>
        </w:r>
        <w:r>
          <w:rPr>
            <w:noProof/>
            <w:webHidden/>
          </w:rPr>
          <w:t>69</w:t>
        </w:r>
        <w:r>
          <w:rPr>
            <w:noProof/>
            <w:webHidden/>
          </w:rPr>
          <w:fldChar w:fldCharType="end"/>
        </w:r>
      </w:hyperlink>
    </w:p>
    <w:p w:rsidR="00415BFD" w:rsidRDefault="00415BFD" w:rsidP="007673D5">
      <w:pPr>
        <w:tabs>
          <w:tab w:val="left" w:pos="1134"/>
          <w:tab w:val="left" w:pos="5706"/>
        </w:tabs>
        <w:spacing w:after="60"/>
        <w:ind w:left="993" w:hanging="993"/>
      </w:pPr>
      <w:r>
        <w:fldChar w:fldCharType="end"/>
      </w:r>
      <w:r>
        <w:br w:type="page"/>
      </w:r>
    </w:p>
    <w:p w:rsidR="00415BFD" w:rsidRDefault="00415BFD" w:rsidP="00B54903">
      <w:pPr>
        <w:pStyle w:val="Heading1nonumber"/>
      </w:pPr>
      <w:bookmarkStart w:id="2" w:name="_Toc452066381"/>
      <w:r>
        <w:lastRenderedPageBreak/>
        <w:t>List of Tables</w:t>
      </w:r>
      <w:bookmarkEnd w:id="2"/>
    </w:p>
    <w:p w:rsidR="00415BFD" w:rsidRDefault="00415BFD" w:rsidP="007673D5">
      <w:pPr>
        <w:pStyle w:val="TableofFigures"/>
        <w:tabs>
          <w:tab w:val="left" w:pos="880"/>
          <w:tab w:val="right" w:leader="dot" w:pos="9016"/>
        </w:tabs>
        <w:ind w:left="879" w:hanging="879"/>
        <w:rPr>
          <w:rFonts w:asciiTheme="minorHAnsi" w:eastAsiaTheme="minorEastAsia" w:hAnsiTheme="minorHAnsi" w:cstheme="minorBidi"/>
          <w:noProof/>
          <w:sz w:val="22"/>
          <w:lang w:eastAsia="en-AU" w:bidi="ar-SA"/>
        </w:rPr>
      </w:pPr>
      <w:r>
        <w:fldChar w:fldCharType="begin"/>
      </w:r>
      <w:r>
        <w:instrText xml:space="preserve"> TOC \f T \h \z \t "My Table" \c </w:instrText>
      </w:r>
      <w:r>
        <w:fldChar w:fldCharType="separate"/>
      </w:r>
      <w:hyperlink w:anchor="_Toc452066446" w:history="1">
        <w:r w:rsidRPr="0049117F">
          <w:rPr>
            <w:rStyle w:val="Hyperlink"/>
            <w:noProof/>
          </w:rPr>
          <w:t>Table 1</w:t>
        </w:r>
        <w:r>
          <w:rPr>
            <w:rFonts w:asciiTheme="minorHAnsi" w:eastAsiaTheme="minorEastAsia" w:hAnsiTheme="minorHAnsi" w:cstheme="minorBidi"/>
            <w:noProof/>
            <w:sz w:val="22"/>
            <w:lang w:eastAsia="en-AU" w:bidi="ar-SA"/>
          </w:rPr>
          <w:tab/>
        </w:r>
        <w:r w:rsidRPr="0049117F">
          <w:rPr>
            <w:rStyle w:val="Hyperlink"/>
            <w:noProof/>
          </w:rPr>
          <w:t xml:space="preserve">Rationale and description of various data sources used to determine the eligible population </w:t>
        </w:r>
        <w:r>
          <w:rPr>
            <w:noProof/>
            <w:webHidden/>
          </w:rPr>
          <w:tab/>
        </w:r>
        <w:r>
          <w:rPr>
            <w:noProof/>
            <w:webHidden/>
          </w:rPr>
          <w:fldChar w:fldCharType="begin"/>
        </w:r>
        <w:r>
          <w:rPr>
            <w:noProof/>
            <w:webHidden/>
          </w:rPr>
          <w:instrText xml:space="preserve"> PAGEREF _Toc452066446 \h </w:instrText>
        </w:r>
        <w:r>
          <w:rPr>
            <w:noProof/>
            <w:webHidden/>
          </w:rPr>
        </w:r>
        <w:r>
          <w:rPr>
            <w:noProof/>
            <w:webHidden/>
          </w:rPr>
          <w:fldChar w:fldCharType="separate"/>
        </w:r>
        <w:r>
          <w:rPr>
            <w:noProof/>
            <w:webHidden/>
          </w:rPr>
          <w:t>11</w:t>
        </w:r>
        <w:r>
          <w:rPr>
            <w:noProof/>
            <w:webHidden/>
          </w:rPr>
          <w:fldChar w:fldCharType="end"/>
        </w:r>
      </w:hyperlink>
    </w:p>
    <w:p w:rsidR="00415BFD" w:rsidRDefault="00415BFD" w:rsidP="007673D5">
      <w:pPr>
        <w:pStyle w:val="TableofFigures"/>
        <w:tabs>
          <w:tab w:val="left" w:pos="880"/>
          <w:tab w:val="right" w:leader="dot" w:pos="9016"/>
        </w:tabs>
        <w:ind w:left="879" w:hanging="879"/>
        <w:rPr>
          <w:rFonts w:asciiTheme="minorHAnsi" w:eastAsiaTheme="minorEastAsia" w:hAnsiTheme="minorHAnsi" w:cstheme="minorBidi"/>
          <w:noProof/>
          <w:sz w:val="22"/>
          <w:lang w:eastAsia="en-AU" w:bidi="ar-SA"/>
        </w:rPr>
      </w:pPr>
      <w:hyperlink w:anchor="_Toc452066447" w:history="1">
        <w:r w:rsidRPr="0049117F">
          <w:rPr>
            <w:rStyle w:val="Hyperlink"/>
            <w:noProof/>
          </w:rPr>
          <w:t>Table 2</w:t>
        </w:r>
        <w:r>
          <w:rPr>
            <w:rFonts w:asciiTheme="minorHAnsi" w:eastAsiaTheme="minorEastAsia" w:hAnsiTheme="minorHAnsi" w:cstheme="minorBidi"/>
            <w:noProof/>
            <w:sz w:val="22"/>
            <w:lang w:eastAsia="en-AU" w:bidi="ar-SA"/>
          </w:rPr>
          <w:tab/>
        </w:r>
        <w:r w:rsidRPr="0049117F">
          <w:rPr>
            <w:rStyle w:val="Hyperlink"/>
            <w:noProof/>
          </w:rPr>
          <w:t xml:space="preserve">Rationale and description of various data sources used to model the health impacts that results from intervention and comparator scenarios </w:t>
        </w:r>
        <w:r>
          <w:rPr>
            <w:noProof/>
            <w:webHidden/>
          </w:rPr>
          <w:tab/>
        </w:r>
        <w:r>
          <w:rPr>
            <w:noProof/>
            <w:webHidden/>
          </w:rPr>
          <w:fldChar w:fldCharType="begin"/>
        </w:r>
        <w:r>
          <w:rPr>
            <w:noProof/>
            <w:webHidden/>
          </w:rPr>
          <w:instrText xml:space="preserve"> PAGEREF _Toc452066447 \h </w:instrText>
        </w:r>
        <w:r>
          <w:rPr>
            <w:noProof/>
            <w:webHidden/>
          </w:rPr>
        </w:r>
        <w:r>
          <w:rPr>
            <w:noProof/>
            <w:webHidden/>
          </w:rPr>
          <w:fldChar w:fldCharType="separate"/>
        </w:r>
        <w:r>
          <w:rPr>
            <w:noProof/>
            <w:webHidden/>
          </w:rPr>
          <w:t>13</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48" w:history="1">
        <w:r w:rsidRPr="0049117F">
          <w:rPr>
            <w:rStyle w:val="Hyperlink"/>
            <w:noProof/>
          </w:rPr>
          <w:t>Table 3</w:t>
        </w:r>
        <w:r>
          <w:rPr>
            <w:rFonts w:asciiTheme="minorHAnsi" w:eastAsiaTheme="minorEastAsia" w:hAnsiTheme="minorHAnsi" w:cstheme="minorBidi"/>
            <w:noProof/>
            <w:sz w:val="22"/>
            <w:lang w:eastAsia="en-AU" w:bidi="ar-SA"/>
          </w:rPr>
          <w:tab/>
        </w:r>
        <w:r w:rsidRPr="0049117F">
          <w:rPr>
            <w:rStyle w:val="Hyperlink"/>
            <w:noProof/>
          </w:rPr>
          <w:t xml:space="preserve">Rationale and description of various data sources used to conduct the cost analysis of intervention pathways for universal prevention </w:t>
        </w:r>
        <w:r>
          <w:rPr>
            <w:noProof/>
            <w:webHidden/>
          </w:rPr>
          <w:tab/>
        </w:r>
        <w:r>
          <w:rPr>
            <w:noProof/>
            <w:webHidden/>
          </w:rPr>
          <w:fldChar w:fldCharType="begin"/>
        </w:r>
        <w:r>
          <w:rPr>
            <w:noProof/>
            <w:webHidden/>
          </w:rPr>
          <w:instrText xml:space="preserve"> PAGEREF _Toc452066448 \h </w:instrText>
        </w:r>
        <w:r>
          <w:rPr>
            <w:noProof/>
            <w:webHidden/>
          </w:rPr>
        </w:r>
        <w:r>
          <w:rPr>
            <w:noProof/>
            <w:webHidden/>
          </w:rPr>
          <w:fldChar w:fldCharType="separate"/>
        </w:r>
        <w:r>
          <w:rPr>
            <w:noProof/>
            <w:webHidden/>
          </w:rPr>
          <w:t>16</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49" w:history="1">
        <w:r w:rsidRPr="0049117F">
          <w:rPr>
            <w:rStyle w:val="Hyperlink"/>
            <w:noProof/>
          </w:rPr>
          <w:t>Table 4</w:t>
        </w:r>
        <w:r>
          <w:rPr>
            <w:rFonts w:asciiTheme="minorHAnsi" w:eastAsiaTheme="minorEastAsia" w:hAnsiTheme="minorHAnsi" w:cstheme="minorBidi"/>
            <w:noProof/>
            <w:sz w:val="22"/>
            <w:lang w:eastAsia="en-AU" w:bidi="ar-SA"/>
          </w:rPr>
          <w:tab/>
        </w:r>
        <w:r w:rsidRPr="0049117F">
          <w:rPr>
            <w:rStyle w:val="Hyperlink"/>
            <w:noProof/>
          </w:rPr>
          <w:t xml:space="preserve">Rationale and description of various data sources used to conduct the cost analysis of intervention pathways for indicated prevention </w:t>
        </w:r>
        <w:r>
          <w:rPr>
            <w:noProof/>
            <w:webHidden/>
          </w:rPr>
          <w:tab/>
        </w:r>
        <w:r>
          <w:rPr>
            <w:noProof/>
            <w:webHidden/>
          </w:rPr>
          <w:fldChar w:fldCharType="begin"/>
        </w:r>
        <w:r>
          <w:rPr>
            <w:noProof/>
            <w:webHidden/>
          </w:rPr>
          <w:instrText xml:space="preserve"> PAGEREF _Toc452066449 \h </w:instrText>
        </w:r>
        <w:r>
          <w:rPr>
            <w:noProof/>
            <w:webHidden/>
          </w:rPr>
        </w:r>
        <w:r>
          <w:rPr>
            <w:noProof/>
            <w:webHidden/>
          </w:rPr>
          <w:fldChar w:fldCharType="separate"/>
        </w:r>
        <w:r>
          <w:rPr>
            <w:noProof/>
            <w:webHidden/>
          </w:rPr>
          <w:t>19</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50" w:history="1">
        <w:r w:rsidRPr="0049117F">
          <w:rPr>
            <w:rStyle w:val="Hyperlink"/>
            <w:noProof/>
          </w:rPr>
          <w:t>Table 5</w:t>
        </w:r>
        <w:r>
          <w:rPr>
            <w:rFonts w:asciiTheme="minorHAnsi" w:eastAsiaTheme="minorEastAsia" w:hAnsiTheme="minorHAnsi" w:cstheme="minorBidi"/>
            <w:noProof/>
            <w:sz w:val="22"/>
            <w:lang w:eastAsia="en-AU" w:bidi="ar-SA"/>
          </w:rPr>
          <w:tab/>
        </w:r>
        <w:r w:rsidRPr="0049117F">
          <w:rPr>
            <w:rStyle w:val="Hyperlink"/>
            <w:noProof/>
          </w:rPr>
          <w:t>Study design characteristics of independent RCT study arms identified by meta-review that examined the efficacy of school-based universal prevention interventions delivered to students</w:t>
        </w:r>
        <w:r>
          <w:rPr>
            <w:noProof/>
            <w:webHidden/>
          </w:rPr>
          <w:tab/>
        </w:r>
        <w:r>
          <w:rPr>
            <w:noProof/>
            <w:webHidden/>
          </w:rPr>
          <w:fldChar w:fldCharType="begin"/>
        </w:r>
        <w:r>
          <w:rPr>
            <w:noProof/>
            <w:webHidden/>
          </w:rPr>
          <w:instrText xml:space="preserve"> PAGEREF _Toc452066450 \h </w:instrText>
        </w:r>
        <w:r>
          <w:rPr>
            <w:noProof/>
            <w:webHidden/>
          </w:rPr>
        </w:r>
        <w:r>
          <w:rPr>
            <w:noProof/>
            <w:webHidden/>
          </w:rPr>
          <w:fldChar w:fldCharType="separate"/>
        </w:r>
        <w:r>
          <w:rPr>
            <w:noProof/>
            <w:webHidden/>
          </w:rPr>
          <w:t>29</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51" w:history="1">
        <w:r w:rsidRPr="0049117F">
          <w:rPr>
            <w:rStyle w:val="Hyperlink"/>
            <w:noProof/>
          </w:rPr>
          <w:t>Table 6</w:t>
        </w:r>
        <w:r>
          <w:rPr>
            <w:rFonts w:asciiTheme="minorHAnsi" w:eastAsiaTheme="minorEastAsia" w:hAnsiTheme="minorHAnsi" w:cstheme="minorBidi"/>
            <w:noProof/>
            <w:sz w:val="22"/>
            <w:lang w:eastAsia="en-AU" w:bidi="ar-SA"/>
          </w:rPr>
          <w:tab/>
        </w:r>
        <w:r w:rsidRPr="0049117F">
          <w:rPr>
            <w:rStyle w:val="Hyperlink"/>
            <w:noProof/>
          </w:rPr>
          <w:t>Study design characteristics of independent RCT study arms identified by meta-review that examine the efficacy of school-based indicated prevention interventions delivered to students with subthreshold depression</w:t>
        </w:r>
        <w:r>
          <w:rPr>
            <w:noProof/>
            <w:webHidden/>
          </w:rPr>
          <w:tab/>
        </w:r>
        <w:r>
          <w:rPr>
            <w:noProof/>
            <w:webHidden/>
          </w:rPr>
          <w:fldChar w:fldCharType="begin"/>
        </w:r>
        <w:r>
          <w:rPr>
            <w:noProof/>
            <w:webHidden/>
          </w:rPr>
          <w:instrText xml:space="preserve"> PAGEREF _Toc452066451 \h </w:instrText>
        </w:r>
        <w:r>
          <w:rPr>
            <w:noProof/>
            <w:webHidden/>
          </w:rPr>
        </w:r>
        <w:r>
          <w:rPr>
            <w:noProof/>
            <w:webHidden/>
          </w:rPr>
          <w:fldChar w:fldCharType="separate"/>
        </w:r>
        <w:r>
          <w:rPr>
            <w:noProof/>
            <w:webHidden/>
          </w:rPr>
          <w:t>31</w:t>
        </w:r>
        <w:r>
          <w:rPr>
            <w:noProof/>
            <w:webHidden/>
          </w:rPr>
          <w:fldChar w:fldCharType="end"/>
        </w:r>
      </w:hyperlink>
    </w:p>
    <w:p w:rsidR="00415BFD" w:rsidRDefault="00415BFD" w:rsidP="007673D5">
      <w:pPr>
        <w:pStyle w:val="TableofFigures"/>
        <w:tabs>
          <w:tab w:val="left" w:pos="880"/>
          <w:tab w:val="right" w:leader="dot" w:pos="9016"/>
        </w:tabs>
        <w:ind w:left="879" w:hanging="879"/>
        <w:rPr>
          <w:rFonts w:asciiTheme="minorHAnsi" w:eastAsiaTheme="minorEastAsia" w:hAnsiTheme="minorHAnsi" w:cstheme="minorBidi"/>
          <w:noProof/>
          <w:sz w:val="22"/>
          <w:lang w:eastAsia="en-AU" w:bidi="ar-SA"/>
        </w:rPr>
      </w:pPr>
      <w:hyperlink w:anchor="_Toc452066452" w:history="1">
        <w:r w:rsidRPr="0049117F">
          <w:rPr>
            <w:rStyle w:val="Hyperlink"/>
            <w:noProof/>
          </w:rPr>
          <w:t>Table 7</w:t>
        </w:r>
        <w:r>
          <w:rPr>
            <w:rFonts w:asciiTheme="minorHAnsi" w:eastAsiaTheme="minorEastAsia" w:hAnsiTheme="minorHAnsi" w:cstheme="minorBidi"/>
            <w:noProof/>
            <w:sz w:val="22"/>
            <w:lang w:eastAsia="en-AU" w:bidi="ar-SA"/>
          </w:rPr>
          <w:tab/>
        </w:r>
        <w:r w:rsidRPr="0049117F">
          <w:rPr>
            <w:rStyle w:val="Hyperlink"/>
            <w:noProof/>
          </w:rPr>
          <w:t>Table outlining the age-sex breakdown of the eligible population for universal prevention</w:t>
        </w:r>
        <w:r>
          <w:rPr>
            <w:noProof/>
            <w:webHidden/>
          </w:rPr>
          <w:tab/>
        </w:r>
        <w:r>
          <w:rPr>
            <w:noProof/>
            <w:webHidden/>
          </w:rPr>
          <w:fldChar w:fldCharType="begin"/>
        </w:r>
        <w:r>
          <w:rPr>
            <w:noProof/>
            <w:webHidden/>
          </w:rPr>
          <w:instrText xml:space="preserve"> PAGEREF _Toc452066452 \h </w:instrText>
        </w:r>
        <w:r>
          <w:rPr>
            <w:noProof/>
            <w:webHidden/>
          </w:rPr>
        </w:r>
        <w:r>
          <w:rPr>
            <w:noProof/>
            <w:webHidden/>
          </w:rPr>
          <w:fldChar w:fldCharType="separate"/>
        </w:r>
        <w:r>
          <w:rPr>
            <w:noProof/>
            <w:webHidden/>
          </w:rPr>
          <w:t>42</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53" w:history="1">
        <w:r w:rsidRPr="0049117F">
          <w:rPr>
            <w:rStyle w:val="Hyperlink"/>
            <w:noProof/>
          </w:rPr>
          <w:t>Table 8</w:t>
        </w:r>
        <w:r>
          <w:rPr>
            <w:rFonts w:asciiTheme="minorHAnsi" w:eastAsiaTheme="minorEastAsia" w:hAnsiTheme="minorHAnsi" w:cstheme="minorBidi"/>
            <w:noProof/>
            <w:sz w:val="22"/>
            <w:lang w:eastAsia="en-AU" w:bidi="ar-SA"/>
          </w:rPr>
          <w:tab/>
        </w:r>
        <w:r w:rsidRPr="0049117F">
          <w:rPr>
            <w:rStyle w:val="Hyperlink"/>
            <w:noProof/>
          </w:rPr>
          <w:t>Age-sex breakdown of the proportion of youth aged 13-17 years who have a CES-D score above a cut-off of 16</w:t>
        </w:r>
        <w:r>
          <w:rPr>
            <w:noProof/>
            <w:webHidden/>
          </w:rPr>
          <w:tab/>
        </w:r>
        <w:r>
          <w:rPr>
            <w:noProof/>
            <w:webHidden/>
          </w:rPr>
          <w:fldChar w:fldCharType="begin"/>
        </w:r>
        <w:r>
          <w:rPr>
            <w:noProof/>
            <w:webHidden/>
          </w:rPr>
          <w:instrText xml:space="preserve"> PAGEREF _Toc452066453 \h </w:instrText>
        </w:r>
        <w:r>
          <w:rPr>
            <w:noProof/>
            <w:webHidden/>
          </w:rPr>
        </w:r>
        <w:r>
          <w:rPr>
            <w:noProof/>
            <w:webHidden/>
          </w:rPr>
          <w:fldChar w:fldCharType="separate"/>
        </w:r>
        <w:r>
          <w:rPr>
            <w:noProof/>
            <w:webHidden/>
          </w:rPr>
          <w:t>42</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54" w:history="1">
        <w:r w:rsidRPr="0049117F">
          <w:rPr>
            <w:rStyle w:val="Hyperlink"/>
            <w:noProof/>
          </w:rPr>
          <w:t>Table 9</w:t>
        </w:r>
        <w:r>
          <w:rPr>
            <w:rFonts w:asciiTheme="minorHAnsi" w:eastAsiaTheme="minorEastAsia" w:hAnsiTheme="minorHAnsi" w:cstheme="minorBidi"/>
            <w:noProof/>
            <w:sz w:val="22"/>
            <w:lang w:eastAsia="en-AU" w:bidi="ar-SA"/>
          </w:rPr>
          <w:tab/>
        </w:r>
        <w:r w:rsidRPr="0049117F">
          <w:rPr>
            <w:rStyle w:val="Hyperlink"/>
            <w:noProof/>
          </w:rPr>
          <w:t>Age-sex breakdown of the proportion of youth aged-13-17 years who have no diagnosis of major depression, given a CES-D score above the cut-off of 16</w:t>
        </w:r>
        <w:r>
          <w:rPr>
            <w:noProof/>
            <w:webHidden/>
          </w:rPr>
          <w:tab/>
        </w:r>
        <w:r>
          <w:rPr>
            <w:noProof/>
            <w:webHidden/>
          </w:rPr>
          <w:fldChar w:fldCharType="begin"/>
        </w:r>
        <w:r>
          <w:rPr>
            <w:noProof/>
            <w:webHidden/>
          </w:rPr>
          <w:instrText xml:space="preserve"> PAGEREF _Toc452066454 \h </w:instrText>
        </w:r>
        <w:r>
          <w:rPr>
            <w:noProof/>
            <w:webHidden/>
          </w:rPr>
        </w:r>
        <w:r>
          <w:rPr>
            <w:noProof/>
            <w:webHidden/>
          </w:rPr>
          <w:fldChar w:fldCharType="separate"/>
        </w:r>
        <w:r>
          <w:rPr>
            <w:noProof/>
            <w:webHidden/>
          </w:rPr>
          <w:t>44</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55" w:history="1">
        <w:r w:rsidRPr="0049117F">
          <w:rPr>
            <w:rStyle w:val="Hyperlink"/>
            <w:noProof/>
          </w:rPr>
          <w:t>Table 10</w:t>
        </w:r>
        <w:r>
          <w:rPr>
            <w:rFonts w:asciiTheme="minorHAnsi" w:eastAsiaTheme="minorEastAsia" w:hAnsiTheme="minorHAnsi" w:cstheme="minorBidi"/>
            <w:noProof/>
            <w:sz w:val="22"/>
            <w:lang w:eastAsia="en-AU" w:bidi="ar-SA"/>
          </w:rPr>
          <w:tab/>
        </w:r>
        <w:r w:rsidRPr="0049117F">
          <w:rPr>
            <w:rStyle w:val="Hyperlink"/>
            <w:noProof/>
          </w:rPr>
          <w:t>Table outlining the age-sex breakdown of the eligible population for indicated prevention</w:t>
        </w:r>
        <w:r>
          <w:rPr>
            <w:noProof/>
            <w:webHidden/>
          </w:rPr>
          <w:tab/>
        </w:r>
        <w:r>
          <w:rPr>
            <w:noProof/>
            <w:webHidden/>
          </w:rPr>
          <w:fldChar w:fldCharType="begin"/>
        </w:r>
        <w:r>
          <w:rPr>
            <w:noProof/>
            <w:webHidden/>
          </w:rPr>
          <w:instrText xml:space="preserve"> PAGEREF _Toc452066455 \h </w:instrText>
        </w:r>
        <w:r>
          <w:rPr>
            <w:noProof/>
            <w:webHidden/>
          </w:rPr>
        </w:r>
        <w:r>
          <w:rPr>
            <w:noProof/>
            <w:webHidden/>
          </w:rPr>
          <w:fldChar w:fldCharType="separate"/>
        </w:r>
        <w:r>
          <w:rPr>
            <w:noProof/>
            <w:webHidden/>
          </w:rPr>
          <w:t>46</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56" w:history="1">
        <w:r w:rsidRPr="0049117F">
          <w:rPr>
            <w:rStyle w:val="Hyperlink"/>
            <w:noProof/>
          </w:rPr>
          <w:t>Table 11</w:t>
        </w:r>
        <w:r>
          <w:rPr>
            <w:rFonts w:asciiTheme="minorHAnsi" w:eastAsiaTheme="minorEastAsia" w:hAnsiTheme="minorHAnsi" w:cstheme="minorBidi"/>
            <w:noProof/>
            <w:sz w:val="22"/>
            <w:lang w:eastAsia="en-AU" w:bidi="ar-SA"/>
          </w:rPr>
          <w:tab/>
        </w:r>
        <w:r w:rsidRPr="0049117F">
          <w:rPr>
            <w:rStyle w:val="Hyperlink"/>
            <w:noProof/>
          </w:rPr>
          <w:t>Community-based studies containing data on the incidence rate ratio of major depression in children and adolescents with subthreshold depression</w:t>
        </w:r>
        <w:r>
          <w:rPr>
            <w:noProof/>
            <w:webHidden/>
          </w:rPr>
          <w:tab/>
        </w:r>
        <w:r>
          <w:rPr>
            <w:noProof/>
            <w:webHidden/>
          </w:rPr>
          <w:fldChar w:fldCharType="begin"/>
        </w:r>
        <w:r>
          <w:rPr>
            <w:noProof/>
            <w:webHidden/>
          </w:rPr>
          <w:instrText xml:space="preserve"> PAGEREF _Toc452066456 \h </w:instrText>
        </w:r>
        <w:r>
          <w:rPr>
            <w:noProof/>
            <w:webHidden/>
          </w:rPr>
        </w:r>
        <w:r>
          <w:rPr>
            <w:noProof/>
            <w:webHidden/>
          </w:rPr>
          <w:fldChar w:fldCharType="separate"/>
        </w:r>
        <w:r>
          <w:rPr>
            <w:noProof/>
            <w:webHidden/>
          </w:rPr>
          <w:t>51</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57" w:history="1">
        <w:r w:rsidRPr="0049117F">
          <w:rPr>
            <w:rStyle w:val="Hyperlink"/>
            <w:noProof/>
          </w:rPr>
          <w:t>Table 12</w:t>
        </w:r>
        <w:r>
          <w:rPr>
            <w:rFonts w:asciiTheme="minorHAnsi" w:eastAsiaTheme="minorEastAsia" w:hAnsiTheme="minorHAnsi" w:cstheme="minorBidi"/>
            <w:noProof/>
            <w:sz w:val="22"/>
            <w:lang w:eastAsia="en-AU" w:bidi="ar-SA"/>
          </w:rPr>
          <w:tab/>
        </w:r>
        <w:r w:rsidRPr="0049117F">
          <w:rPr>
            <w:rStyle w:val="Hyperlink"/>
            <w:noProof/>
          </w:rPr>
          <w:t>Incidence rates for the 2013 Australian population categorised by population type, age and sex</w:t>
        </w:r>
        <w:r>
          <w:rPr>
            <w:noProof/>
            <w:webHidden/>
          </w:rPr>
          <w:tab/>
        </w:r>
        <w:r>
          <w:rPr>
            <w:noProof/>
            <w:webHidden/>
          </w:rPr>
          <w:fldChar w:fldCharType="begin"/>
        </w:r>
        <w:r>
          <w:rPr>
            <w:noProof/>
            <w:webHidden/>
          </w:rPr>
          <w:instrText xml:space="preserve"> PAGEREF _Toc452066457 \h </w:instrText>
        </w:r>
        <w:r>
          <w:rPr>
            <w:noProof/>
            <w:webHidden/>
          </w:rPr>
        </w:r>
        <w:r>
          <w:rPr>
            <w:noProof/>
            <w:webHidden/>
          </w:rPr>
          <w:fldChar w:fldCharType="separate"/>
        </w:r>
        <w:r>
          <w:rPr>
            <w:noProof/>
            <w:webHidden/>
          </w:rPr>
          <w:t>52</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58" w:history="1">
        <w:r w:rsidRPr="0049117F">
          <w:rPr>
            <w:rStyle w:val="Hyperlink"/>
            <w:noProof/>
          </w:rPr>
          <w:t>Table 13</w:t>
        </w:r>
        <w:r>
          <w:rPr>
            <w:rFonts w:asciiTheme="minorHAnsi" w:eastAsiaTheme="minorEastAsia" w:hAnsiTheme="minorHAnsi" w:cstheme="minorBidi"/>
            <w:noProof/>
            <w:sz w:val="22"/>
            <w:lang w:eastAsia="en-AU" w:bidi="ar-SA"/>
          </w:rPr>
          <w:tab/>
        </w:r>
        <w:r w:rsidRPr="0049117F">
          <w:rPr>
            <w:rStyle w:val="Hyperlink"/>
            <w:noProof/>
          </w:rPr>
          <w:t>Other-cause mortality for the 2013 Australian population by age and sex</w:t>
        </w:r>
        <w:r>
          <w:rPr>
            <w:noProof/>
            <w:webHidden/>
          </w:rPr>
          <w:tab/>
        </w:r>
        <w:r>
          <w:rPr>
            <w:noProof/>
            <w:webHidden/>
          </w:rPr>
          <w:fldChar w:fldCharType="begin"/>
        </w:r>
        <w:r>
          <w:rPr>
            <w:noProof/>
            <w:webHidden/>
          </w:rPr>
          <w:instrText xml:space="preserve"> PAGEREF _Toc452066458 \h </w:instrText>
        </w:r>
        <w:r>
          <w:rPr>
            <w:noProof/>
            <w:webHidden/>
          </w:rPr>
        </w:r>
        <w:r>
          <w:rPr>
            <w:noProof/>
            <w:webHidden/>
          </w:rPr>
          <w:fldChar w:fldCharType="separate"/>
        </w:r>
        <w:r>
          <w:rPr>
            <w:noProof/>
            <w:webHidden/>
          </w:rPr>
          <w:t>53</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59" w:history="1">
        <w:r w:rsidRPr="0049117F">
          <w:rPr>
            <w:rStyle w:val="Hyperlink"/>
            <w:noProof/>
          </w:rPr>
          <w:t>Table 14</w:t>
        </w:r>
        <w:r>
          <w:rPr>
            <w:rFonts w:asciiTheme="minorHAnsi" w:eastAsiaTheme="minorEastAsia" w:hAnsiTheme="minorHAnsi" w:cstheme="minorBidi"/>
            <w:noProof/>
            <w:sz w:val="22"/>
            <w:lang w:eastAsia="en-AU" w:bidi="ar-SA"/>
          </w:rPr>
          <w:tab/>
        </w:r>
        <w:r w:rsidRPr="0049117F">
          <w:rPr>
            <w:rStyle w:val="Hyperlink"/>
            <w:noProof/>
          </w:rPr>
          <w:t>Case fatality rates for the 2013 Australian population by age and sex</w:t>
        </w:r>
        <w:r>
          <w:rPr>
            <w:noProof/>
            <w:webHidden/>
          </w:rPr>
          <w:tab/>
        </w:r>
        <w:r>
          <w:rPr>
            <w:noProof/>
            <w:webHidden/>
          </w:rPr>
          <w:fldChar w:fldCharType="begin"/>
        </w:r>
        <w:r>
          <w:rPr>
            <w:noProof/>
            <w:webHidden/>
          </w:rPr>
          <w:instrText xml:space="preserve"> PAGEREF _Toc452066459 \h </w:instrText>
        </w:r>
        <w:r>
          <w:rPr>
            <w:noProof/>
            <w:webHidden/>
          </w:rPr>
        </w:r>
        <w:r>
          <w:rPr>
            <w:noProof/>
            <w:webHidden/>
          </w:rPr>
          <w:fldChar w:fldCharType="separate"/>
        </w:r>
        <w:r>
          <w:rPr>
            <w:noProof/>
            <w:webHidden/>
          </w:rPr>
          <w:t>54</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60" w:history="1">
        <w:r w:rsidRPr="0049117F">
          <w:rPr>
            <w:rStyle w:val="Hyperlink"/>
            <w:noProof/>
          </w:rPr>
          <w:t>Table 15</w:t>
        </w:r>
        <w:r>
          <w:rPr>
            <w:rFonts w:asciiTheme="minorHAnsi" w:eastAsiaTheme="minorEastAsia" w:hAnsiTheme="minorHAnsi" w:cstheme="minorBidi"/>
            <w:noProof/>
            <w:sz w:val="22"/>
            <w:lang w:eastAsia="en-AU" w:bidi="ar-SA"/>
          </w:rPr>
          <w:tab/>
        </w:r>
        <w:r w:rsidRPr="0049117F">
          <w:rPr>
            <w:rStyle w:val="Hyperlink"/>
            <w:noProof/>
          </w:rPr>
          <w:t>Prevalence estimates for the 2013 Australian population by age and sex</w:t>
        </w:r>
        <w:r>
          <w:rPr>
            <w:noProof/>
            <w:webHidden/>
          </w:rPr>
          <w:tab/>
        </w:r>
        <w:r>
          <w:rPr>
            <w:noProof/>
            <w:webHidden/>
          </w:rPr>
          <w:fldChar w:fldCharType="begin"/>
        </w:r>
        <w:r>
          <w:rPr>
            <w:noProof/>
            <w:webHidden/>
          </w:rPr>
          <w:instrText xml:space="preserve"> PAGEREF _Toc452066460 \h </w:instrText>
        </w:r>
        <w:r>
          <w:rPr>
            <w:noProof/>
            <w:webHidden/>
          </w:rPr>
        </w:r>
        <w:r>
          <w:rPr>
            <w:noProof/>
            <w:webHidden/>
          </w:rPr>
          <w:fldChar w:fldCharType="separate"/>
        </w:r>
        <w:r>
          <w:rPr>
            <w:noProof/>
            <w:webHidden/>
          </w:rPr>
          <w:t>55</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61" w:history="1">
        <w:r w:rsidRPr="0049117F">
          <w:rPr>
            <w:rStyle w:val="Hyperlink"/>
            <w:noProof/>
          </w:rPr>
          <w:t>Table 16</w:t>
        </w:r>
        <w:r>
          <w:rPr>
            <w:rFonts w:asciiTheme="minorHAnsi" w:eastAsiaTheme="minorEastAsia" w:hAnsiTheme="minorHAnsi" w:cstheme="minorBidi"/>
            <w:noProof/>
            <w:sz w:val="22"/>
            <w:lang w:eastAsia="en-AU" w:bidi="ar-SA"/>
          </w:rPr>
          <w:tab/>
        </w:r>
        <w:r w:rsidRPr="0049117F">
          <w:rPr>
            <w:rStyle w:val="Hyperlink"/>
            <w:noProof/>
          </w:rPr>
          <w:t>Data used to calculate composite disability weights for major depression when using the severity distribution from the GBD 2013 study</w:t>
        </w:r>
        <w:r>
          <w:rPr>
            <w:noProof/>
            <w:webHidden/>
          </w:rPr>
          <w:tab/>
        </w:r>
        <w:r>
          <w:rPr>
            <w:noProof/>
            <w:webHidden/>
          </w:rPr>
          <w:fldChar w:fldCharType="begin"/>
        </w:r>
        <w:r>
          <w:rPr>
            <w:noProof/>
            <w:webHidden/>
          </w:rPr>
          <w:instrText xml:space="preserve"> PAGEREF _Toc452066461 \h </w:instrText>
        </w:r>
        <w:r>
          <w:rPr>
            <w:noProof/>
            <w:webHidden/>
          </w:rPr>
        </w:r>
        <w:r>
          <w:rPr>
            <w:noProof/>
            <w:webHidden/>
          </w:rPr>
          <w:fldChar w:fldCharType="separate"/>
        </w:r>
        <w:r>
          <w:rPr>
            <w:noProof/>
            <w:webHidden/>
          </w:rPr>
          <w:t>57</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62" w:history="1">
        <w:r w:rsidRPr="0049117F">
          <w:rPr>
            <w:rStyle w:val="Hyperlink"/>
            <w:noProof/>
          </w:rPr>
          <w:t>Table 17</w:t>
        </w:r>
        <w:r>
          <w:rPr>
            <w:rFonts w:asciiTheme="minorHAnsi" w:eastAsiaTheme="minorEastAsia" w:hAnsiTheme="minorHAnsi" w:cstheme="minorBidi"/>
            <w:noProof/>
            <w:sz w:val="22"/>
            <w:lang w:eastAsia="en-AU" w:bidi="ar-SA"/>
          </w:rPr>
          <w:tab/>
        </w:r>
        <w:r w:rsidRPr="0049117F">
          <w:rPr>
            <w:rStyle w:val="Hyperlink"/>
            <w:noProof/>
          </w:rPr>
          <w:t>Data used to calculate composite disability weights for major depression when using the severity distribution based on DSM-IV algorithms of depression severity from the 1997 NSMHWB</w:t>
        </w:r>
        <w:r>
          <w:rPr>
            <w:noProof/>
            <w:webHidden/>
          </w:rPr>
          <w:tab/>
        </w:r>
        <w:r>
          <w:rPr>
            <w:noProof/>
            <w:webHidden/>
          </w:rPr>
          <w:fldChar w:fldCharType="begin"/>
        </w:r>
        <w:r>
          <w:rPr>
            <w:noProof/>
            <w:webHidden/>
          </w:rPr>
          <w:instrText xml:space="preserve"> PAGEREF _Toc452066462 \h </w:instrText>
        </w:r>
        <w:r>
          <w:rPr>
            <w:noProof/>
            <w:webHidden/>
          </w:rPr>
        </w:r>
        <w:r>
          <w:rPr>
            <w:noProof/>
            <w:webHidden/>
          </w:rPr>
          <w:fldChar w:fldCharType="separate"/>
        </w:r>
        <w:r>
          <w:rPr>
            <w:noProof/>
            <w:webHidden/>
          </w:rPr>
          <w:t>57</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63" w:history="1">
        <w:r w:rsidRPr="0049117F">
          <w:rPr>
            <w:rStyle w:val="Hyperlink"/>
            <w:noProof/>
          </w:rPr>
          <w:t>Table 18</w:t>
        </w:r>
        <w:r>
          <w:rPr>
            <w:rFonts w:asciiTheme="minorHAnsi" w:eastAsiaTheme="minorEastAsia" w:hAnsiTheme="minorHAnsi" w:cstheme="minorBidi"/>
            <w:noProof/>
            <w:sz w:val="22"/>
            <w:lang w:eastAsia="en-AU" w:bidi="ar-SA"/>
          </w:rPr>
          <w:tab/>
        </w:r>
        <w:r w:rsidRPr="0049117F">
          <w:rPr>
            <w:rStyle w:val="Hyperlink"/>
            <w:noProof/>
          </w:rPr>
          <w:t>Cost items for face-to-face delivery of universal psychological intervention</w:t>
        </w:r>
        <w:r>
          <w:rPr>
            <w:noProof/>
            <w:webHidden/>
          </w:rPr>
          <w:tab/>
        </w:r>
        <w:r>
          <w:rPr>
            <w:noProof/>
            <w:webHidden/>
          </w:rPr>
          <w:fldChar w:fldCharType="begin"/>
        </w:r>
        <w:r>
          <w:rPr>
            <w:noProof/>
            <w:webHidden/>
          </w:rPr>
          <w:instrText xml:space="preserve"> PAGEREF _Toc452066463 \h </w:instrText>
        </w:r>
        <w:r>
          <w:rPr>
            <w:noProof/>
            <w:webHidden/>
          </w:rPr>
        </w:r>
        <w:r>
          <w:rPr>
            <w:noProof/>
            <w:webHidden/>
          </w:rPr>
          <w:fldChar w:fldCharType="separate"/>
        </w:r>
        <w:r>
          <w:rPr>
            <w:noProof/>
            <w:webHidden/>
          </w:rPr>
          <w:t>58</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64" w:history="1">
        <w:r w:rsidRPr="0049117F">
          <w:rPr>
            <w:rStyle w:val="Hyperlink"/>
            <w:noProof/>
          </w:rPr>
          <w:t>Table 19</w:t>
        </w:r>
        <w:r>
          <w:rPr>
            <w:rFonts w:asciiTheme="minorHAnsi" w:eastAsiaTheme="minorEastAsia" w:hAnsiTheme="minorHAnsi" w:cstheme="minorBidi"/>
            <w:noProof/>
            <w:sz w:val="22"/>
            <w:lang w:eastAsia="en-AU" w:bidi="ar-SA"/>
          </w:rPr>
          <w:tab/>
        </w:r>
        <w:r w:rsidRPr="0049117F">
          <w:rPr>
            <w:rStyle w:val="Hyperlink"/>
            <w:noProof/>
          </w:rPr>
          <w:t>Resource use parameters extracted from 9 RCT studies included in the meta-analysis of intervention efficacy for universal psychological prevention</w:t>
        </w:r>
        <w:r>
          <w:rPr>
            <w:noProof/>
            <w:webHidden/>
          </w:rPr>
          <w:tab/>
        </w:r>
        <w:r>
          <w:rPr>
            <w:noProof/>
            <w:webHidden/>
          </w:rPr>
          <w:fldChar w:fldCharType="begin"/>
        </w:r>
        <w:r>
          <w:rPr>
            <w:noProof/>
            <w:webHidden/>
          </w:rPr>
          <w:instrText xml:space="preserve"> PAGEREF _Toc452066464 \h </w:instrText>
        </w:r>
        <w:r>
          <w:rPr>
            <w:noProof/>
            <w:webHidden/>
          </w:rPr>
        </w:r>
        <w:r>
          <w:rPr>
            <w:noProof/>
            <w:webHidden/>
          </w:rPr>
          <w:fldChar w:fldCharType="separate"/>
        </w:r>
        <w:r>
          <w:rPr>
            <w:noProof/>
            <w:webHidden/>
          </w:rPr>
          <w:t>59</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65" w:history="1">
        <w:r w:rsidRPr="0049117F">
          <w:rPr>
            <w:rStyle w:val="Hyperlink"/>
            <w:noProof/>
          </w:rPr>
          <w:t>Table 20</w:t>
        </w:r>
        <w:r>
          <w:rPr>
            <w:rFonts w:asciiTheme="minorHAnsi" w:eastAsiaTheme="minorEastAsia" w:hAnsiTheme="minorHAnsi" w:cstheme="minorBidi"/>
            <w:noProof/>
            <w:sz w:val="22"/>
            <w:lang w:eastAsia="en-AU" w:bidi="ar-SA"/>
          </w:rPr>
          <w:tab/>
        </w:r>
        <w:r w:rsidRPr="0049117F">
          <w:rPr>
            <w:rStyle w:val="Hyperlink"/>
            <w:noProof/>
          </w:rPr>
          <w:t>Cost items for internet-delivery of universal psychological intervention</w:t>
        </w:r>
        <w:r>
          <w:rPr>
            <w:noProof/>
            <w:webHidden/>
          </w:rPr>
          <w:tab/>
        </w:r>
        <w:r>
          <w:rPr>
            <w:noProof/>
            <w:webHidden/>
          </w:rPr>
          <w:fldChar w:fldCharType="begin"/>
        </w:r>
        <w:r>
          <w:rPr>
            <w:noProof/>
            <w:webHidden/>
          </w:rPr>
          <w:instrText xml:space="preserve"> PAGEREF _Toc452066465 \h </w:instrText>
        </w:r>
        <w:r>
          <w:rPr>
            <w:noProof/>
            <w:webHidden/>
          </w:rPr>
        </w:r>
        <w:r>
          <w:rPr>
            <w:noProof/>
            <w:webHidden/>
          </w:rPr>
          <w:fldChar w:fldCharType="separate"/>
        </w:r>
        <w:r>
          <w:rPr>
            <w:noProof/>
            <w:webHidden/>
          </w:rPr>
          <w:t>60</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66" w:history="1">
        <w:r w:rsidRPr="0049117F">
          <w:rPr>
            <w:rStyle w:val="Hyperlink"/>
            <w:noProof/>
          </w:rPr>
          <w:t>Table 21</w:t>
        </w:r>
        <w:r>
          <w:rPr>
            <w:rFonts w:asciiTheme="minorHAnsi" w:eastAsiaTheme="minorEastAsia" w:hAnsiTheme="minorHAnsi" w:cstheme="minorBidi"/>
            <w:noProof/>
            <w:sz w:val="22"/>
            <w:lang w:eastAsia="en-AU" w:bidi="ar-SA"/>
          </w:rPr>
          <w:tab/>
        </w:r>
        <w:r w:rsidRPr="0049117F">
          <w:rPr>
            <w:rStyle w:val="Hyperlink"/>
            <w:noProof/>
          </w:rPr>
          <w:t>Resource use parameters extracted from 2 RCT studies included in the meta-analysis of intervention efficacy for universal psychological prevention</w:t>
        </w:r>
        <w:r>
          <w:rPr>
            <w:noProof/>
            <w:webHidden/>
          </w:rPr>
          <w:tab/>
        </w:r>
        <w:r>
          <w:rPr>
            <w:noProof/>
            <w:webHidden/>
          </w:rPr>
          <w:fldChar w:fldCharType="begin"/>
        </w:r>
        <w:r>
          <w:rPr>
            <w:noProof/>
            <w:webHidden/>
          </w:rPr>
          <w:instrText xml:space="preserve"> PAGEREF _Toc452066466 \h </w:instrText>
        </w:r>
        <w:r>
          <w:rPr>
            <w:noProof/>
            <w:webHidden/>
          </w:rPr>
        </w:r>
        <w:r>
          <w:rPr>
            <w:noProof/>
            <w:webHidden/>
          </w:rPr>
          <w:fldChar w:fldCharType="separate"/>
        </w:r>
        <w:r>
          <w:rPr>
            <w:noProof/>
            <w:webHidden/>
          </w:rPr>
          <w:t>61</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67" w:history="1">
        <w:r w:rsidRPr="0049117F">
          <w:rPr>
            <w:rStyle w:val="Hyperlink"/>
            <w:noProof/>
          </w:rPr>
          <w:t>Table 22</w:t>
        </w:r>
        <w:r>
          <w:rPr>
            <w:rFonts w:asciiTheme="minorHAnsi" w:eastAsiaTheme="minorEastAsia" w:hAnsiTheme="minorHAnsi" w:cstheme="minorBidi"/>
            <w:noProof/>
            <w:sz w:val="22"/>
            <w:lang w:eastAsia="en-AU" w:bidi="ar-SA"/>
          </w:rPr>
          <w:tab/>
        </w:r>
        <w:r w:rsidRPr="0049117F">
          <w:rPr>
            <w:rStyle w:val="Hyperlink"/>
            <w:noProof/>
          </w:rPr>
          <w:t>Cost items for face-to-face delivery of indicated psychological intervention</w:t>
        </w:r>
        <w:r>
          <w:rPr>
            <w:noProof/>
            <w:webHidden/>
          </w:rPr>
          <w:tab/>
        </w:r>
        <w:r>
          <w:rPr>
            <w:noProof/>
            <w:webHidden/>
          </w:rPr>
          <w:fldChar w:fldCharType="begin"/>
        </w:r>
        <w:r>
          <w:rPr>
            <w:noProof/>
            <w:webHidden/>
          </w:rPr>
          <w:instrText xml:space="preserve"> PAGEREF _Toc452066467 \h </w:instrText>
        </w:r>
        <w:r>
          <w:rPr>
            <w:noProof/>
            <w:webHidden/>
          </w:rPr>
        </w:r>
        <w:r>
          <w:rPr>
            <w:noProof/>
            <w:webHidden/>
          </w:rPr>
          <w:fldChar w:fldCharType="separate"/>
        </w:r>
        <w:r>
          <w:rPr>
            <w:noProof/>
            <w:webHidden/>
          </w:rPr>
          <w:t>62</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68" w:history="1">
        <w:r w:rsidRPr="0049117F">
          <w:rPr>
            <w:rStyle w:val="Hyperlink"/>
            <w:noProof/>
          </w:rPr>
          <w:t>Table 23</w:t>
        </w:r>
        <w:r>
          <w:rPr>
            <w:rFonts w:asciiTheme="minorHAnsi" w:eastAsiaTheme="minorEastAsia" w:hAnsiTheme="minorHAnsi" w:cstheme="minorBidi"/>
            <w:noProof/>
            <w:sz w:val="22"/>
            <w:lang w:eastAsia="en-AU" w:bidi="ar-SA"/>
          </w:rPr>
          <w:tab/>
        </w:r>
        <w:r w:rsidRPr="0049117F">
          <w:rPr>
            <w:rStyle w:val="Hyperlink"/>
            <w:noProof/>
          </w:rPr>
          <w:t>Cost of single and group-based consults with an MBS-funded psychologist</w:t>
        </w:r>
        <w:r>
          <w:rPr>
            <w:noProof/>
            <w:webHidden/>
          </w:rPr>
          <w:tab/>
        </w:r>
        <w:r>
          <w:rPr>
            <w:noProof/>
            <w:webHidden/>
          </w:rPr>
          <w:fldChar w:fldCharType="begin"/>
        </w:r>
        <w:r>
          <w:rPr>
            <w:noProof/>
            <w:webHidden/>
          </w:rPr>
          <w:instrText xml:space="preserve"> PAGEREF _Toc452066468 \h </w:instrText>
        </w:r>
        <w:r>
          <w:rPr>
            <w:noProof/>
            <w:webHidden/>
          </w:rPr>
        </w:r>
        <w:r>
          <w:rPr>
            <w:noProof/>
            <w:webHidden/>
          </w:rPr>
          <w:fldChar w:fldCharType="separate"/>
        </w:r>
        <w:r>
          <w:rPr>
            <w:noProof/>
            <w:webHidden/>
          </w:rPr>
          <w:t>64</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69" w:history="1">
        <w:r w:rsidRPr="0049117F">
          <w:rPr>
            <w:rStyle w:val="Hyperlink"/>
            <w:noProof/>
          </w:rPr>
          <w:t>Table 24</w:t>
        </w:r>
        <w:r>
          <w:rPr>
            <w:rFonts w:asciiTheme="minorHAnsi" w:eastAsiaTheme="minorEastAsia" w:hAnsiTheme="minorHAnsi" w:cstheme="minorBidi"/>
            <w:noProof/>
            <w:sz w:val="22"/>
            <w:lang w:eastAsia="en-AU" w:bidi="ar-SA"/>
          </w:rPr>
          <w:tab/>
        </w:r>
        <w:r w:rsidRPr="0049117F">
          <w:rPr>
            <w:rStyle w:val="Hyperlink"/>
            <w:noProof/>
          </w:rPr>
          <w:t>Resource use parameters extracted from 8 RCT studies included in the meta-analysis of intervention efficacy for indicated psychological prevention</w:t>
        </w:r>
        <w:r>
          <w:rPr>
            <w:noProof/>
            <w:webHidden/>
          </w:rPr>
          <w:tab/>
        </w:r>
        <w:r>
          <w:rPr>
            <w:noProof/>
            <w:webHidden/>
          </w:rPr>
          <w:fldChar w:fldCharType="begin"/>
        </w:r>
        <w:r>
          <w:rPr>
            <w:noProof/>
            <w:webHidden/>
          </w:rPr>
          <w:instrText xml:space="preserve"> PAGEREF _Toc452066469 \h </w:instrText>
        </w:r>
        <w:r>
          <w:rPr>
            <w:noProof/>
            <w:webHidden/>
          </w:rPr>
        </w:r>
        <w:r>
          <w:rPr>
            <w:noProof/>
            <w:webHidden/>
          </w:rPr>
          <w:fldChar w:fldCharType="separate"/>
        </w:r>
        <w:r>
          <w:rPr>
            <w:noProof/>
            <w:webHidden/>
          </w:rPr>
          <w:t>64</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70" w:history="1">
        <w:r w:rsidRPr="0049117F">
          <w:rPr>
            <w:rStyle w:val="Hyperlink"/>
            <w:noProof/>
          </w:rPr>
          <w:t>Table 25</w:t>
        </w:r>
        <w:r>
          <w:rPr>
            <w:rFonts w:asciiTheme="minorHAnsi" w:eastAsiaTheme="minorEastAsia" w:hAnsiTheme="minorHAnsi" w:cstheme="minorBidi"/>
            <w:noProof/>
            <w:sz w:val="22"/>
            <w:lang w:eastAsia="en-AU" w:bidi="ar-SA"/>
          </w:rPr>
          <w:tab/>
        </w:r>
        <w:r w:rsidRPr="0049117F">
          <w:rPr>
            <w:rStyle w:val="Hyperlink"/>
            <w:noProof/>
          </w:rPr>
          <w:t>Cost items for internet-delivery of indicated psychological intervention</w:t>
        </w:r>
        <w:r>
          <w:rPr>
            <w:noProof/>
            <w:webHidden/>
          </w:rPr>
          <w:tab/>
        </w:r>
        <w:r>
          <w:rPr>
            <w:noProof/>
            <w:webHidden/>
          </w:rPr>
          <w:fldChar w:fldCharType="begin"/>
        </w:r>
        <w:r>
          <w:rPr>
            <w:noProof/>
            <w:webHidden/>
          </w:rPr>
          <w:instrText xml:space="preserve"> PAGEREF _Toc452066470 \h </w:instrText>
        </w:r>
        <w:r>
          <w:rPr>
            <w:noProof/>
            <w:webHidden/>
          </w:rPr>
        </w:r>
        <w:r>
          <w:rPr>
            <w:noProof/>
            <w:webHidden/>
          </w:rPr>
          <w:fldChar w:fldCharType="separate"/>
        </w:r>
        <w:r>
          <w:rPr>
            <w:noProof/>
            <w:webHidden/>
          </w:rPr>
          <w:t>65</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71" w:history="1">
        <w:r w:rsidRPr="0049117F">
          <w:rPr>
            <w:rStyle w:val="Hyperlink"/>
            <w:noProof/>
          </w:rPr>
          <w:t>Table 26</w:t>
        </w:r>
        <w:r>
          <w:rPr>
            <w:rFonts w:asciiTheme="minorHAnsi" w:eastAsiaTheme="minorEastAsia" w:hAnsiTheme="minorHAnsi" w:cstheme="minorBidi"/>
            <w:noProof/>
            <w:sz w:val="22"/>
            <w:lang w:eastAsia="en-AU" w:bidi="ar-SA"/>
          </w:rPr>
          <w:tab/>
        </w:r>
        <w:r w:rsidRPr="0049117F">
          <w:rPr>
            <w:rStyle w:val="Hyperlink"/>
            <w:noProof/>
          </w:rPr>
          <w:t>Pooled effect sizes for universal psychological intervention when limiting the scope of studies to those using structured clinical interviews</w:t>
        </w:r>
        <w:r>
          <w:rPr>
            <w:noProof/>
            <w:webHidden/>
          </w:rPr>
          <w:tab/>
        </w:r>
        <w:r>
          <w:rPr>
            <w:noProof/>
            <w:webHidden/>
          </w:rPr>
          <w:fldChar w:fldCharType="begin"/>
        </w:r>
        <w:r>
          <w:rPr>
            <w:noProof/>
            <w:webHidden/>
          </w:rPr>
          <w:instrText xml:space="preserve"> PAGEREF _Toc452066471 \h </w:instrText>
        </w:r>
        <w:r>
          <w:rPr>
            <w:noProof/>
            <w:webHidden/>
          </w:rPr>
        </w:r>
        <w:r>
          <w:rPr>
            <w:noProof/>
            <w:webHidden/>
          </w:rPr>
          <w:fldChar w:fldCharType="separate"/>
        </w:r>
        <w:r>
          <w:rPr>
            <w:noProof/>
            <w:webHidden/>
          </w:rPr>
          <w:t>70</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72" w:history="1">
        <w:r w:rsidRPr="0049117F">
          <w:rPr>
            <w:rStyle w:val="Hyperlink"/>
            <w:noProof/>
          </w:rPr>
          <w:t>Table 27</w:t>
        </w:r>
        <w:r>
          <w:rPr>
            <w:rFonts w:asciiTheme="minorHAnsi" w:eastAsiaTheme="minorEastAsia" w:hAnsiTheme="minorHAnsi" w:cstheme="minorBidi"/>
            <w:noProof/>
            <w:sz w:val="22"/>
            <w:lang w:eastAsia="en-AU" w:bidi="ar-SA"/>
          </w:rPr>
          <w:tab/>
        </w:r>
        <w:r w:rsidRPr="0049117F">
          <w:rPr>
            <w:rStyle w:val="Hyperlink"/>
            <w:noProof/>
          </w:rPr>
          <w:t>Pooled effect sizes for indicated psychological intervention when limiting the scope of studies to those using structured clinical interviews</w:t>
        </w:r>
        <w:r>
          <w:rPr>
            <w:noProof/>
            <w:webHidden/>
          </w:rPr>
          <w:tab/>
        </w:r>
        <w:r>
          <w:rPr>
            <w:noProof/>
            <w:webHidden/>
          </w:rPr>
          <w:fldChar w:fldCharType="begin"/>
        </w:r>
        <w:r>
          <w:rPr>
            <w:noProof/>
            <w:webHidden/>
          </w:rPr>
          <w:instrText xml:space="preserve"> PAGEREF _Toc452066472 \h </w:instrText>
        </w:r>
        <w:r>
          <w:rPr>
            <w:noProof/>
            <w:webHidden/>
          </w:rPr>
        </w:r>
        <w:r>
          <w:rPr>
            <w:noProof/>
            <w:webHidden/>
          </w:rPr>
          <w:fldChar w:fldCharType="separate"/>
        </w:r>
        <w:r>
          <w:rPr>
            <w:noProof/>
            <w:webHidden/>
          </w:rPr>
          <w:t>70</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73" w:history="1">
        <w:r w:rsidRPr="0049117F">
          <w:rPr>
            <w:rStyle w:val="Hyperlink"/>
            <w:noProof/>
          </w:rPr>
          <w:t>Table 28</w:t>
        </w:r>
        <w:r>
          <w:rPr>
            <w:rFonts w:asciiTheme="minorHAnsi" w:eastAsiaTheme="minorEastAsia" w:hAnsiTheme="minorHAnsi" w:cstheme="minorBidi"/>
            <w:noProof/>
            <w:sz w:val="22"/>
            <w:lang w:eastAsia="en-AU" w:bidi="ar-SA"/>
          </w:rPr>
          <w:tab/>
        </w:r>
        <w:r w:rsidRPr="0049117F">
          <w:rPr>
            <w:rStyle w:val="Hyperlink"/>
            <w:noProof/>
          </w:rPr>
          <w:t>Pooled effect sizes for universal psychological intervention when limiting the scope of studies to those using an intention-to-treat approach</w:t>
        </w:r>
        <w:r>
          <w:rPr>
            <w:noProof/>
            <w:webHidden/>
          </w:rPr>
          <w:tab/>
        </w:r>
        <w:r>
          <w:rPr>
            <w:noProof/>
            <w:webHidden/>
          </w:rPr>
          <w:fldChar w:fldCharType="begin"/>
        </w:r>
        <w:r>
          <w:rPr>
            <w:noProof/>
            <w:webHidden/>
          </w:rPr>
          <w:instrText xml:space="preserve"> PAGEREF _Toc452066473 \h </w:instrText>
        </w:r>
        <w:r>
          <w:rPr>
            <w:noProof/>
            <w:webHidden/>
          </w:rPr>
        </w:r>
        <w:r>
          <w:rPr>
            <w:noProof/>
            <w:webHidden/>
          </w:rPr>
          <w:fldChar w:fldCharType="separate"/>
        </w:r>
        <w:r>
          <w:rPr>
            <w:noProof/>
            <w:webHidden/>
          </w:rPr>
          <w:t>71</w:t>
        </w:r>
        <w:r>
          <w:rPr>
            <w:noProof/>
            <w:webHidden/>
          </w:rPr>
          <w:fldChar w:fldCharType="end"/>
        </w:r>
      </w:hyperlink>
    </w:p>
    <w:p w:rsidR="00415BFD" w:rsidRDefault="00415BFD" w:rsidP="007673D5">
      <w:pPr>
        <w:pStyle w:val="TableofFigures"/>
        <w:tabs>
          <w:tab w:val="left" w:pos="1100"/>
          <w:tab w:val="right" w:leader="dot" w:pos="9016"/>
        </w:tabs>
        <w:ind w:left="879" w:hanging="879"/>
        <w:rPr>
          <w:rFonts w:asciiTheme="minorHAnsi" w:eastAsiaTheme="minorEastAsia" w:hAnsiTheme="minorHAnsi" w:cstheme="minorBidi"/>
          <w:noProof/>
          <w:sz w:val="22"/>
          <w:lang w:eastAsia="en-AU" w:bidi="ar-SA"/>
        </w:rPr>
      </w:pPr>
      <w:hyperlink w:anchor="_Toc452066474" w:history="1">
        <w:r w:rsidRPr="0049117F">
          <w:rPr>
            <w:rStyle w:val="Hyperlink"/>
            <w:noProof/>
          </w:rPr>
          <w:t>Table 29</w:t>
        </w:r>
        <w:r>
          <w:rPr>
            <w:rFonts w:asciiTheme="minorHAnsi" w:eastAsiaTheme="minorEastAsia" w:hAnsiTheme="minorHAnsi" w:cstheme="minorBidi"/>
            <w:noProof/>
            <w:sz w:val="22"/>
            <w:lang w:eastAsia="en-AU" w:bidi="ar-SA"/>
          </w:rPr>
          <w:tab/>
        </w:r>
        <w:r w:rsidRPr="0049117F">
          <w:rPr>
            <w:rStyle w:val="Hyperlink"/>
            <w:noProof/>
          </w:rPr>
          <w:t>Pooled effect sizes for indicated psychological intervention when limiting the scope of studies to those using an intention-to-treat approach</w:t>
        </w:r>
        <w:r>
          <w:rPr>
            <w:noProof/>
            <w:webHidden/>
          </w:rPr>
          <w:tab/>
        </w:r>
        <w:r>
          <w:rPr>
            <w:noProof/>
            <w:webHidden/>
          </w:rPr>
          <w:fldChar w:fldCharType="begin"/>
        </w:r>
        <w:r>
          <w:rPr>
            <w:noProof/>
            <w:webHidden/>
          </w:rPr>
          <w:instrText xml:space="preserve"> PAGEREF _Toc452066474 \h </w:instrText>
        </w:r>
        <w:r>
          <w:rPr>
            <w:noProof/>
            <w:webHidden/>
          </w:rPr>
        </w:r>
        <w:r>
          <w:rPr>
            <w:noProof/>
            <w:webHidden/>
          </w:rPr>
          <w:fldChar w:fldCharType="separate"/>
        </w:r>
        <w:r>
          <w:rPr>
            <w:noProof/>
            <w:webHidden/>
          </w:rPr>
          <w:t>72</w:t>
        </w:r>
        <w:r>
          <w:rPr>
            <w:noProof/>
            <w:webHidden/>
          </w:rPr>
          <w:fldChar w:fldCharType="end"/>
        </w:r>
      </w:hyperlink>
    </w:p>
    <w:p w:rsidR="00415BFD" w:rsidRDefault="00415BFD" w:rsidP="001B548A">
      <w:pPr>
        <w:spacing w:after="60"/>
        <w:ind w:left="879" w:hanging="879"/>
      </w:pPr>
      <w:r>
        <w:fldChar w:fldCharType="end"/>
      </w:r>
    </w:p>
    <w:p w:rsidR="00415BFD" w:rsidRDefault="00415BFD" w:rsidP="00150A36"/>
    <w:p w:rsidR="00415BFD" w:rsidRDefault="00415BFD">
      <w:pPr>
        <w:spacing w:line="240" w:lineRule="auto"/>
        <w:jc w:val="left"/>
      </w:pPr>
      <w:r>
        <w:br w:type="page"/>
      </w:r>
    </w:p>
    <w:p w:rsidR="00415BFD" w:rsidRDefault="00415BFD" w:rsidP="00B54903">
      <w:pPr>
        <w:pStyle w:val="Heading1"/>
      </w:pPr>
      <w:bookmarkStart w:id="3" w:name="_Ref450750828"/>
      <w:bookmarkStart w:id="4" w:name="_Toc452066382"/>
      <w:r>
        <w:lastRenderedPageBreak/>
        <w:t>Broad overview of the decision analytic model</w:t>
      </w:r>
      <w:bookmarkEnd w:id="3"/>
      <w:bookmarkEnd w:id="4"/>
    </w:p>
    <w:p w:rsidR="00415BFD" w:rsidRDefault="00415BFD" w:rsidP="00B54903">
      <w:pPr>
        <w:pStyle w:val="Heading3"/>
      </w:pPr>
      <w:bookmarkStart w:id="5" w:name="_Toc452066383"/>
      <w:r>
        <w:t>Overview</w:t>
      </w:r>
      <w:bookmarkEnd w:id="5"/>
    </w:p>
    <w:p w:rsidR="00415BFD" w:rsidRDefault="00415BFD" w:rsidP="007B6DD6">
      <w:r>
        <w:t>This document seeks to supplement the methods presented in the manuscript entitled, ‘</w:t>
      </w:r>
      <w:r w:rsidRPr="00DC255D">
        <w:t>The population cost-effectiveness of delivering universal and indicated school-based interventions to prevent the onset of major depression among youth in Australia</w:t>
      </w:r>
      <w:r>
        <w:t>’. In this economic evaluation study, we</w:t>
      </w:r>
      <w:r w:rsidRPr="00DC255D">
        <w:t xml:space="preserve"> developed a decision-analytic model to calculate the costs and benefits of implementing </w:t>
      </w:r>
      <w:r>
        <w:t xml:space="preserve">several </w:t>
      </w:r>
      <w:r w:rsidRPr="00DC255D">
        <w:t xml:space="preserve">interventions </w:t>
      </w:r>
      <w:r>
        <w:t>to prevent depression in youth, aged 11-17 years old, in the Australian context. The various sections in this document are as follows:</w:t>
      </w:r>
    </w:p>
    <w:p w:rsidR="00415BFD" w:rsidRDefault="00415BFD" w:rsidP="007B6DD6"/>
    <w:p w:rsidR="00415BFD" w:rsidRDefault="00415BFD" w:rsidP="00415BFD">
      <w:pPr>
        <w:pStyle w:val="ListParagraph"/>
        <w:numPr>
          <w:ilvl w:val="0"/>
          <w:numId w:val="28"/>
        </w:numPr>
        <w:spacing w:after="120"/>
        <w:ind w:left="714" w:hanging="357"/>
      </w:pPr>
      <w:r>
        <w:t xml:space="preserve">Section </w:t>
      </w:r>
      <w:r>
        <w:fldChar w:fldCharType="begin"/>
      </w:r>
      <w:r>
        <w:instrText xml:space="preserve"> REF _Ref450750828 \n \h </w:instrText>
      </w:r>
      <w:r>
        <w:fldChar w:fldCharType="separate"/>
      </w:r>
      <w:r>
        <w:t>1</w:t>
      </w:r>
      <w:r>
        <w:fldChar w:fldCharType="end"/>
      </w:r>
      <w:r>
        <w:t xml:space="preserve"> outlines: the approach used to conduct the decision analytic model, the choice of intervention pathways, and the rationale for using various data sources in the model;</w:t>
      </w:r>
    </w:p>
    <w:p w:rsidR="00415BFD" w:rsidRDefault="00415BFD" w:rsidP="00415BFD">
      <w:pPr>
        <w:pStyle w:val="ListParagraph"/>
        <w:numPr>
          <w:ilvl w:val="0"/>
          <w:numId w:val="28"/>
        </w:numPr>
        <w:spacing w:after="120"/>
        <w:ind w:left="714" w:hanging="357"/>
      </w:pPr>
      <w:r>
        <w:t xml:space="preserve">Section </w:t>
      </w:r>
      <w:r>
        <w:fldChar w:fldCharType="begin"/>
      </w:r>
      <w:r>
        <w:instrText xml:space="preserve"> REF _Ref450750833 \n \h </w:instrText>
      </w:r>
      <w:r>
        <w:fldChar w:fldCharType="separate"/>
      </w:r>
      <w:r>
        <w:t>2</w:t>
      </w:r>
      <w:r>
        <w:fldChar w:fldCharType="end"/>
      </w:r>
      <w:r>
        <w:t xml:space="preserve"> provides a detailed description of the meta-analysis of intervention effect sizes;</w:t>
      </w:r>
    </w:p>
    <w:p w:rsidR="00415BFD" w:rsidRDefault="00415BFD" w:rsidP="00415BFD">
      <w:pPr>
        <w:pStyle w:val="ListParagraph"/>
        <w:numPr>
          <w:ilvl w:val="0"/>
          <w:numId w:val="28"/>
        </w:numPr>
        <w:spacing w:after="120"/>
        <w:ind w:left="714" w:hanging="357"/>
      </w:pPr>
      <w:r>
        <w:t xml:space="preserve">Section </w:t>
      </w:r>
      <w:r>
        <w:fldChar w:fldCharType="begin"/>
      </w:r>
      <w:r>
        <w:instrText xml:space="preserve"> REF _Ref450750844 \n \h </w:instrText>
      </w:r>
      <w:r>
        <w:fldChar w:fldCharType="separate"/>
      </w:r>
      <w:r>
        <w:t>3</w:t>
      </w:r>
      <w:r>
        <w:fldChar w:fldCharType="end"/>
      </w:r>
      <w:r>
        <w:t xml:space="preserve"> outlines the process used to calculate the eligible population when implementing intervention pathways in the Australian context;</w:t>
      </w:r>
    </w:p>
    <w:p w:rsidR="00415BFD" w:rsidRDefault="00415BFD" w:rsidP="00415BFD">
      <w:pPr>
        <w:pStyle w:val="ListParagraph"/>
        <w:numPr>
          <w:ilvl w:val="0"/>
          <w:numId w:val="28"/>
        </w:numPr>
        <w:spacing w:after="120"/>
        <w:ind w:left="714" w:hanging="357"/>
      </w:pPr>
      <w:r>
        <w:t xml:space="preserve">Section </w:t>
      </w:r>
      <w:r>
        <w:fldChar w:fldCharType="begin"/>
      </w:r>
      <w:r>
        <w:instrText xml:space="preserve"> REF _Ref450750855 \n \h </w:instrText>
      </w:r>
      <w:r>
        <w:fldChar w:fldCharType="separate"/>
      </w:r>
      <w:r>
        <w:t>4</w:t>
      </w:r>
      <w:r>
        <w:fldChar w:fldCharType="end"/>
      </w:r>
      <w:r>
        <w:t xml:space="preserve"> describes the methods and data used to model health benefits;</w:t>
      </w:r>
    </w:p>
    <w:p w:rsidR="00415BFD" w:rsidRDefault="00415BFD" w:rsidP="00415BFD">
      <w:pPr>
        <w:pStyle w:val="ListParagraph"/>
        <w:numPr>
          <w:ilvl w:val="0"/>
          <w:numId w:val="28"/>
        </w:numPr>
        <w:spacing w:after="120"/>
        <w:ind w:left="714" w:hanging="357"/>
      </w:pPr>
      <w:r>
        <w:t xml:space="preserve">Section </w:t>
      </w:r>
      <w:r>
        <w:fldChar w:fldCharType="begin"/>
      </w:r>
      <w:r>
        <w:instrText xml:space="preserve"> REF _Ref450750868 \n \h </w:instrText>
      </w:r>
      <w:r>
        <w:fldChar w:fldCharType="separate"/>
      </w:r>
      <w:r>
        <w:t>5</w:t>
      </w:r>
      <w:r>
        <w:fldChar w:fldCharType="end"/>
      </w:r>
      <w:r>
        <w:t xml:space="preserve"> describes the methods and data used to conduct the cost analysis of intervention pathways; and</w:t>
      </w:r>
    </w:p>
    <w:p w:rsidR="00415BFD" w:rsidRDefault="00415BFD" w:rsidP="00415BFD">
      <w:pPr>
        <w:pStyle w:val="ListParagraph"/>
        <w:numPr>
          <w:ilvl w:val="0"/>
          <w:numId w:val="28"/>
        </w:numPr>
        <w:spacing w:after="120"/>
        <w:ind w:left="714" w:hanging="357"/>
      </w:pPr>
      <w:r>
        <w:t xml:space="preserve">Section </w:t>
      </w:r>
      <w:r>
        <w:fldChar w:fldCharType="begin"/>
      </w:r>
      <w:r>
        <w:instrText xml:space="preserve"> REF _Ref450750877 \n \h </w:instrText>
      </w:r>
      <w:r>
        <w:fldChar w:fldCharType="separate"/>
      </w:r>
      <w:r>
        <w:t>6</w:t>
      </w:r>
      <w:r>
        <w:fldChar w:fldCharType="end"/>
      </w:r>
      <w:r>
        <w:t xml:space="preserve"> describes the method</w:t>
      </w:r>
      <w:permStart w:id="1661627298" w:edGrp="everyone"/>
      <w:permEnd w:id="1661627298"/>
      <w:r>
        <w:t>s and data used to conduct univariate sensitivity analyses described in the main manuscript.</w:t>
      </w:r>
    </w:p>
    <w:p w:rsidR="00415BFD" w:rsidRDefault="00415BFD" w:rsidP="007B6DD6"/>
    <w:p w:rsidR="00415BFD" w:rsidRDefault="00415BFD" w:rsidP="00D41C95">
      <w:pPr>
        <w:pStyle w:val="Heading3"/>
      </w:pPr>
      <w:bookmarkStart w:id="6" w:name="_Ref451331979"/>
      <w:bookmarkStart w:id="7" w:name="_Ref451332809"/>
      <w:bookmarkStart w:id="8" w:name="_Ref451338590"/>
      <w:bookmarkStart w:id="9" w:name="_Ref451339891"/>
      <w:bookmarkStart w:id="10" w:name="_Toc452066384"/>
      <w:r>
        <w:t>Analytic scope of the model</w:t>
      </w:r>
      <w:bookmarkEnd w:id="6"/>
      <w:bookmarkEnd w:id="7"/>
      <w:bookmarkEnd w:id="8"/>
      <w:bookmarkEnd w:id="9"/>
      <w:bookmarkEnd w:id="10"/>
    </w:p>
    <w:p w:rsidR="00415BFD" w:rsidRDefault="00415BFD" w:rsidP="00EC5B5A">
      <w:r>
        <w:t xml:space="preserve">The original research question guiding the development of our decision-analytic model was, </w:t>
      </w:r>
    </w:p>
    <w:p w:rsidR="00415BFD" w:rsidRDefault="00415BFD" w:rsidP="00EC5B5A"/>
    <w:p w:rsidR="00415BFD" w:rsidRDefault="00415BFD" w:rsidP="004077A2">
      <w:pPr>
        <w:pStyle w:val="Quotations"/>
      </w:pPr>
      <w:r>
        <w:t xml:space="preserve">‘What is the comparative cost-effectiveness (i.e., value for money) of different interventions for the prevention of depression in Australian youth aged 5-17 years?’ </w:t>
      </w:r>
    </w:p>
    <w:p w:rsidR="00415BFD" w:rsidRDefault="00415BFD" w:rsidP="00EC5B5A"/>
    <w:p w:rsidR="00415BFD" w:rsidRDefault="00415BFD" w:rsidP="00EC5B5A">
      <w:r>
        <w:t xml:space="preserve">A search of the literature was unable to find a comprehensive randomised control trial (RCT) evaluating the cost-effectiveness of multiple prevention interventions targeting youth in the Australian context. In the absence of a definitive RCT study by which to conduct an accompanying economic evaluation (i.e., trial-based economic evaluation), we developed a decision-analytic model that used, ‘mathematical relationships to define a series of possible consequences that would flow from a set of alternative options being evaluated’ </w:t>
      </w:r>
      <w:r>
        <w:rPr>
          <w:noProof/>
        </w:rPr>
        <w:t>[1]</w:t>
      </w:r>
      <w:r>
        <w:t xml:space="preserve">. The decision-analytic model that we developed would apply a systematic approach to decision making under uncertainty; such that it would account for variability and uncertainty associated with accompanying policy decisions </w:t>
      </w:r>
      <w:r>
        <w:rPr>
          <w:noProof/>
        </w:rPr>
        <w:t>[1]</w:t>
      </w:r>
      <w:r>
        <w:t>.</w:t>
      </w:r>
    </w:p>
    <w:p w:rsidR="00415BFD" w:rsidRDefault="00415BFD" w:rsidP="00EC5B5A"/>
    <w:p w:rsidR="00415BFD" w:rsidRDefault="00415BFD" w:rsidP="007B6DD6">
      <w:pPr>
        <w:rPr>
          <w:noProof/>
        </w:rPr>
      </w:pPr>
      <w:r>
        <w:lastRenderedPageBreak/>
        <w:t xml:space="preserve">The starting point for the analysis was to identify all evidence-based interventions for the prevention of depression in youth (aged between 5-17 years) that are: (1) suitable for implementation in the Australian context; and (2) have strong evidence of effectiveness. For the purposes of the decision-analytic model, we sought to use the strongest level of evidence designated by the Australian National Health and Medical Research Council (NHMRC) – i.e., systematic reviews of randomised control trials </w:t>
      </w:r>
      <w:r>
        <w:rPr>
          <w:noProof/>
        </w:rPr>
        <w:t>[2]</w:t>
      </w:r>
      <w:r>
        <w:t xml:space="preserve">. Briefly, a meta-review was conducted by </w:t>
      </w:r>
      <w:r>
        <w:rPr>
          <w:noProof/>
        </w:rPr>
        <w:t>Stockings et al. [3]</w:t>
      </w:r>
      <w:r>
        <w:t xml:space="preserve"> </w:t>
      </w:r>
      <w:r>
        <w:rPr>
          <w:noProof/>
        </w:rPr>
        <w:t>which identified all relevant RCT studies on the prevention of depression in youth that have been identified by previous systematic reviews of the literature (including a Cochrane systematic review by Merry et al. [4]). From the meta-review, we identified several intervention types that were suitable for implementation in the Australian context and had multiple RCTs that could be combined in a meta-analysis. These included:</w:t>
      </w:r>
      <w:r w:rsidRPr="000C2686">
        <w:rPr>
          <w:noProof/>
        </w:rPr>
        <w:t xml:space="preserve"> (1) universal prevention involving group-based psychological interventions delivered to all </w:t>
      </w:r>
      <w:r>
        <w:rPr>
          <w:noProof/>
        </w:rPr>
        <w:t xml:space="preserve">participating </w:t>
      </w:r>
      <w:r w:rsidRPr="000C2686">
        <w:rPr>
          <w:noProof/>
        </w:rPr>
        <w:t>school students; (2) indicated prevention involving group-based psychological interventions delivered to students with subthreshold depression; and (3) indicated prevention involving self-help bibliotherapy delivered to students with subthreshold depression. Group-based psychological interventions typically involve</w:t>
      </w:r>
      <w:r>
        <w:rPr>
          <w:noProof/>
        </w:rPr>
        <w:t>d</w:t>
      </w:r>
      <w:r w:rsidRPr="000C2686">
        <w:rPr>
          <w:noProof/>
        </w:rPr>
        <w:t>: a teacher or external facilitator; delivering a series of intervention modules based on psychotherapeutic approaches such as CBT; to a group of students in the classroom setting. By contrast, self-help bibliotherapy involve</w:t>
      </w:r>
      <w:r>
        <w:rPr>
          <w:noProof/>
        </w:rPr>
        <w:t>d</w:t>
      </w:r>
      <w:r w:rsidRPr="000C2686">
        <w:rPr>
          <w:noProof/>
        </w:rPr>
        <w:t xml:space="preserve"> students reading a book containing adapted psychotherapeutic modules.</w:t>
      </w:r>
      <w:r>
        <w:rPr>
          <w:noProof/>
        </w:rPr>
        <w:t xml:space="preserve"> </w:t>
      </w:r>
    </w:p>
    <w:p w:rsidR="00415BFD" w:rsidRDefault="00415BFD" w:rsidP="007B6DD6">
      <w:pPr>
        <w:rPr>
          <w:noProof/>
        </w:rPr>
      </w:pPr>
    </w:p>
    <w:p w:rsidR="00415BFD" w:rsidRDefault="00415BFD" w:rsidP="007B6DD6">
      <w:pPr>
        <w:rPr>
          <w:noProof/>
        </w:rPr>
      </w:pPr>
      <w:r>
        <w:rPr>
          <w:noProof/>
        </w:rPr>
        <w:t>Additional studies were found with regards to several selective prevention interventions (e.g., interventions targeting children of parents with a mental illness or interventions targeting children from low socioeconomic backgrounds). However, many of these selective prevention studies were considered too heterogenous to combine in a meta-analysis, or were deemed to have insufficient internal validity (i.e., poor evidence of effectiveness) or external validity (i.e., generalisability to the Australian context).</w:t>
      </w:r>
    </w:p>
    <w:p w:rsidR="00415BFD" w:rsidRDefault="00415BFD" w:rsidP="007B6DD6">
      <w:pPr>
        <w:rPr>
          <w:noProof/>
        </w:rPr>
      </w:pPr>
    </w:p>
    <w:p w:rsidR="00415BFD" w:rsidRDefault="00415BFD" w:rsidP="007B6DD6">
      <w:pPr>
        <w:rPr>
          <w:noProof/>
        </w:rPr>
      </w:pPr>
      <w:r>
        <w:rPr>
          <w:noProof/>
        </w:rPr>
        <w:t>It should be noted that the inclusion criteria for our meta-analysis encompassed RCTs that reported intervention outcomes as a discrete variable denoting the change in the number of incident cases of major depression following intervention. This was regardless of whether the RCT study evaluated these changes using structured clinical interviews (i.e., the gold standard) or were based on the number of people who scored above an established cut-off on a validated symptom screening scale for depression. The inclusion criteria meant that we excluded all RCTs that reported intervention outcomes as a continuous variable – i.e., changes to the mean (and standard deviation) score on a depression symptom rating scale. The reason why we excluded studies that reported outcomes as a mean score on a depression symptom rating scale was due to the methodological difficulties involved with translating these mean scores into a corresponding number of depressive cases in the sample.</w:t>
      </w:r>
    </w:p>
    <w:p w:rsidR="00415BFD" w:rsidRDefault="00415BFD" w:rsidP="007B6DD6">
      <w:pPr>
        <w:rPr>
          <w:noProof/>
        </w:rPr>
      </w:pPr>
    </w:p>
    <w:p w:rsidR="00415BFD" w:rsidRDefault="00415BFD" w:rsidP="007B6DD6">
      <w:pPr>
        <w:rPr>
          <w:noProof/>
        </w:rPr>
      </w:pPr>
      <w:r>
        <w:rPr>
          <w:noProof/>
        </w:rPr>
        <w:t xml:space="preserve">Most interventions identified in the previous meta-review encompassed the age range between 11-17 years. This age range is significant as it was the same age range modelled in the previous economic evaluation study by Mihalopoulos et al. [5] (and from which this cost-effectiveness model is adapted). We conducted a separate meta-analysis to calculate the pooled intervention effect size when limiting the scope of studies to those using an age range of 11-17 years versus an age range of 5-17 years. From </w:t>
      </w:r>
      <w:r>
        <w:rPr>
          <w:noProof/>
        </w:rPr>
        <w:lastRenderedPageBreak/>
        <w:t xml:space="preserve">this, we found that there were negligible differences when restricting the scope of studies to the ages 11-17 years. As such, we chose to meta-analyse intervention effect sizes for all RCT studies including youth aged 5-17 years; while limiting the scope of our model to ages 11-17 years to maintain consistency with the previous model by Mihalopoulos et al. [5]. </w:t>
      </w:r>
    </w:p>
    <w:p w:rsidR="00415BFD" w:rsidRDefault="00415BFD" w:rsidP="007228B2">
      <w:pPr>
        <w:rPr>
          <w:noProof/>
        </w:rPr>
      </w:pPr>
    </w:p>
    <w:p w:rsidR="00415BFD" w:rsidRDefault="00415BFD" w:rsidP="007228B2">
      <w:pPr>
        <w:rPr>
          <w:noProof/>
        </w:rPr>
      </w:pPr>
      <w:r>
        <w:rPr>
          <w:noProof/>
        </w:rPr>
        <w:t xml:space="preserve">Based on the findings outlined above, we refined our original research question to ask, </w:t>
      </w:r>
    </w:p>
    <w:p w:rsidR="00415BFD" w:rsidRDefault="00415BFD" w:rsidP="007228B2">
      <w:pPr>
        <w:rPr>
          <w:noProof/>
        </w:rPr>
      </w:pPr>
    </w:p>
    <w:p w:rsidR="00415BFD" w:rsidRDefault="00415BFD" w:rsidP="007228B2">
      <w:pPr>
        <w:pStyle w:val="Quotations"/>
      </w:pPr>
      <w:r w:rsidRPr="00AF1AB5">
        <w:t xml:space="preserve">‘What is the comparative cost-effectiveness (i.e., value for money) of universal and indicated school-based interventions for the prevention of depression in </w:t>
      </w:r>
      <w:r>
        <w:t xml:space="preserve">Australian </w:t>
      </w:r>
      <w:r w:rsidRPr="00AF1AB5">
        <w:t>youth aged 11-17 years?’</w:t>
      </w:r>
    </w:p>
    <w:p w:rsidR="00415BFD" w:rsidRDefault="00415BFD" w:rsidP="007228B2"/>
    <w:p w:rsidR="00415BFD" w:rsidRDefault="00415BFD" w:rsidP="007228B2">
      <w:r>
        <w:t xml:space="preserve">Most RCT studies identified by the meta-review encompassed preventive interventions that are delivered through a face-to-face modality (e.g., teachers presenting intervention modules didactically in the classroom). There is emerging interest in the use of internet-delivered interventions for the treatment and prevention of depression and other mental disorders (i.e., completing online intervention modules using a computer with access to the internet) </w:t>
      </w:r>
      <w:r>
        <w:rPr>
          <w:noProof/>
        </w:rPr>
        <w:t>[6-8]</w:t>
      </w:r>
      <w:r>
        <w:t xml:space="preserve">. As a secondary research question, we sought to compare the cost-effectiveness between preventive interventions (both universal and indicated) that are delivered through either face-to-face or internet-delivered modalities </w:t>
      </w:r>
    </w:p>
    <w:p w:rsidR="00415BFD" w:rsidRDefault="00415BFD" w:rsidP="007228B2"/>
    <w:p w:rsidR="00415BFD" w:rsidRDefault="00415BFD" w:rsidP="007228B2">
      <w:pPr>
        <w:pStyle w:val="Heading3"/>
      </w:pPr>
      <w:bookmarkStart w:id="11" w:name="_Toc452066385"/>
      <w:r>
        <w:t>Rationale for data sources chosen to model intervention pathways</w:t>
      </w:r>
      <w:bookmarkEnd w:id="11"/>
    </w:p>
    <w:p w:rsidR="00415BFD" w:rsidRDefault="00415BFD" w:rsidP="007228B2">
      <w:r w:rsidRPr="00DC255D">
        <w:t xml:space="preserve">Our baseline analysis modelled intervention pathways using best available information on costs and benefits from a range of data sources for demography, disease epidemiology and burden, health system costs and cost offsets that best describe services in the Australian context. In the absence of Australia-specific information, we used data from intervention trials </w:t>
      </w:r>
      <w:r>
        <w:t xml:space="preserve">(i.e., RCTs on intervention efficacy identified via the previous meta-review) </w:t>
      </w:r>
      <w:r w:rsidRPr="00DC255D">
        <w:t>to inform decision modelling. Assumptions were made to fill data gaps for several model parameters which were tested in subsequent univariate sensitivity analyses.</w:t>
      </w:r>
      <w:r>
        <w:t xml:space="preserve"> </w:t>
      </w:r>
    </w:p>
    <w:p w:rsidR="00415BFD" w:rsidRDefault="00415BFD" w:rsidP="007228B2"/>
    <w:p w:rsidR="00415BFD" w:rsidRDefault="00415BFD" w:rsidP="007228B2">
      <w:r>
        <w:t xml:space="preserve">The structure of the decision-analytic model was based on intervention pathways adapted from the intervention literature (i.e., RCT studies for each broad intervention type identified in the previous meta-review). Our model involved a comparative analysis – i.e., it compared the total benefits and costs that would occur in a scenario where an eligible population cohort undertook the intervention versus a scenario where the same cohort does not undertake the intervention. Modelling intervention pathways encompassed three broad components: (1) determining the eligible population who will participate in an intervention; (2) calculating the total health impacts that occur with (and without) the intervention, by simulating how each eligible cohort transitions between different health states over time; and (3) calculating the accompanying costs and cost offsets that result from the intervention pathway. </w:t>
      </w:r>
    </w:p>
    <w:p w:rsidR="00415BFD" w:rsidRDefault="00415BFD" w:rsidP="007228B2"/>
    <w:p w:rsidR="00415BFD" w:rsidRDefault="00415BFD" w:rsidP="00121086">
      <w:r>
        <w:t xml:space="preserve">We briefly discuss the rationale for choosing different data sources in the model with regards to: the eligible population for each intervention pathway (see </w:t>
      </w:r>
      <w:r>
        <w:fldChar w:fldCharType="begin"/>
      </w:r>
      <w:r>
        <w:instrText xml:space="preserve"> REF _Ref451184122 \r \h </w:instrText>
      </w:r>
      <w:r>
        <w:fldChar w:fldCharType="separate"/>
      </w:r>
      <w:r>
        <w:t>Table 1</w:t>
      </w:r>
      <w:r>
        <w:fldChar w:fldCharType="end"/>
      </w:r>
      <w:r>
        <w:t xml:space="preserve">); modelling health benefits (see </w:t>
      </w:r>
      <w:r>
        <w:fldChar w:fldCharType="begin"/>
      </w:r>
      <w:r>
        <w:instrText xml:space="preserve"> REF _Ref451289365 \r \h </w:instrText>
      </w:r>
      <w:r>
        <w:fldChar w:fldCharType="separate"/>
      </w:r>
      <w:r>
        <w:t>Table 2</w:t>
      </w:r>
      <w:r>
        <w:fldChar w:fldCharType="end"/>
      </w:r>
      <w:r>
        <w:t xml:space="preserve">); costing intervention pathways for universal prevention (see </w:t>
      </w:r>
      <w:r>
        <w:fldChar w:fldCharType="begin"/>
      </w:r>
      <w:r>
        <w:instrText xml:space="preserve"> REF _Ref451289372 \r \h </w:instrText>
      </w:r>
      <w:r>
        <w:fldChar w:fldCharType="separate"/>
      </w:r>
      <w:r>
        <w:t>Table 3</w:t>
      </w:r>
      <w:r>
        <w:fldChar w:fldCharType="end"/>
      </w:r>
      <w:r>
        <w:t xml:space="preserve">); and costing intervention pathways </w:t>
      </w:r>
      <w:r>
        <w:lastRenderedPageBreak/>
        <w:t xml:space="preserve">for indicated prevention (see </w:t>
      </w:r>
      <w:r>
        <w:fldChar w:fldCharType="begin"/>
      </w:r>
      <w:r>
        <w:instrText xml:space="preserve"> REF _Ref451289376 \r \h </w:instrText>
      </w:r>
      <w:r>
        <w:fldChar w:fldCharType="separate"/>
      </w:r>
      <w:r>
        <w:t>Table 4</w:t>
      </w:r>
      <w:r>
        <w:fldChar w:fldCharType="end"/>
      </w:r>
      <w:r>
        <w:t xml:space="preserve">). It should be noted that there were insufficient data to calculate pooled intervention effect sizes for universal and indicated prevention interventions delivered via the internet (see section </w:t>
      </w:r>
      <w:r>
        <w:fldChar w:fldCharType="begin"/>
      </w:r>
      <w:r>
        <w:instrText xml:space="preserve"> REF _Ref451271670 \n \h </w:instrText>
      </w:r>
      <w:r>
        <w:fldChar w:fldCharType="separate"/>
      </w:r>
      <w:r>
        <w:t>2.6</w:t>
      </w:r>
      <w:r>
        <w:fldChar w:fldCharType="end"/>
      </w:r>
      <w:r>
        <w:t xml:space="preserve">). As such, we made a series of assumptions to impute effect sizes which, in turn, relegated this analysis to a separate sensitivity analysis (see section </w:t>
      </w:r>
      <w:r>
        <w:fldChar w:fldCharType="begin"/>
      </w:r>
      <w:r>
        <w:instrText xml:space="preserve"> REF _Ref451441911 \n \h </w:instrText>
      </w:r>
      <w:r>
        <w:fldChar w:fldCharType="separate"/>
      </w:r>
      <w:r>
        <w:t>6.10</w:t>
      </w:r>
      <w:r>
        <w:fldChar w:fldCharType="end"/>
      </w:r>
      <w:r>
        <w:t xml:space="preserve">). We have, for convenience, included a description of cost parameters for internet-delivered prevention in </w:t>
      </w:r>
      <w:r>
        <w:fldChar w:fldCharType="begin"/>
      </w:r>
      <w:r>
        <w:instrText xml:space="preserve"> REF _Ref451292768 \n \h </w:instrText>
      </w:r>
      <w:r>
        <w:fldChar w:fldCharType="separate"/>
      </w:r>
      <w:r>
        <w:t>Table 3</w:t>
      </w:r>
      <w:r>
        <w:fldChar w:fldCharType="end"/>
      </w:r>
      <w:r>
        <w:t xml:space="preserve"> and </w:t>
      </w:r>
      <w:r>
        <w:fldChar w:fldCharType="begin"/>
      </w:r>
      <w:r>
        <w:instrText xml:space="preserve"> REF _Ref451355759 \n \h </w:instrText>
      </w:r>
      <w:r>
        <w:fldChar w:fldCharType="separate"/>
      </w:r>
      <w:r>
        <w:t>Table 4</w:t>
      </w:r>
      <w:r>
        <w:fldChar w:fldCharType="end"/>
      </w:r>
      <w:r>
        <w:t>, though we would point out that these were only used in the sensitivity, and not the baseline, analysis.</w:t>
      </w:r>
    </w:p>
    <w:p w:rsidR="00415BFD" w:rsidRDefault="00415BFD" w:rsidP="00121086"/>
    <w:p w:rsidR="00415BFD" w:rsidRDefault="00415BFD" w:rsidP="00121086">
      <w:r>
        <w:t xml:space="preserve">Complete methods and data pertaining to each of these modelling components are discussed in more detail in sections </w:t>
      </w:r>
      <w:r>
        <w:fldChar w:fldCharType="begin"/>
      </w:r>
      <w:r>
        <w:instrText xml:space="preserve"> REF _Ref450770704 \n \h </w:instrText>
      </w:r>
      <w:r>
        <w:fldChar w:fldCharType="separate"/>
      </w:r>
      <w:r>
        <w:t>3</w:t>
      </w:r>
      <w:r>
        <w:fldChar w:fldCharType="end"/>
      </w:r>
      <w:r>
        <w:t xml:space="preserve"> to </w:t>
      </w:r>
      <w:r>
        <w:fldChar w:fldCharType="begin"/>
      </w:r>
      <w:r>
        <w:instrText xml:space="preserve"> REF _Ref450770712 \n \h </w:instrText>
      </w:r>
      <w:r>
        <w:fldChar w:fldCharType="separate"/>
      </w:r>
      <w:r>
        <w:t>5</w:t>
      </w:r>
      <w:r>
        <w:fldChar w:fldCharType="end"/>
      </w:r>
      <w:r>
        <w:t>.</w:t>
      </w:r>
    </w:p>
    <w:p w:rsidR="00415BFD" w:rsidRDefault="00415BFD" w:rsidP="00401395"/>
    <w:p w:rsidR="00415BFD" w:rsidRDefault="00415BFD">
      <w:pPr>
        <w:spacing w:line="240" w:lineRule="auto"/>
        <w:jc w:val="left"/>
      </w:pPr>
      <w:r>
        <w:br w:type="page"/>
      </w:r>
    </w:p>
    <w:p w:rsidR="00415BFD" w:rsidRDefault="00415BFD" w:rsidP="00415BFD">
      <w:pPr>
        <w:pStyle w:val="MyTable"/>
        <w:numPr>
          <w:ilvl w:val="3"/>
          <w:numId w:val="9"/>
        </w:numPr>
      </w:pPr>
      <w:bookmarkStart w:id="12" w:name="_Ref451184122"/>
      <w:bookmarkStart w:id="13" w:name="_Ref451342889"/>
      <w:bookmarkStart w:id="14" w:name="_Ref451343900"/>
      <w:bookmarkStart w:id="15" w:name="_Ref451344041"/>
      <w:bookmarkStart w:id="16" w:name="_Toc452066446"/>
      <w:r>
        <w:lastRenderedPageBreak/>
        <w:t>Rationale and description of various data sources used to determine the eligible population</w:t>
      </w:r>
      <w:bookmarkEnd w:id="12"/>
      <w:r>
        <w:t xml:space="preserve"> </w:t>
      </w:r>
      <w:r>
        <w:rPr>
          <w:rStyle w:val="FootnoteReference"/>
        </w:rPr>
        <w:footnoteReference w:id="1"/>
      </w:r>
      <w:bookmarkEnd w:id="13"/>
      <w:bookmarkEnd w:id="14"/>
      <w:bookmarkEnd w:id="15"/>
      <w:bookmarkEnd w:id="16"/>
    </w:p>
    <w:tbl>
      <w:tblPr>
        <w:tblStyle w:val="LightShading"/>
        <w:tblW w:w="0" w:type="auto"/>
        <w:tblLook w:val="04A0" w:firstRow="1" w:lastRow="0" w:firstColumn="1" w:lastColumn="0" w:noHBand="0" w:noVBand="1"/>
      </w:tblPr>
      <w:tblGrid>
        <w:gridCol w:w="2748"/>
        <w:gridCol w:w="6278"/>
      </w:tblGrid>
      <w:tr w:rsidR="00415BFD" w:rsidTr="00EE7CFF">
        <w:trPr>
          <w:cnfStyle w:val="100000000000" w:firstRow="1" w:lastRow="0" w:firstColumn="0" w:lastColumn="0" w:oddVBand="0" w:evenVBand="0" w:oddHBand="0" w:evenHBand="0" w:firstRowFirstColumn="0" w:firstRowLastColumn="0" w:lastRowFirstColumn="0" w:lastRowLastColumn="0"/>
          <w:cantSplit/>
          <w:trHeight w:val="907"/>
          <w:tblHeader/>
        </w:trPr>
        <w:tc>
          <w:tcPr>
            <w:cnfStyle w:val="001000000000" w:firstRow="0" w:lastRow="0" w:firstColumn="1" w:lastColumn="0" w:oddVBand="0" w:evenVBand="0" w:oddHBand="0" w:evenHBand="0" w:firstRowFirstColumn="0" w:firstRowLastColumn="0" w:lastRowFirstColumn="0" w:lastRowLastColumn="0"/>
            <w:tcW w:w="2802" w:type="dxa"/>
          </w:tcPr>
          <w:p w:rsidR="00415BFD" w:rsidRPr="00A87F5E" w:rsidRDefault="00415BFD" w:rsidP="00B43E7A">
            <w:pPr>
              <w:pStyle w:val="Tabletext"/>
            </w:pPr>
            <w:r w:rsidRPr="00A87F5E">
              <w:t>Input parameter</w:t>
            </w:r>
          </w:p>
          <w:p w:rsidR="00415BFD" w:rsidRPr="002A6198" w:rsidRDefault="00415BFD" w:rsidP="00B43E7A">
            <w:pPr>
              <w:pStyle w:val="Tabletext"/>
              <w:rPr>
                <w:b w:val="0"/>
                <w:i/>
              </w:rPr>
            </w:pPr>
            <w:r w:rsidRPr="002A6198">
              <w:rPr>
                <w:b w:val="0"/>
                <w:i/>
              </w:rPr>
              <w:t>(applicable intervention types)</w:t>
            </w:r>
          </w:p>
        </w:tc>
        <w:tc>
          <w:tcPr>
            <w:tcW w:w="6440" w:type="dxa"/>
          </w:tcPr>
          <w:p w:rsidR="00415BFD" w:rsidRPr="00A87F5E" w:rsidRDefault="00415BFD" w:rsidP="00B43E7A">
            <w:pPr>
              <w:pStyle w:val="Tabletext"/>
              <w:cnfStyle w:val="100000000000" w:firstRow="1" w:lastRow="0" w:firstColumn="0" w:lastColumn="0" w:oddVBand="0" w:evenVBand="0" w:oddHBand="0" w:evenHBand="0" w:firstRowFirstColumn="0" w:firstRowLastColumn="0" w:lastRowFirstColumn="0" w:lastRowLastColumn="0"/>
            </w:pPr>
            <w:r w:rsidRPr="00A87F5E">
              <w:t>Data source and rationale</w:t>
            </w:r>
          </w:p>
        </w:tc>
      </w:tr>
      <w:tr w:rsidR="00415BFD" w:rsidTr="007E2E05">
        <w:trPr>
          <w:cnfStyle w:val="000000100000" w:firstRow="0" w:lastRow="0" w:firstColumn="0" w:lastColumn="0" w:oddVBand="0" w:evenVBand="0" w:oddHBand="1" w:evenHBand="0" w:firstRowFirstColumn="0" w:firstRowLastColumn="0" w:lastRowFirstColumn="0" w:lastRowLastColumn="0"/>
          <w:cantSplit/>
          <w:trHeight w:val="907"/>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B43E7A">
            <w:pPr>
              <w:pStyle w:val="Tabletext"/>
              <w:rPr>
                <w:b w:val="0"/>
              </w:rPr>
            </w:pPr>
            <w:r>
              <w:rPr>
                <w:b w:val="0"/>
              </w:rPr>
              <w:t>2013 Australian population</w:t>
            </w:r>
          </w:p>
          <w:p w:rsidR="00415BFD" w:rsidRPr="002A6198" w:rsidRDefault="00415BFD" w:rsidP="002A6198">
            <w:pPr>
              <w:pStyle w:val="Tabletext"/>
              <w:rPr>
                <w:b w:val="0"/>
                <w:i/>
              </w:rPr>
            </w:pPr>
            <w:r w:rsidRPr="002A6198">
              <w:rPr>
                <w:b w:val="0"/>
                <w:i/>
              </w:rPr>
              <w:t>(</w:t>
            </w:r>
            <w:r>
              <w:rPr>
                <w:b w:val="0"/>
                <w:i/>
              </w:rPr>
              <w:t xml:space="preserve">both </w:t>
            </w:r>
            <w:r w:rsidRPr="002A6198">
              <w:rPr>
                <w:b w:val="0"/>
                <w:i/>
              </w:rPr>
              <w:t>universal and indicated)</w:t>
            </w:r>
          </w:p>
        </w:tc>
        <w:tc>
          <w:tcPr>
            <w:tcW w:w="6440" w:type="dxa"/>
          </w:tcPr>
          <w:p w:rsidR="00415BFD" w:rsidRPr="00825107" w:rsidRDefault="00415BFD" w:rsidP="00DE649A">
            <w:pPr>
              <w:pStyle w:val="Tabletext"/>
              <w:jc w:val="both"/>
              <w:cnfStyle w:val="000000100000" w:firstRow="0" w:lastRow="0" w:firstColumn="0" w:lastColumn="0" w:oddVBand="0" w:evenVBand="0" w:oddHBand="1" w:evenHBand="0" w:firstRowFirstColumn="0" w:firstRowLastColumn="0" w:lastRowFirstColumn="0" w:lastRowLastColumn="0"/>
            </w:pPr>
            <w:r>
              <w:t xml:space="preserve">The starting population for our model was the 2013 Australian population based on demographic data from the Australian Bureau of Statistics </w:t>
            </w:r>
            <w:r>
              <w:rPr>
                <w:noProof/>
              </w:rPr>
              <w:t>[9]</w:t>
            </w:r>
            <w:r>
              <w:t xml:space="preserve">. Population data (by age and sex) are presented in </w:t>
            </w:r>
            <w:r>
              <w:fldChar w:fldCharType="begin"/>
            </w:r>
            <w:r>
              <w:instrText xml:space="preserve"> REF _Ref432840991 \n \h </w:instrText>
            </w:r>
            <w:r>
              <w:fldChar w:fldCharType="separate"/>
            </w:r>
            <w:r>
              <w:t>Table 7</w:t>
            </w:r>
            <w:r>
              <w:fldChar w:fldCharType="end"/>
            </w:r>
            <w:r>
              <w:t xml:space="preserve"> for universal prevention and </w:t>
            </w:r>
            <w:r>
              <w:fldChar w:fldCharType="begin"/>
            </w:r>
            <w:r>
              <w:instrText xml:space="preserve"> REF _Ref432843847 \n \h </w:instrText>
            </w:r>
            <w:r>
              <w:fldChar w:fldCharType="separate"/>
            </w:r>
            <w:r>
              <w:t>Table 10</w:t>
            </w:r>
            <w:r>
              <w:fldChar w:fldCharType="end"/>
            </w:r>
            <w:r>
              <w:t xml:space="preserve"> for indicated prevention.</w:t>
            </w:r>
          </w:p>
        </w:tc>
      </w:tr>
      <w:tr w:rsidR="00415BFD" w:rsidTr="005162C3">
        <w:trPr>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B43E7A">
            <w:pPr>
              <w:pStyle w:val="Tabletext"/>
              <w:rPr>
                <w:b w:val="0"/>
              </w:rPr>
            </w:pPr>
            <w:r>
              <w:rPr>
                <w:b w:val="0"/>
              </w:rPr>
              <w:t>% of Australian schools that participate in the intervention</w:t>
            </w:r>
          </w:p>
          <w:p w:rsidR="00415BFD" w:rsidRPr="002A6198" w:rsidRDefault="00415BFD" w:rsidP="00B43E7A">
            <w:pPr>
              <w:pStyle w:val="Tabletext"/>
              <w:rPr>
                <w:b w:val="0"/>
                <w:i/>
              </w:rPr>
            </w:pPr>
            <w:r w:rsidRPr="002A6198">
              <w:rPr>
                <w:b w:val="0"/>
                <w:i/>
              </w:rPr>
              <w:t>(</w:t>
            </w:r>
            <w:r>
              <w:rPr>
                <w:b w:val="0"/>
                <w:i/>
              </w:rPr>
              <w:t xml:space="preserve">both </w:t>
            </w:r>
            <w:r w:rsidRPr="002A6198">
              <w:rPr>
                <w:b w:val="0"/>
                <w:i/>
              </w:rPr>
              <w:t>universal and indicated)</w:t>
            </w:r>
          </w:p>
        </w:tc>
        <w:tc>
          <w:tcPr>
            <w:tcW w:w="6440" w:type="dxa"/>
          </w:tcPr>
          <w:p w:rsidR="00415BFD" w:rsidRDefault="00415BFD" w:rsidP="00D95ABD">
            <w:pPr>
              <w:pStyle w:val="Tabletext"/>
              <w:jc w:val="both"/>
              <w:cnfStyle w:val="000000000000" w:firstRow="0" w:lastRow="0" w:firstColumn="0" w:lastColumn="0" w:oddVBand="0" w:evenVBand="0" w:oddHBand="0" w:evenHBand="0" w:firstRowFirstColumn="0" w:firstRowLastColumn="0" w:lastRowFirstColumn="0" w:lastRowLastColumn="0"/>
            </w:pPr>
            <w:r>
              <w:t xml:space="preserve">Obtaining a reliable estimate on the likely participation rate among Australian schools is problematic (see section </w:t>
            </w:r>
            <w:r>
              <w:fldChar w:fldCharType="begin"/>
            </w:r>
            <w:r>
              <w:instrText xml:space="preserve"> REF _Ref450772294 \n \h  \* MERGEFORMAT </w:instrText>
            </w:r>
            <w:r>
              <w:fldChar w:fldCharType="separate"/>
            </w:r>
            <w:r>
              <w:t>3.2</w:t>
            </w:r>
            <w:r>
              <w:fldChar w:fldCharType="end"/>
            </w:r>
            <w:r>
              <w:t>). We were unable to find a reliable data estimate that could be used to accurately predict the number of schools that would participate in a universal and/or indicated psychological prevention intervention if it were to be scaled up nationally. The true coverage rate is dependent on how successful the nationwide implementation of these programs would be (which is a question beyond the scope of our model).</w:t>
            </w:r>
          </w:p>
          <w:p w:rsidR="00415BFD" w:rsidRDefault="00415BFD" w:rsidP="00D95ABD">
            <w:pPr>
              <w:pStyle w:val="Tabletext"/>
              <w:jc w:val="both"/>
              <w:cnfStyle w:val="000000000000" w:firstRow="0" w:lastRow="0" w:firstColumn="0" w:lastColumn="0" w:oddVBand="0" w:evenVBand="0" w:oddHBand="0" w:evenHBand="0" w:firstRowFirstColumn="0" w:firstRowLastColumn="0" w:lastRowFirstColumn="0" w:lastRowLastColumn="0"/>
            </w:pPr>
            <w:r>
              <w:t xml:space="preserve">We consequently assumed that all Australian schools (i.e., 100%) would participate in the intervention. We acknowledge that this is practically infeasible. However, assuming 100% school coverage allows us to calculate the potential health benefits and costs that would arise from the full-scale, nationwide implementation of the universal prevention program. Furthermore, changing the value of this parameter will have a negligible effect on the final ICER as both costs and health benefits will be reduced proportionally to each other – e.g., assuming a 50% coverage rate will lead to both a 50% reduction of total DALYs and a 50% reduction in total costs. Likewise, assuming a 25% coverage rate will lead to both a 75% reduction in total DALYs and a 75% reduction in total costs, relative to a 100% coverage rate. </w:t>
            </w:r>
          </w:p>
          <w:p w:rsidR="00415BFD" w:rsidRPr="00825107" w:rsidRDefault="00415BFD" w:rsidP="00957AE9">
            <w:pPr>
              <w:pStyle w:val="Tabletext"/>
              <w:jc w:val="both"/>
              <w:cnfStyle w:val="000000000000" w:firstRow="0" w:lastRow="0" w:firstColumn="0" w:lastColumn="0" w:oddVBand="0" w:evenVBand="0" w:oddHBand="0" w:evenHBand="0" w:firstRowFirstColumn="0" w:firstRowLastColumn="0" w:lastRowFirstColumn="0" w:lastRowLastColumn="0"/>
            </w:pPr>
            <w:r>
              <w:t xml:space="preserve">It follows that using a baseline of 100% gives us the option to calculate the total benefits and costs that would occur at any coverage rate less than 100%. All you have to do is multiply the desired coverage rate (e.g., 50%) by the total DALYs and total costs calculated in the baseline model assuming 100% coverage. In any case, the final ICER will remain approximately the same. </w:t>
            </w:r>
          </w:p>
        </w:tc>
      </w:tr>
      <w:tr w:rsidR="00415BFD" w:rsidTr="005162C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B43E7A">
            <w:pPr>
              <w:pStyle w:val="Tabletext"/>
              <w:rPr>
                <w:b w:val="0"/>
              </w:rPr>
            </w:pPr>
            <w:r>
              <w:rPr>
                <w:b w:val="0"/>
              </w:rPr>
              <w:t>Screening for students with elevated depressive symptoms</w:t>
            </w:r>
          </w:p>
          <w:p w:rsidR="00415BFD" w:rsidRPr="00AD4E50" w:rsidRDefault="00415BFD" w:rsidP="00B43E7A">
            <w:pPr>
              <w:pStyle w:val="Tabletext"/>
              <w:rPr>
                <w:b w:val="0"/>
                <w:i/>
              </w:rPr>
            </w:pPr>
            <w:r w:rsidRPr="00AD4E50">
              <w:rPr>
                <w:b w:val="0"/>
                <w:i/>
              </w:rPr>
              <w:t>(indicated only)</w:t>
            </w:r>
          </w:p>
        </w:tc>
        <w:tc>
          <w:tcPr>
            <w:tcW w:w="6440" w:type="dxa"/>
          </w:tcPr>
          <w:p w:rsidR="00415BFD" w:rsidRDefault="00415BFD" w:rsidP="00D95ABD">
            <w:pPr>
              <w:pStyle w:val="Tabletext"/>
              <w:jc w:val="both"/>
              <w:cnfStyle w:val="000000100000" w:firstRow="0" w:lastRow="0" w:firstColumn="0" w:lastColumn="0" w:oddVBand="0" w:evenVBand="0" w:oddHBand="1" w:evenHBand="0" w:firstRowFirstColumn="0" w:firstRowLastColumn="0" w:lastRowFirstColumn="0" w:lastRowLastColumn="0"/>
            </w:pPr>
            <w:r>
              <w:t>Identifying the eligible population for indicated prevention involves screening students to identify those who have elevated depressive symptoms but do not have a diagnosis of major depression.</w:t>
            </w:r>
          </w:p>
          <w:p w:rsidR="00415BFD" w:rsidRPr="00825107" w:rsidRDefault="00415BFD" w:rsidP="00DE649A">
            <w:pPr>
              <w:pStyle w:val="Tabletext"/>
              <w:jc w:val="both"/>
              <w:cnfStyle w:val="000000100000" w:firstRow="0" w:lastRow="0" w:firstColumn="0" w:lastColumn="0" w:oddVBand="0" w:evenVBand="0" w:oddHBand="1" w:evenHBand="0" w:firstRowFirstColumn="0" w:firstRowLastColumn="0" w:lastRowFirstColumn="0" w:lastRowLastColumn="0"/>
            </w:pPr>
            <w:r>
              <w:t xml:space="preserve">The best nationally representative data source on the proportion of students who have elevated depressive symptoms (calculated using the CES-D depression rating symptom scale) was the Child and Adolescent component of the 1997 National Survey of Mental Health and Wellbeing (NSMHWB) </w:t>
            </w:r>
            <w:r>
              <w:rPr>
                <w:noProof/>
              </w:rPr>
              <w:t>[10]</w:t>
            </w:r>
            <w:r>
              <w:t xml:space="preserve">. This population representative survey conducted CES-D screening among youth aged 13-17 years to identify those who have clinically significant depressive symptoms (i.e., score above a cut-off of 16). Data for this parameter are presented in </w:t>
            </w:r>
            <w:r>
              <w:fldChar w:fldCharType="begin"/>
            </w:r>
            <w:r>
              <w:instrText xml:space="preserve"> REF _Ref450826036 \n \h </w:instrText>
            </w:r>
            <w:r>
              <w:fldChar w:fldCharType="separate"/>
            </w:r>
            <w:r>
              <w:t>Table 8</w:t>
            </w:r>
            <w:r>
              <w:fldChar w:fldCharType="end"/>
            </w:r>
            <w:r>
              <w:t>.</w:t>
            </w:r>
          </w:p>
        </w:tc>
      </w:tr>
      <w:tr w:rsidR="00415BFD" w:rsidTr="005162C3">
        <w:trPr>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B43E7A">
            <w:pPr>
              <w:pStyle w:val="Tabletext"/>
              <w:rPr>
                <w:b w:val="0"/>
              </w:rPr>
            </w:pPr>
            <w:r>
              <w:rPr>
                <w:b w:val="0"/>
              </w:rPr>
              <w:lastRenderedPageBreak/>
              <w:t>% of students who have elevated depressive symptoms and agree to undergo further diagnostic testing</w:t>
            </w:r>
          </w:p>
          <w:p w:rsidR="00415BFD" w:rsidRDefault="00415BFD" w:rsidP="00B43E7A">
            <w:pPr>
              <w:pStyle w:val="Tabletext"/>
              <w:rPr>
                <w:b w:val="0"/>
              </w:rPr>
            </w:pPr>
            <w:r w:rsidRPr="00AD4E50">
              <w:rPr>
                <w:b w:val="0"/>
                <w:i/>
              </w:rPr>
              <w:t>(indicated only)</w:t>
            </w:r>
          </w:p>
        </w:tc>
        <w:tc>
          <w:tcPr>
            <w:tcW w:w="6440" w:type="dxa"/>
          </w:tcPr>
          <w:p w:rsidR="00415BFD" w:rsidRDefault="00415BFD" w:rsidP="005727D6">
            <w:pPr>
              <w:pStyle w:val="Tabletext"/>
              <w:jc w:val="both"/>
              <w:cnfStyle w:val="000000000000" w:firstRow="0" w:lastRow="0" w:firstColumn="0" w:lastColumn="0" w:oddVBand="0" w:evenVBand="0" w:oddHBand="0" w:evenHBand="0" w:firstRowFirstColumn="0" w:firstRowLastColumn="0" w:lastRowFirstColumn="0" w:lastRowLastColumn="0"/>
            </w:pPr>
            <w:r>
              <w:t xml:space="preserve">Students who are identified as having elevated depressive symptoms need to undertake further diagnostic testing (i.e., a structured clinical interview) to ascertain if their elevated depressive symptoms are due to a diagnosis of major depression (or not). Three RCT studies identified in the previous meta-review of intervention efficacy (included in </w:t>
            </w:r>
            <w:r>
              <w:fldChar w:fldCharType="begin"/>
            </w:r>
            <w:r>
              <w:instrText xml:space="preserve"> REF _Ref432883546 \n \h  \* MERGEFORMAT </w:instrText>
            </w:r>
            <w:r>
              <w:fldChar w:fldCharType="separate"/>
            </w:r>
            <w:r>
              <w:t>Table 6</w:t>
            </w:r>
            <w:r>
              <w:fldChar w:fldCharType="end"/>
            </w:r>
            <w:r>
              <w:t xml:space="preserve">) contained data on the proportion of students who are screened using a depression symptom rating scale and subsequently agree to participate in further diagnostic testing. We meta-analysed data from these studies to calculate the pooled proportion of students who agree to participate in further diagnostic testing. The forest plot for this meta-analysis is shown in </w:t>
            </w:r>
            <w:r>
              <w:fldChar w:fldCharType="begin"/>
            </w:r>
            <w:r>
              <w:instrText xml:space="preserve"> REF _Ref432843127 \n \h </w:instrText>
            </w:r>
            <w:r>
              <w:fldChar w:fldCharType="separate"/>
            </w:r>
            <w:r>
              <w:t>Figure 12</w:t>
            </w:r>
            <w:r>
              <w:fldChar w:fldCharType="end"/>
            </w:r>
          </w:p>
        </w:tc>
      </w:tr>
      <w:tr w:rsidR="00415BFD" w:rsidTr="005162C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B43E7A">
            <w:pPr>
              <w:pStyle w:val="Tabletext"/>
              <w:rPr>
                <w:b w:val="0"/>
              </w:rPr>
            </w:pPr>
            <w:r>
              <w:rPr>
                <w:b w:val="0"/>
              </w:rPr>
              <w:t>Identifying students who have elevated depressive symptoms but do not have a diagnosis of major depressive disorder</w:t>
            </w:r>
          </w:p>
          <w:p w:rsidR="00415BFD" w:rsidRPr="00825107" w:rsidRDefault="00415BFD" w:rsidP="00B43E7A">
            <w:pPr>
              <w:pStyle w:val="Tabletext"/>
              <w:rPr>
                <w:b w:val="0"/>
              </w:rPr>
            </w:pPr>
            <w:r w:rsidRPr="00AD4E50">
              <w:rPr>
                <w:b w:val="0"/>
                <w:i/>
              </w:rPr>
              <w:t>(indicated only)</w:t>
            </w:r>
          </w:p>
        </w:tc>
        <w:tc>
          <w:tcPr>
            <w:tcW w:w="6440" w:type="dxa"/>
          </w:tcPr>
          <w:p w:rsidR="00415BFD" w:rsidRDefault="00415BFD" w:rsidP="00D95ABD">
            <w:pPr>
              <w:pStyle w:val="Tabletext"/>
              <w:jc w:val="both"/>
              <w:cnfStyle w:val="000000100000" w:firstRow="0" w:lastRow="0" w:firstColumn="0" w:lastColumn="0" w:oddVBand="0" w:evenVBand="0" w:oddHBand="1" w:evenHBand="0" w:firstRowFirstColumn="0" w:firstRowLastColumn="0" w:lastRowFirstColumn="0" w:lastRowLastColumn="0"/>
            </w:pPr>
            <w:r>
              <w:t>Of the students who have elevated depressive symptoms and agree to participate in further diagnostic testing, we now calculate what proportion of these have a diagnosis of major depression.</w:t>
            </w:r>
          </w:p>
          <w:p w:rsidR="00415BFD" w:rsidRPr="00825107" w:rsidRDefault="00415BFD" w:rsidP="00A46F1F">
            <w:pPr>
              <w:pStyle w:val="Tabletext"/>
              <w:jc w:val="both"/>
              <w:cnfStyle w:val="000000100000" w:firstRow="0" w:lastRow="0" w:firstColumn="0" w:lastColumn="0" w:oddVBand="0" w:evenVBand="0" w:oddHBand="1" w:evenHBand="0" w:firstRowFirstColumn="0" w:firstRowLastColumn="0" w:lastRowFirstColumn="0" w:lastRowLastColumn="0"/>
            </w:pPr>
            <w:r>
              <w:t xml:space="preserve">There is additional data from the Child and Adolescent component of the 1997 NSMHWB on the proportion of students who score above the CES-D cut-off and also have a diagnosis of major depression. We are interested in calculating the inverse of this – i.e., determining the number of students who have elevated symptoms but have no diagnosis of depression. Students who fit this criteria were classified as having subthreshold depression. Data for this parameter are presented in </w:t>
            </w:r>
            <w:r>
              <w:fldChar w:fldCharType="begin"/>
            </w:r>
            <w:r>
              <w:instrText xml:space="preserve"> REF _Ref432843448 \n \h </w:instrText>
            </w:r>
            <w:r>
              <w:fldChar w:fldCharType="separate"/>
            </w:r>
            <w:r>
              <w:t>Table 9</w:t>
            </w:r>
            <w:r>
              <w:fldChar w:fldCharType="end"/>
            </w:r>
            <w:r>
              <w:t>.</w:t>
            </w:r>
          </w:p>
        </w:tc>
      </w:tr>
      <w:tr w:rsidR="00415BFD" w:rsidTr="005162C3">
        <w:trPr>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B43E7A">
            <w:pPr>
              <w:pStyle w:val="Tabletext"/>
              <w:rPr>
                <w:b w:val="0"/>
                <w:bCs w:val="0"/>
              </w:rPr>
            </w:pPr>
            <w:r>
              <w:rPr>
                <w:b w:val="0"/>
                <w:bCs w:val="0"/>
              </w:rPr>
              <w:t>% of students who agree to participate in the intervention</w:t>
            </w:r>
          </w:p>
          <w:p w:rsidR="00415BFD" w:rsidRPr="003F4509" w:rsidRDefault="00415BFD" w:rsidP="00B43E7A">
            <w:pPr>
              <w:pStyle w:val="Tabletext"/>
              <w:rPr>
                <w:b w:val="0"/>
                <w:i/>
              </w:rPr>
            </w:pPr>
            <w:r w:rsidRPr="003F4509">
              <w:rPr>
                <w:b w:val="0"/>
                <w:bCs w:val="0"/>
                <w:i/>
              </w:rPr>
              <w:t>(both universal and indicated)</w:t>
            </w:r>
          </w:p>
        </w:tc>
        <w:tc>
          <w:tcPr>
            <w:tcW w:w="6440" w:type="dxa"/>
          </w:tcPr>
          <w:p w:rsidR="00415BFD" w:rsidRDefault="00415BFD" w:rsidP="0003759D">
            <w:pPr>
              <w:pStyle w:val="Tabletext"/>
              <w:jc w:val="both"/>
              <w:cnfStyle w:val="000000000000" w:firstRow="0" w:lastRow="0" w:firstColumn="0" w:lastColumn="0" w:oddVBand="0" w:evenVBand="0" w:oddHBand="0" w:evenHBand="0" w:firstRowFirstColumn="0" w:firstRowLastColumn="0" w:lastRowFirstColumn="0" w:lastRowLastColumn="0"/>
            </w:pPr>
            <w:r>
              <w:t xml:space="preserve">In the case of universal prevention, six RCT studies identified in the previous meta-review of intervention efficacy (included in </w:t>
            </w:r>
            <w:r>
              <w:fldChar w:fldCharType="begin"/>
            </w:r>
            <w:r>
              <w:instrText xml:space="preserve"> REF _Ref432884016 \n \h  \* MERGEFORMAT </w:instrText>
            </w:r>
            <w:r>
              <w:fldChar w:fldCharType="separate"/>
            </w:r>
            <w:r>
              <w:t>Table 5</w:t>
            </w:r>
            <w:r>
              <w:fldChar w:fldCharType="end"/>
            </w:r>
            <w:r>
              <w:t xml:space="preserve">) contained data on the proportion of students who obtain parental consent to participate in the universal prevention intervention. We meta-analysed data from these studies to calculate the pooled proportion of students who agree to participate in the universal psychological intervention. The forest plot for this meta-analysis is shown in </w:t>
            </w:r>
            <w:r>
              <w:fldChar w:fldCharType="begin"/>
            </w:r>
            <w:r>
              <w:instrText xml:space="preserve"> REF _Ref450855316 \n \h  \* MERGEFORMAT </w:instrText>
            </w:r>
            <w:r>
              <w:fldChar w:fldCharType="separate"/>
            </w:r>
            <w:r>
              <w:t>Figure 10</w:t>
            </w:r>
            <w:r>
              <w:fldChar w:fldCharType="end"/>
            </w:r>
            <w:r>
              <w:t>.</w:t>
            </w:r>
          </w:p>
          <w:p w:rsidR="00415BFD" w:rsidRPr="00825107" w:rsidRDefault="00415BFD" w:rsidP="008D3924">
            <w:pPr>
              <w:pStyle w:val="Tabletext"/>
              <w:jc w:val="both"/>
              <w:cnfStyle w:val="000000000000" w:firstRow="0" w:lastRow="0" w:firstColumn="0" w:lastColumn="0" w:oddVBand="0" w:evenVBand="0" w:oddHBand="0" w:evenHBand="0" w:firstRowFirstColumn="0" w:firstRowLastColumn="0" w:lastRowFirstColumn="0" w:lastRowLastColumn="0"/>
            </w:pPr>
            <w:r>
              <w:t xml:space="preserve">Likewise, five RCT studies identified in the previous meta-review of intervention efficacy (included in </w:t>
            </w:r>
            <w:r>
              <w:fldChar w:fldCharType="begin"/>
            </w:r>
            <w:r>
              <w:instrText xml:space="preserve"> REF _Ref432883546 \n \h  \* MERGEFORMAT </w:instrText>
            </w:r>
            <w:r>
              <w:fldChar w:fldCharType="separate"/>
            </w:r>
            <w:r>
              <w:t>Table 6</w:t>
            </w:r>
            <w:r>
              <w:fldChar w:fldCharType="end"/>
            </w:r>
            <w:r>
              <w:t xml:space="preserve">) contained data on the proportion of students who are identified as having subthreshold depression (following screening and further diagnostic testing) and subsequently obtain parental consent to participate in the indicated prevention intervention. We meta-analysed data from these studies to calculate the pooled proportion of students who agree to participate in the indicated psychological intervention. The forest plot for this meta-analysis is shown in </w:t>
            </w:r>
            <w:r>
              <w:fldChar w:fldCharType="begin"/>
            </w:r>
            <w:r>
              <w:instrText xml:space="preserve"> REF _Ref432843583 \n \h </w:instrText>
            </w:r>
            <w:r>
              <w:fldChar w:fldCharType="separate"/>
            </w:r>
            <w:r>
              <w:t>Figure 13</w:t>
            </w:r>
            <w:r>
              <w:fldChar w:fldCharType="end"/>
            </w:r>
            <w:r>
              <w:t>.</w:t>
            </w:r>
          </w:p>
        </w:tc>
      </w:tr>
    </w:tbl>
    <w:p w:rsidR="00415BFD" w:rsidRDefault="00415BFD" w:rsidP="00121086"/>
    <w:p w:rsidR="00415BFD" w:rsidRDefault="00415BFD">
      <w:pPr>
        <w:spacing w:line="240" w:lineRule="auto"/>
        <w:jc w:val="left"/>
      </w:pPr>
      <w:r>
        <w:br w:type="page"/>
      </w:r>
    </w:p>
    <w:p w:rsidR="00415BFD" w:rsidRDefault="00415BFD" w:rsidP="00415BFD">
      <w:pPr>
        <w:pStyle w:val="MyTable"/>
        <w:numPr>
          <w:ilvl w:val="3"/>
          <w:numId w:val="9"/>
        </w:numPr>
      </w:pPr>
      <w:bookmarkStart w:id="17" w:name="_Ref451289365"/>
      <w:bookmarkStart w:id="18" w:name="_Ref451438420"/>
      <w:bookmarkStart w:id="19" w:name="_Toc452066447"/>
      <w:r>
        <w:lastRenderedPageBreak/>
        <w:t>Rationale and description of various data sources used to model the health impacts that results from intervention and comparator scenarios</w:t>
      </w:r>
      <w:bookmarkEnd w:id="17"/>
      <w:r>
        <w:t xml:space="preserve"> </w:t>
      </w:r>
      <w:r>
        <w:rPr>
          <w:rStyle w:val="FootnoteReference"/>
        </w:rPr>
        <w:footnoteReference w:id="2"/>
      </w:r>
      <w:bookmarkEnd w:id="18"/>
      <w:bookmarkEnd w:id="19"/>
    </w:p>
    <w:tbl>
      <w:tblPr>
        <w:tblStyle w:val="LightShading"/>
        <w:tblW w:w="0" w:type="auto"/>
        <w:tblLook w:val="04A0" w:firstRow="1" w:lastRow="0" w:firstColumn="1" w:lastColumn="0" w:noHBand="0" w:noVBand="1"/>
      </w:tblPr>
      <w:tblGrid>
        <w:gridCol w:w="2750"/>
        <w:gridCol w:w="6276"/>
      </w:tblGrid>
      <w:tr w:rsidR="00415BFD" w:rsidTr="004C35D4">
        <w:trPr>
          <w:cnfStyle w:val="100000000000" w:firstRow="1" w:lastRow="0" w:firstColumn="0" w:lastColumn="0" w:oddVBand="0" w:evenVBand="0" w:oddHBand="0" w:evenHBand="0" w:firstRowFirstColumn="0" w:firstRowLastColumn="0" w:lastRowFirstColumn="0" w:lastRowLastColumn="0"/>
          <w:cantSplit/>
          <w:trHeight w:val="907"/>
          <w:tblHeader/>
        </w:trPr>
        <w:tc>
          <w:tcPr>
            <w:cnfStyle w:val="001000000000" w:firstRow="0" w:lastRow="0" w:firstColumn="1" w:lastColumn="0" w:oddVBand="0" w:evenVBand="0" w:oddHBand="0" w:evenHBand="0" w:firstRowFirstColumn="0" w:firstRowLastColumn="0" w:lastRowFirstColumn="0" w:lastRowLastColumn="0"/>
            <w:tcW w:w="2802" w:type="dxa"/>
          </w:tcPr>
          <w:p w:rsidR="00415BFD" w:rsidRPr="00A87F5E" w:rsidRDefault="00415BFD" w:rsidP="0082265B">
            <w:pPr>
              <w:pStyle w:val="Tabletext"/>
            </w:pPr>
            <w:r w:rsidRPr="00A87F5E">
              <w:t>Input parameter</w:t>
            </w:r>
          </w:p>
          <w:p w:rsidR="00415BFD" w:rsidRPr="002A6198" w:rsidRDefault="00415BFD" w:rsidP="0082265B">
            <w:pPr>
              <w:pStyle w:val="Tabletext"/>
              <w:rPr>
                <w:b w:val="0"/>
                <w:i/>
              </w:rPr>
            </w:pPr>
            <w:r w:rsidRPr="002A6198">
              <w:rPr>
                <w:b w:val="0"/>
                <w:i/>
              </w:rPr>
              <w:t>(applicable intervention types)</w:t>
            </w:r>
          </w:p>
        </w:tc>
        <w:tc>
          <w:tcPr>
            <w:tcW w:w="6440" w:type="dxa"/>
          </w:tcPr>
          <w:p w:rsidR="00415BFD" w:rsidRPr="00A87F5E" w:rsidRDefault="00415BFD" w:rsidP="0082265B">
            <w:pPr>
              <w:pStyle w:val="Tabletext"/>
              <w:cnfStyle w:val="100000000000" w:firstRow="1" w:lastRow="0" w:firstColumn="0" w:lastColumn="0" w:oddVBand="0" w:evenVBand="0" w:oddHBand="0" w:evenHBand="0" w:firstRowFirstColumn="0" w:firstRowLastColumn="0" w:lastRowFirstColumn="0" w:lastRowLastColumn="0"/>
            </w:pPr>
            <w:r w:rsidRPr="00A87F5E">
              <w:t>Data source and rationale</w:t>
            </w:r>
          </w:p>
        </w:tc>
      </w:tr>
      <w:tr w:rsidR="00415BFD" w:rsidTr="004C35D4">
        <w:trPr>
          <w:cnfStyle w:val="000000100000" w:firstRow="0" w:lastRow="0" w:firstColumn="0" w:lastColumn="0" w:oddVBand="0" w:evenVBand="0" w:oddHBand="1" w:evenHBand="0" w:firstRowFirstColumn="0" w:firstRowLastColumn="0" w:lastRowFirstColumn="0" w:lastRowLastColumn="0"/>
          <w:cantSplit/>
          <w:trHeight w:val="907"/>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82265B">
            <w:pPr>
              <w:pStyle w:val="Tabletext"/>
              <w:rPr>
                <w:b w:val="0"/>
              </w:rPr>
            </w:pPr>
            <w:r>
              <w:rPr>
                <w:b w:val="0"/>
              </w:rPr>
              <w:t>Intervention effect sizes</w:t>
            </w:r>
          </w:p>
          <w:p w:rsidR="00415BFD" w:rsidRPr="005E4F47" w:rsidRDefault="00415BFD" w:rsidP="0082265B">
            <w:pPr>
              <w:pStyle w:val="Tabletext"/>
              <w:rPr>
                <w:b w:val="0"/>
                <w:i/>
              </w:rPr>
            </w:pPr>
            <w:r w:rsidRPr="005E4F47">
              <w:rPr>
                <w:b w:val="0"/>
                <w:i/>
              </w:rPr>
              <w:t>(both universal and indicated)</w:t>
            </w:r>
          </w:p>
        </w:tc>
        <w:tc>
          <w:tcPr>
            <w:tcW w:w="6440" w:type="dxa"/>
          </w:tcPr>
          <w:p w:rsidR="00415BFD" w:rsidRDefault="00415BFD" w:rsidP="0082265B">
            <w:pPr>
              <w:pStyle w:val="Tabletext"/>
              <w:jc w:val="both"/>
              <w:cnfStyle w:val="000000100000" w:firstRow="0" w:lastRow="0" w:firstColumn="0" w:lastColumn="0" w:oddVBand="0" w:evenVBand="0" w:oddHBand="1" w:evenHBand="0" w:firstRowFirstColumn="0" w:firstRowLastColumn="0" w:lastRowFirstColumn="0" w:lastRowLastColumn="0"/>
            </w:pPr>
            <w:r>
              <w:t xml:space="preserve">Information on intervention pathways and intervention efficacy were based on results from the previous meta-review conducted by </w:t>
            </w:r>
            <w:r>
              <w:rPr>
                <w:noProof/>
              </w:rPr>
              <w:t>Stockings et al. [3]</w:t>
            </w:r>
            <w:r>
              <w:t>. We identified three intervention types that were suitable for implementation in the Australian context and had strong evidence of effectiveness – i.e., universal psychological prevention, indicated psychological prevention and indicated bibliotherapy (N.B. all intervention types involve the face-to-face delivery of intervention material in the classroom by a trained facilitator). For the purposes of the model, we included RCT studies that assessed intervention outcomes in terms of changes to the discrete number of incident cases (i.e., regardless of whether this was measured through structured clinical interviews or cut-offs on a depression symptom rating scale). We excluded studies that measured intervention outcomes in terms of continuous changes in the mean score on a depression symptom rating scale.</w:t>
            </w:r>
          </w:p>
          <w:p w:rsidR="00415BFD" w:rsidRDefault="00415BFD" w:rsidP="0082265B">
            <w:pPr>
              <w:pStyle w:val="Tabletext"/>
              <w:jc w:val="both"/>
              <w:cnfStyle w:val="000000100000" w:firstRow="0" w:lastRow="0" w:firstColumn="0" w:lastColumn="0" w:oddVBand="0" w:evenVBand="0" w:oddHBand="1" w:evenHBand="0" w:firstRowFirstColumn="0" w:firstRowLastColumn="0" w:lastRowFirstColumn="0" w:lastRowLastColumn="0"/>
            </w:pPr>
            <w:r>
              <w:t xml:space="preserve">The majority of studies reported intervention outcomes at post-intervention and at different follow-up points. We meta-analysed all available RCT studies to calculate pooled intervention effect sizes for each intervention type across four consecutive follow-up periods (i.e., post-intervention, 6-month follow-up, 1-year follow-up and 2-year follow-up). The studies that met inclusion criteria for our decision-analytic model are listed in: </w:t>
            </w:r>
            <w:r>
              <w:fldChar w:fldCharType="begin"/>
            </w:r>
            <w:r>
              <w:instrText xml:space="preserve"> REF _Ref432884016 \r \h </w:instrText>
            </w:r>
            <w:r>
              <w:fldChar w:fldCharType="separate"/>
            </w:r>
            <w:r>
              <w:t>Table 5</w:t>
            </w:r>
            <w:r>
              <w:fldChar w:fldCharType="end"/>
            </w:r>
            <w:r>
              <w:t xml:space="preserve"> (for universal prevention); and </w:t>
            </w:r>
            <w:r>
              <w:fldChar w:fldCharType="begin"/>
            </w:r>
            <w:r>
              <w:instrText xml:space="preserve"> REF _Ref432883546 \r \h </w:instrText>
            </w:r>
            <w:r>
              <w:fldChar w:fldCharType="separate"/>
            </w:r>
            <w:r>
              <w:t>Table 6</w:t>
            </w:r>
            <w:r>
              <w:fldChar w:fldCharType="end"/>
            </w:r>
            <w:r>
              <w:t xml:space="preserve"> (for indicated prevention). We have listed all relevant study design characteristics in each table and have made a note of the follow-up points in each study for which we had meta-analysable data on intervention outcomes. The results of each meta-analysis by intervention type and follow-up period are presented in sections </w:t>
            </w:r>
            <w:r>
              <w:fldChar w:fldCharType="begin"/>
            </w:r>
            <w:r>
              <w:instrText xml:space="preserve"> REF _Ref450826576 \n \h </w:instrText>
            </w:r>
            <w:r>
              <w:fldChar w:fldCharType="separate"/>
            </w:r>
            <w:r>
              <w:t>2.3</w:t>
            </w:r>
            <w:r>
              <w:fldChar w:fldCharType="end"/>
            </w:r>
            <w:r>
              <w:t xml:space="preserve"> to </w:t>
            </w:r>
            <w:r>
              <w:fldChar w:fldCharType="begin"/>
            </w:r>
            <w:r>
              <w:instrText xml:space="preserve"> REF _Ref450826642 \n \h </w:instrText>
            </w:r>
            <w:r>
              <w:fldChar w:fldCharType="separate"/>
            </w:r>
            <w:r>
              <w:t>2.5</w:t>
            </w:r>
            <w:r>
              <w:fldChar w:fldCharType="end"/>
            </w:r>
            <w:r>
              <w:t>.</w:t>
            </w:r>
          </w:p>
          <w:p w:rsidR="00415BFD" w:rsidRDefault="00415BFD" w:rsidP="00E67CEC">
            <w:pPr>
              <w:pStyle w:val="Tabletext"/>
              <w:jc w:val="both"/>
              <w:cnfStyle w:val="000000100000" w:firstRow="0" w:lastRow="0" w:firstColumn="0" w:lastColumn="0" w:oddVBand="0" w:evenVBand="0" w:oddHBand="1" w:evenHBand="0" w:firstRowFirstColumn="0" w:firstRowLastColumn="0" w:lastRowFirstColumn="0" w:lastRowLastColumn="0"/>
            </w:pPr>
            <w:r>
              <w:t xml:space="preserve">While conducting the meta-review of intervention efficacy, we found 2 studies examining effect sizes for internet-delivered psychological interventions for the (universal) prevention of depression in youth </w:t>
            </w:r>
            <w:r>
              <w:rPr>
                <w:noProof/>
              </w:rPr>
              <w:t>[11,12]</w:t>
            </w:r>
            <w:r>
              <w:t xml:space="preserve">. These 2 studies were, however, excluded as they did not meet inclusion criteria for measuring intervention outcomes as a discrete variable. Given the paucity of data, we opted to model internet-based prevention interventions in the sensitivity analysis by assuming that intervention effect sizes for internet-based preventive interventions are equal to either 100% or 50% of the total effect size of corresponding face-to-face interventions (see section </w:t>
            </w:r>
            <w:r>
              <w:fldChar w:fldCharType="begin"/>
            </w:r>
            <w:r>
              <w:instrText xml:space="preserve"> REF _Ref451271670 \r \h </w:instrText>
            </w:r>
            <w:r>
              <w:fldChar w:fldCharType="separate"/>
            </w:r>
            <w:r>
              <w:t>2.6</w:t>
            </w:r>
            <w:r>
              <w:fldChar w:fldCharType="end"/>
            </w:r>
            <w:r>
              <w:t>).</w:t>
            </w:r>
          </w:p>
          <w:p w:rsidR="00415BFD" w:rsidRPr="004D5451" w:rsidRDefault="00415BFD" w:rsidP="00E67CEC">
            <w:pPr>
              <w:pStyle w:val="Tabletext"/>
              <w:jc w:val="both"/>
              <w:cnfStyle w:val="000000100000" w:firstRow="0" w:lastRow="0" w:firstColumn="0" w:lastColumn="0" w:oddVBand="0" w:evenVBand="0" w:oddHBand="1" w:evenHBand="0" w:firstRowFirstColumn="0" w:firstRowLastColumn="0" w:lastRowFirstColumn="0" w:lastRowLastColumn="0"/>
            </w:pPr>
            <w:r>
              <w:t>In the baseline models, we used intervention effect sizes that reached the 5% level of significance. Non-significant effect sizes were modelled in a separate sensitivity analysis.</w:t>
            </w:r>
          </w:p>
        </w:tc>
      </w:tr>
      <w:tr w:rsidR="00415BFD" w:rsidTr="002B1271">
        <w:trPr>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82265B">
            <w:pPr>
              <w:pStyle w:val="Tabletext"/>
              <w:rPr>
                <w:b w:val="0"/>
              </w:rPr>
            </w:pPr>
            <w:r>
              <w:rPr>
                <w:b w:val="0"/>
              </w:rPr>
              <w:t>Average duration of a major depressive episode</w:t>
            </w:r>
          </w:p>
          <w:p w:rsidR="00415BFD" w:rsidRPr="005E4F47" w:rsidRDefault="00415BFD" w:rsidP="0082265B">
            <w:pPr>
              <w:pStyle w:val="Tabletext"/>
              <w:rPr>
                <w:b w:val="0"/>
                <w:i/>
              </w:rPr>
            </w:pPr>
            <w:r w:rsidRPr="005E4F47">
              <w:rPr>
                <w:b w:val="0"/>
                <w:i/>
              </w:rPr>
              <w:t>(both universal and indicated)</w:t>
            </w:r>
          </w:p>
        </w:tc>
        <w:tc>
          <w:tcPr>
            <w:tcW w:w="6440" w:type="dxa"/>
          </w:tcPr>
          <w:p w:rsidR="00415BFD" w:rsidRPr="002E065E" w:rsidRDefault="00415BFD" w:rsidP="004436E2">
            <w:pPr>
              <w:pStyle w:val="Tabletext"/>
              <w:jc w:val="both"/>
              <w:cnfStyle w:val="000000000000" w:firstRow="0" w:lastRow="0" w:firstColumn="0" w:lastColumn="0" w:oddVBand="0" w:evenVBand="0" w:oddHBand="0" w:evenHBand="0" w:firstRowFirstColumn="0" w:firstRowLastColumn="0" w:lastRowFirstColumn="0" w:lastRowLastColumn="0"/>
            </w:pPr>
            <w:r>
              <w:t>We assumed an average duration of 29.9 weeks, rather than the average duration of 37.7 weeks which was used in the GBD 2013 study. The rationale for this choice was to be consistent</w:t>
            </w:r>
            <w:r w:rsidRPr="00FA5115">
              <w:t xml:space="preserve"> with previous </w:t>
            </w:r>
            <w:r>
              <w:t xml:space="preserve">studies which examined the </w:t>
            </w:r>
            <w:r w:rsidRPr="00FA5115">
              <w:t xml:space="preserve">burden of disease and cost-effectiveness </w:t>
            </w:r>
            <w:r>
              <w:t>of</w:t>
            </w:r>
            <w:r w:rsidRPr="00FA5115">
              <w:t xml:space="preserve"> depression </w:t>
            </w:r>
            <w:r>
              <w:t xml:space="preserve">in Australia (see section </w:t>
            </w:r>
            <w:r>
              <w:fldChar w:fldCharType="begin"/>
            </w:r>
            <w:r>
              <w:instrText xml:space="preserve"> REF _Ref450826787 \n \h </w:instrText>
            </w:r>
            <w:r>
              <w:fldChar w:fldCharType="separate"/>
            </w:r>
            <w:r>
              <w:t>4.2</w:t>
            </w:r>
            <w:r>
              <w:fldChar w:fldCharType="end"/>
            </w:r>
            <w:r>
              <w:t>).</w:t>
            </w:r>
          </w:p>
        </w:tc>
      </w:tr>
      <w:tr w:rsidR="00415BFD" w:rsidTr="004C35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82265B">
            <w:pPr>
              <w:pStyle w:val="Tabletext"/>
              <w:rPr>
                <w:b w:val="0"/>
              </w:rPr>
            </w:pPr>
            <w:r>
              <w:rPr>
                <w:b w:val="0"/>
              </w:rPr>
              <w:lastRenderedPageBreak/>
              <w:t>Incidence of major depression</w:t>
            </w:r>
          </w:p>
          <w:p w:rsidR="00415BFD" w:rsidRPr="005E4F47" w:rsidRDefault="00415BFD" w:rsidP="0082265B">
            <w:pPr>
              <w:pStyle w:val="Tabletext"/>
              <w:rPr>
                <w:b w:val="0"/>
                <w:i/>
              </w:rPr>
            </w:pPr>
            <w:r w:rsidRPr="005E4F47">
              <w:rPr>
                <w:b w:val="0"/>
                <w:i/>
              </w:rPr>
              <w:t>(both universal and indicated)</w:t>
            </w:r>
          </w:p>
        </w:tc>
        <w:tc>
          <w:tcPr>
            <w:tcW w:w="6440" w:type="dxa"/>
          </w:tcPr>
          <w:p w:rsidR="00415BFD" w:rsidRDefault="00415BFD" w:rsidP="0082265B">
            <w:pPr>
              <w:pStyle w:val="Tabletext"/>
              <w:jc w:val="both"/>
              <w:cnfStyle w:val="000000100000" w:firstRow="0" w:lastRow="0" w:firstColumn="0" w:lastColumn="0" w:oddVBand="0" w:evenVBand="0" w:oddHBand="1" w:evenHBand="0" w:firstRowFirstColumn="0" w:firstRowLastColumn="0" w:lastRowFirstColumn="0" w:lastRowLastColumn="0"/>
            </w:pPr>
            <w:r>
              <w:t>We obtained population incidence rates for major depression in the 2013 Australian population from the Global Burden of Disease (GBD) 2013 study</w:t>
            </w:r>
            <w:r>
              <w:rPr>
                <w:noProof/>
              </w:rPr>
              <w:t xml:space="preserve"> [13]</w:t>
            </w:r>
            <w:r>
              <w:t xml:space="preserve">. These incidence rates were calculated in GBD 2013 by assuming an average disease duration of 37.7 weeks. However, we opted to use an average duration of 29.9 weeks in our model instead (see section </w:t>
            </w:r>
            <w:r>
              <w:fldChar w:fldCharType="begin"/>
            </w:r>
            <w:r>
              <w:instrText xml:space="preserve"> REF _Ref450825487 \n \h </w:instrText>
            </w:r>
            <w:r>
              <w:fldChar w:fldCharType="separate"/>
            </w:r>
            <w:r>
              <w:t>4.2</w:t>
            </w:r>
            <w:r>
              <w:fldChar w:fldCharType="end"/>
            </w:r>
            <w:r>
              <w:t xml:space="preserve">). As such, we adjusted our baseline incidence rates to account for an average duration of 29.9 weeks (see section </w:t>
            </w:r>
            <w:r>
              <w:fldChar w:fldCharType="begin"/>
            </w:r>
            <w:r>
              <w:instrText xml:space="preserve"> REF _Ref450825555 \n \h </w:instrText>
            </w:r>
            <w:r>
              <w:fldChar w:fldCharType="separate"/>
            </w:r>
            <w:r>
              <w:t>4.3</w:t>
            </w:r>
            <w:r>
              <w:fldChar w:fldCharType="end"/>
            </w:r>
            <w:r>
              <w:t xml:space="preserve"> for a description of the methods).</w:t>
            </w:r>
          </w:p>
          <w:p w:rsidR="00415BFD" w:rsidRDefault="00415BFD" w:rsidP="0082265B">
            <w:pPr>
              <w:pStyle w:val="Tabletext"/>
              <w:jc w:val="both"/>
              <w:cnfStyle w:val="000000100000" w:firstRow="0" w:lastRow="0" w:firstColumn="0" w:lastColumn="0" w:oddVBand="0" w:evenVBand="0" w:oddHBand="1" w:evenHBand="0" w:firstRowFirstColumn="0" w:firstRowLastColumn="0" w:lastRowFirstColumn="0" w:lastRowLastColumn="0"/>
            </w:pPr>
            <w:r>
              <w:t xml:space="preserve">The incidence rates calculated above are applicable to people in the healthy ‘at-risk’ population (i.e., the ‘Healthy population’ health state in the universal prevention model – see </w:t>
            </w:r>
            <w:r>
              <w:fldChar w:fldCharType="begin"/>
            </w:r>
            <w:r>
              <w:instrText xml:space="preserve"> REF _Ref432923804 \n \h </w:instrText>
            </w:r>
            <w:r>
              <w:fldChar w:fldCharType="separate"/>
            </w:r>
            <w:r>
              <w:t>Figure 15</w:t>
            </w:r>
            <w:r>
              <w:fldChar w:fldCharType="end"/>
            </w:r>
            <w:r>
              <w:t xml:space="preserve">). Further adjustments were needed to calculate the incidence rate of major depression among youth with subthreshold depression (i.e., the ‘Subthreshold depression’ health state in the indicated prevention model – see </w:t>
            </w:r>
            <w:r>
              <w:fldChar w:fldCharType="begin"/>
            </w:r>
            <w:r>
              <w:instrText xml:space="preserve"> REF _Ref432923810 \n \h </w:instrText>
            </w:r>
            <w:r>
              <w:fldChar w:fldCharType="separate"/>
            </w:r>
            <w:r>
              <w:t>Figure 16</w:t>
            </w:r>
            <w:r>
              <w:fldChar w:fldCharType="end"/>
            </w:r>
            <w:r>
              <w:t xml:space="preserve">). Adjustments were made by multiplying baseline population incidence rates taken from GBD 2013 with the incidence rate ratio (IRR) of major depression among youth with subthreshold depression (see section </w:t>
            </w:r>
            <w:r>
              <w:fldChar w:fldCharType="begin"/>
            </w:r>
            <w:r>
              <w:instrText xml:space="preserve"> REF _Ref450825555 \n \h </w:instrText>
            </w:r>
            <w:r>
              <w:fldChar w:fldCharType="separate"/>
            </w:r>
            <w:r>
              <w:t>4.3</w:t>
            </w:r>
            <w:r>
              <w:fldChar w:fldCharType="end"/>
            </w:r>
            <w:r>
              <w:t xml:space="preserve"> and the next parameter below).</w:t>
            </w:r>
          </w:p>
          <w:p w:rsidR="00415BFD" w:rsidRPr="004D5451" w:rsidRDefault="00415BFD" w:rsidP="0082265B">
            <w:pPr>
              <w:pStyle w:val="Tabletext"/>
              <w:jc w:val="both"/>
              <w:cnfStyle w:val="000000100000" w:firstRow="0" w:lastRow="0" w:firstColumn="0" w:lastColumn="0" w:oddVBand="0" w:evenVBand="0" w:oddHBand="1" w:evenHBand="0" w:firstRowFirstColumn="0" w:firstRowLastColumn="0" w:lastRowFirstColumn="0" w:lastRowLastColumn="0"/>
            </w:pPr>
            <w:r>
              <w:t xml:space="preserve">Incidence rates for the general Australian population and the subset of youth with subthreshold depression are presented in </w:t>
            </w:r>
            <w:r>
              <w:fldChar w:fldCharType="begin"/>
            </w:r>
            <w:r>
              <w:instrText xml:space="preserve"> REF _Ref432937634 \n \h </w:instrText>
            </w:r>
            <w:r>
              <w:fldChar w:fldCharType="separate"/>
            </w:r>
            <w:r>
              <w:t>Table 12</w:t>
            </w:r>
            <w:r>
              <w:fldChar w:fldCharType="end"/>
            </w:r>
            <w:r>
              <w:t>.</w:t>
            </w:r>
          </w:p>
        </w:tc>
      </w:tr>
      <w:tr w:rsidR="00415BFD" w:rsidTr="004C35D4">
        <w:trPr>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82265B">
            <w:pPr>
              <w:pStyle w:val="Tabletext"/>
              <w:rPr>
                <w:b w:val="0"/>
              </w:rPr>
            </w:pPr>
            <w:r>
              <w:rPr>
                <w:b w:val="0"/>
              </w:rPr>
              <w:t>Increased risk of major depression among youth with subthreshold depression</w:t>
            </w:r>
          </w:p>
          <w:p w:rsidR="00415BFD" w:rsidRPr="005E4F47" w:rsidRDefault="00415BFD" w:rsidP="0082265B">
            <w:pPr>
              <w:pStyle w:val="Tabletext"/>
              <w:rPr>
                <w:b w:val="0"/>
                <w:i/>
              </w:rPr>
            </w:pPr>
            <w:r w:rsidRPr="005E4F47">
              <w:rPr>
                <w:b w:val="0"/>
                <w:i/>
              </w:rPr>
              <w:t>(indicated only)</w:t>
            </w:r>
          </w:p>
        </w:tc>
        <w:tc>
          <w:tcPr>
            <w:tcW w:w="6440" w:type="dxa"/>
          </w:tcPr>
          <w:p w:rsidR="00415BFD" w:rsidRPr="004D5451" w:rsidRDefault="00415BFD" w:rsidP="0082265B">
            <w:pPr>
              <w:pStyle w:val="Tabletext"/>
              <w:jc w:val="both"/>
              <w:cnfStyle w:val="000000000000" w:firstRow="0" w:lastRow="0" w:firstColumn="0" w:lastColumn="0" w:oddVBand="0" w:evenVBand="0" w:oddHBand="0" w:evenHBand="0" w:firstRowFirstColumn="0" w:firstRowLastColumn="0" w:lastRowFirstColumn="0" w:lastRowLastColumn="0"/>
            </w:pPr>
            <w:r>
              <w:t xml:space="preserve">As stated above, baseline population incidence rates were adjusted in the indicated prevention models to calculate the elevated incidence of major depression among youth with subthreshold depression. We conducted a separate meta-review of longitudinal studies that examined the increased risk of major depression among people with subthreshold depression (the findings of this meta-review are yet to be published). From this, we found five </w:t>
            </w:r>
            <w:r w:rsidRPr="00F71483">
              <w:t xml:space="preserve">studies </w:t>
            </w:r>
            <w:r>
              <w:t>that could be combined in a meta-analysis to calculate the pooled</w:t>
            </w:r>
            <w:r w:rsidRPr="00F71483">
              <w:t xml:space="preserve"> incidence rate ratio (IRR) of major depression among youth with subthreshold depression relative to the general population.</w:t>
            </w:r>
            <w:r>
              <w:t xml:space="preserve"> The forest plot for this meta-analysis is presented in </w:t>
            </w:r>
            <w:r>
              <w:fldChar w:fldCharType="begin"/>
            </w:r>
            <w:r>
              <w:instrText xml:space="preserve"> REF _Ref432949343 \n \h </w:instrText>
            </w:r>
            <w:r>
              <w:fldChar w:fldCharType="separate"/>
            </w:r>
            <w:r>
              <w:t>Figure 17</w:t>
            </w:r>
            <w:r>
              <w:fldChar w:fldCharType="end"/>
            </w:r>
            <w:r>
              <w:t>.</w:t>
            </w:r>
          </w:p>
        </w:tc>
      </w:tr>
      <w:tr w:rsidR="00415BFD" w:rsidTr="002B12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82265B">
            <w:pPr>
              <w:pStyle w:val="Tabletext"/>
              <w:rPr>
                <w:b w:val="0"/>
              </w:rPr>
            </w:pPr>
            <w:r>
              <w:rPr>
                <w:b w:val="0"/>
              </w:rPr>
              <w:t>Other-cause mortality</w:t>
            </w:r>
          </w:p>
          <w:p w:rsidR="00415BFD" w:rsidRPr="005E4F47" w:rsidRDefault="00415BFD" w:rsidP="0082265B">
            <w:pPr>
              <w:pStyle w:val="Tabletext"/>
              <w:rPr>
                <w:b w:val="0"/>
                <w:i/>
              </w:rPr>
            </w:pPr>
            <w:r w:rsidRPr="005E4F47">
              <w:rPr>
                <w:b w:val="0"/>
                <w:i/>
              </w:rPr>
              <w:t>(both universal and indicated)</w:t>
            </w:r>
          </w:p>
        </w:tc>
        <w:tc>
          <w:tcPr>
            <w:tcW w:w="6440" w:type="dxa"/>
          </w:tcPr>
          <w:p w:rsidR="00415BFD" w:rsidRPr="002E065E" w:rsidRDefault="00415BFD" w:rsidP="00DE649A">
            <w:pPr>
              <w:pStyle w:val="Tabletext"/>
              <w:jc w:val="both"/>
              <w:cnfStyle w:val="000000100000" w:firstRow="0" w:lastRow="0" w:firstColumn="0" w:lastColumn="0" w:oddVBand="0" w:evenVBand="0" w:oddHBand="1" w:evenHBand="0" w:firstRowFirstColumn="0" w:firstRowLastColumn="0" w:lastRowFirstColumn="0" w:lastRowLastColumn="0"/>
            </w:pPr>
            <w:r>
              <w:t xml:space="preserve">Other-cause mortality estimates were based on all-cause mortality estimates derived from deaths data obtained from the Australian Bureau of Statistics </w:t>
            </w:r>
            <w:r>
              <w:rPr>
                <w:noProof/>
              </w:rPr>
              <w:t>[14]</w:t>
            </w:r>
            <w:r>
              <w:t xml:space="preserve">. All-cause mortality estimates were converted into other-cause mortality estimates by removing the total number of deaths attributable to suicide as a proxy of deaths attributable to major depression. Suicide data were obtained from the GBD 2013 study </w:t>
            </w:r>
            <w:r>
              <w:rPr>
                <w:noProof/>
              </w:rPr>
              <w:t>[15]</w:t>
            </w:r>
            <w:r>
              <w:t xml:space="preserve">. Other-cause mortality estimates are presented by age and sex in </w:t>
            </w:r>
            <w:r>
              <w:fldChar w:fldCharType="begin"/>
            </w:r>
            <w:r>
              <w:instrText xml:space="preserve"> REF _Ref432949753 \n \h </w:instrText>
            </w:r>
            <w:r>
              <w:fldChar w:fldCharType="separate"/>
            </w:r>
            <w:r>
              <w:t>Table 13</w:t>
            </w:r>
            <w:r>
              <w:fldChar w:fldCharType="end"/>
            </w:r>
            <w:r>
              <w:t>.</w:t>
            </w:r>
          </w:p>
        </w:tc>
      </w:tr>
      <w:tr w:rsidR="00415BFD" w:rsidTr="002B1271">
        <w:trPr>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82265B">
            <w:pPr>
              <w:pStyle w:val="Tabletext"/>
              <w:rPr>
                <w:b w:val="0"/>
              </w:rPr>
            </w:pPr>
            <w:r>
              <w:rPr>
                <w:b w:val="0"/>
              </w:rPr>
              <w:t>Case fatality among prevalent cases of major depression</w:t>
            </w:r>
          </w:p>
          <w:p w:rsidR="00415BFD" w:rsidRPr="005E4F47" w:rsidRDefault="00415BFD" w:rsidP="0082265B">
            <w:pPr>
              <w:pStyle w:val="Tabletext"/>
              <w:rPr>
                <w:b w:val="0"/>
                <w:i/>
              </w:rPr>
            </w:pPr>
            <w:r w:rsidRPr="005E4F47">
              <w:rPr>
                <w:b w:val="0"/>
                <w:i/>
              </w:rPr>
              <w:t>(both universal and indicated)</w:t>
            </w:r>
          </w:p>
        </w:tc>
        <w:tc>
          <w:tcPr>
            <w:tcW w:w="6440" w:type="dxa"/>
          </w:tcPr>
          <w:p w:rsidR="00415BFD" w:rsidRPr="002E065E" w:rsidRDefault="00415BFD" w:rsidP="00DE649A">
            <w:pPr>
              <w:pStyle w:val="Tabletext"/>
              <w:jc w:val="both"/>
              <w:cnfStyle w:val="000000000000" w:firstRow="0" w:lastRow="0" w:firstColumn="0" w:lastColumn="0" w:oddVBand="0" w:evenVBand="0" w:oddHBand="0" w:evenHBand="0" w:firstRowFirstColumn="0" w:firstRowLastColumn="0" w:lastRowFirstColumn="0" w:lastRowLastColumn="0"/>
            </w:pPr>
            <w:r>
              <w:t xml:space="preserve">We calculated case fatality rates among people with major depression based on known mathematical relationships between the case fatality rate, other-cause mortality and the relative risk of mortality (see section </w:t>
            </w:r>
            <w:r>
              <w:fldChar w:fldCharType="begin"/>
            </w:r>
            <w:r>
              <w:instrText xml:space="preserve"> REF _Ref450828577 \n \h </w:instrText>
            </w:r>
            <w:r>
              <w:fldChar w:fldCharType="separate"/>
            </w:r>
            <w:r>
              <w:t>4.5</w:t>
            </w:r>
            <w:r>
              <w:fldChar w:fldCharType="end"/>
            </w:r>
            <w:r>
              <w:t xml:space="preserve">). Data on the relative risk of mortality were obtained from a systematic review by </w:t>
            </w:r>
            <w:r>
              <w:rPr>
                <w:noProof/>
              </w:rPr>
              <w:t>Baxter et al. [16]</w:t>
            </w:r>
            <w:r>
              <w:t xml:space="preserve">. Case fatality estimates are presented by age and sex in </w:t>
            </w:r>
            <w:r>
              <w:fldChar w:fldCharType="begin"/>
            </w:r>
            <w:r>
              <w:instrText xml:space="preserve"> REF _Ref432949394 \n \h </w:instrText>
            </w:r>
            <w:r>
              <w:fldChar w:fldCharType="separate"/>
            </w:r>
            <w:r>
              <w:t>Table 14</w:t>
            </w:r>
            <w:r>
              <w:fldChar w:fldCharType="end"/>
            </w:r>
            <w:r>
              <w:t xml:space="preserve">.  </w:t>
            </w:r>
          </w:p>
        </w:tc>
      </w:tr>
      <w:tr w:rsidR="00415BFD" w:rsidTr="004C35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82265B">
            <w:pPr>
              <w:pStyle w:val="Tabletext"/>
              <w:rPr>
                <w:b w:val="0"/>
              </w:rPr>
            </w:pPr>
            <w:r>
              <w:rPr>
                <w:b w:val="0"/>
              </w:rPr>
              <w:t>Remission of major depression</w:t>
            </w:r>
          </w:p>
          <w:p w:rsidR="00415BFD" w:rsidRPr="005E4F47" w:rsidRDefault="00415BFD" w:rsidP="0082265B">
            <w:pPr>
              <w:pStyle w:val="Tabletext"/>
              <w:rPr>
                <w:b w:val="0"/>
                <w:i/>
              </w:rPr>
            </w:pPr>
            <w:r w:rsidRPr="005E4F47">
              <w:rPr>
                <w:b w:val="0"/>
                <w:i/>
              </w:rPr>
              <w:t>(both universal and indicated)</w:t>
            </w:r>
          </w:p>
        </w:tc>
        <w:tc>
          <w:tcPr>
            <w:tcW w:w="6440" w:type="dxa"/>
          </w:tcPr>
          <w:p w:rsidR="00415BFD" w:rsidRPr="002E065E" w:rsidRDefault="00415BFD" w:rsidP="0082265B">
            <w:pPr>
              <w:pStyle w:val="Tabletext"/>
              <w:jc w:val="both"/>
              <w:cnfStyle w:val="000000100000" w:firstRow="0" w:lastRow="0" w:firstColumn="0" w:lastColumn="0" w:oddVBand="0" w:evenVBand="0" w:oddHBand="1" w:evenHBand="0" w:firstRowFirstColumn="0" w:firstRowLastColumn="0" w:lastRowFirstColumn="0" w:lastRowLastColumn="0"/>
            </w:pPr>
            <w:r>
              <w:t xml:space="preserve">We calculated remission rates among people with major depression based on known mathematical relationships between remission, case fatality and duration (see section </w:t>
            </w:r>
            <w:r>
              <w:fldChar w:fldCharType="begin"/>
            </w:r>
            <w:r>
              <w:instrText xml:space="preserve"> REF _Ref450830532 \n \h </w:instrText>
            </w:r>
            <w:r>
              <w:fldChar w:fldCharType="separate"/>
            </w:r>
            <w:r>
              <w:t>4.6</w:t>
            </w:r>
            <w:r>
              <w:fldChar w:fldCharType="end"/>
            </w:r>
            <w:r>
              <w:t>).</w:t>
            </w:r>
          </w:p>
        </w:tc>
      </w:tr>
      <w:tr w:rsidR="00415BFD" w:rsidTr="002B1271">
        <w:trPr>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82265B">
            <w:pPr>
              <w:pStyle w:val="Tabletext"/>
              <w:rPr>
                <w:b w:val="0"/>
              </w:rPr>
            </w:pPr>
            <w:r>
              <w:rPr>
                <w:b w:val="0"/>
              </w:rPr>
              <w:lastRenderedPageBreak/>
              <w:t>Prevalence of major depression</w:t>
            </w:r>
          </w:p>
          <w:p w:rsidR="00415BFD" w:rsidRPr="00D927B1" w:rsidRDefault="00415BFD" w:rsidP="0082265B">
            <w:pPr>
              <w:pStyle w:val="Tabletext"/>
              <w:rPr>
                <w:b w:val="0"/>
                <w:i/>
              </w:rPr>
            </w:pPr>
            <w:r w:rsidRPr="00D927B1">
              <w:rPr>
                <w:b w:val="0"/>
                <w:i/>
              </w:rPr>
              <w:t>(universal only)</w:t>
            </w:r>
          </w:p>
        </w:tc>
        <w:tc>
          <w:tcPr>
            <w:tcW w:w="6440" w:type="dxa"/>
          </w:tcPr>
          <w:p w:rsidR="00415BFD" w:rsidRPr="002E065E" w:rsidRDefault="00415BFD" w:rsidP="00DE649A">
            <w:pPr>
              <w:pStyle w:val="Tabletext"/>
              <w:jc w:val="both"/>
              <w:cnfStyle w:val="000000000000" w:firstRow="0" w:lastRow="0" w:firstColumn="0" w:lastColumn="0" w:oddVBand="0" w:evenVBand="0" w:oddHBand="0" w:evenHBand="0" w:firstRowFirstColumn="0" w:firstRowLastColumn="0" w:lastRowFirstColumn="0" w:lastRowLastColumn="0"/>
            </w:pPr>
            <w:r>
              <w:t xml:space="preserve">Prevalence data were used in the universal prevention model to account for the current prevalence of major depression in the population, prior to the commencement of the intervention. That is, the initial distribution of the eligible population between ‘healthy’ and ‘depressed’ health states at the start of the model time horizon (see state transition diagram in </w:t>
            </w:r>
            <w:r>
              <w:fldChar w:fldCharType="begin"/>
            </w:r>
            <w:r>
              <w:instrText xml:space="preserve"> REF _Ref432923804 \n \h </w:instrText>
            </w:r>
            <w:r>
              <w:fldChar w:fldCharType="separate"/>
            </w:r>
            <w:r>
              <w:t>Figure 15</w:t>
            </w:r>
            <w:r>
              <w:fldChar w:fldCharType="end"/>
            </w:r>
            <w:r>
              <w:t xml:space="preserve">). Data on the current prevalence of major depression were obtained from GBD 2013 </w:t>
            </w:r>
            <w:r>
              <w:rPr>
                <w:noProof/>
              </w:rPr>
              <w:t>[13]</w:t>
            </w:r>
            <w:r>
              <w:t xml:space="preserve">; with age-sex prevalence estimates shown in </w:t>
            </w:r>
            <w:r>
              <w:fldChar w:fldCharType="begin"/>
            </w:r>
            <w:r>
              <w:instrText xml:space="preserve"> REF _Ref434088527 \r \h </w:instrText>
            </w:r>
            <w:r>
              <w:fldChar w:fldCharType="separate"/>
            </w:r>
            <w:r>
              <w:t>Table 15</w:t>
            </w:r>
            <w:r>
              <w:fldChar w:fldCharType="end"/>
            </w:r>
            <w:r>
              <w:t>.</w:t>
            </w:r>
          </w:p>
        </w:tc>
      </w:tr>
      <w:tr w:rsidR="00415BFD" w:rsidTr="004C35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82265B">
            <w:pPr>
              <w:pStyle w:val="Tabletext"/>
              <w:rPr>
                <w:b w:val="0"/>
              </w:rPr>
            </w:pPr>
            <w:r>
              <w:rPr>
                <w:b w:val="0"/>
              </w:rPr>
              <w:t>Disability weight for major depression</w:t>
            </w:r>
          </w:p>
          <w:p w:rsidR="00415BFD" w:rsidRPr="004D5451" w:rsidRDefault="00415BFD" w:rsidP="0082265B">
            <w:pPr>
              <w:pStyle w:val="Tabletext"/>
              <w:rPr>
                <w:b w:val="0"/>
              </w:rPr>
            </w:pPr>
            <w:r w:rsidRPr="005E4F47">
              <w:rPr>
                <w:b w:val="0"/>
                <w:i/>
              </w:rPr>
              <w:t>(both universal and indicated)</w:t>
            </w:r>
          </w:p>
        </w:tc>
        <w:tc>
          <w:tcPr>
            <w:tcW w:w="6440" w:type="dxa"/>
          </w:tcPr>
          <w:p w:rsidR="00415BFD" w:rsidRPr="004D5451" w:rsidRDefault="00415BFD" w:rsidP="00DE649A">
            <w:pPr>
              <w:pStyle w:val="Tabletext"/>
              <w:jc w:val="both"/>
              <w:cnfStyle w:val="000000100000" w:firstRow="0" w:lastRow="0" w:firstColumn="0" w:lastColumn="0" w:oddVBand="0" w:evenVBand="0" w:oddHBand="1" w:evenHBand="0" w:firstRowFirstColumn="0" w:firstRowLastColumn="0" w:lastRowFirstColumn="0" w:lastRowLastColumn="0"/>
            </w:pPr>
            <w:r>
              <w:t>We derived a composite disability weight for major depression by calculating the weighted average of GBD 2013 disability weights for mild, moderate and severe</w:t>
            </w:r>
            <w:r w:rsidRPr="00B45096">
              <w:t xml:space="preserve"> </w:t>
            </w:r>
            <w:r>
              <w:t xml:space="preserve">depression </w:t>
            </w:r>
            <w:r>
              <w:rPr>
                <w:noProof/>
              </w:rPr>
              <w:t>[17]</w:t>
            </w:r>
            <w:r>
              <w:t xml:space="preserve">. The weighted average was based on a severity distribution derived from the GBD study </w:t>
            </w:r>
            <w:r>
              <w:rPr>
                <w:noProof/>
              </w:rPr>
              <w:t>[18]</w:t>
            </w:r>
            <w:r>
              <w:t xml:space="preserve">; which calculated the comorbidity-adjusted proportion of mild, moderate and severe depression using validated SF-12 cut-offs from the 1997 National Survey of Mental Health and Wellbeing (NSMHWB) </w:t>
            </w:r>
            <w:r>
              <w:rPr>
                <w:noProof/>
              </w:rPr>
              <w:t>[19]</w:t>
            </w:r>
            <w:r>
              <w:t xml:space="preserve">.There were several other permutations by which to calculate composite disability weights which we have discussed in section </w:t>
            </w:r>
            <w:r>
              <w:fldChar w:fldCharType="begin"/>
            </w:r>
            <w:r>
              <w:instrText xml:space="preserve"> REF _Ref450855659 \n \h </w:instrText>
            </w:r>
            <w:r>
              <w:fldChar w:fldCharType="separate"/>
            </w:r>
            <w:r>
              <w:t>4.8</w:t>
            </w:r>
            <w:r>
              <w:fldChar w:fldCharType="end"/>
            </w:r>
            <w:r>
              <w:t xml:space="preserve">. Based on this exploratory analysis, we decided to conduct separate sensitivity analyses to test the impact of replacing the baseline disability weight outlined above with: (1) a weighted average disability weight calculated using a severity distribution based on DSM-IV algorithms for the classification of mild, moderate and severe depression in the 1997 NSMHWB; and (2) replacing GBD 2013 disability weights for mild, moderate and severe depression with utility weights sourced from </w:t>
            </w:r>
            <w:r>
              <w:rPr>
                <w:noProof/>
              </w:rPr>
              <w:t>Mohiuddin and Payne [20]</w:t>
            </w:r>
            <w:r>
              <w:t>.</w:t>
            </w:r>
          </w:p>
        </w:tc>
      </w:tr>
    </w:tbl>
    <w:p w:rsidR="00415BFD" w:rsidRDefault="00415BFD" w:rsidP="00A373DE">
      <w:pPr>
        <w:spacing w:line="240" w:lineRule="auto"/>
        <w:jc w:val="left"/>
      </w:pPr>
      <w:r>
        <w:br w:type="page"/>
      </w:r>
    </w:p>
    <w:p w:rsidR="00415BFD" w:rsidRDefault="00415BFD" w:rsidP="00415BFD">
      <w:pPr>
        <w:pStyle w:val="MyTable"/>
        <w:numPr>
          <w:ilvl w:val="3"/>
          <w:numId w:val="9"/>
        </w:numPr>
      </w:pPr>
      <w:bookmarkStart w:id="20" w:name="_Ref451289372"/>
      <w:bookmarkStart w:id="21" w:name="_Ref451292768"/>
      <w:bookmarkStart w:id="22" w:name="_Toc452066448"/>
      <w:r>
        <w:lastRenderedPageBreak/>
        <w:t>Rationale and description of various data sources used to conduct the cost analysis of intervention pathways for universal prevention</w:t>
      </w:r>
      <w:bookmarkEnd w:id="20"/>
      <w:r>
        <w:t xml:space="preserve"> </w:t>
      </w:r>
      <w:r>
        <w:rPr>
          <w:rStyle w:val="FootnoteReference"/>
        </w:rPr>
        <w:footnoteReference w:id="3"/>
      </w:r>
      <w:bookmarkEnd w:id="21"/>
      <w:bookmarkEnd w:id="22"/>
    </w:p>
    <w:tbl>
      <w:tblPr>
        <w:tblStyle w:val="LightShading"/>
        <w:tblW w:w="0" w:type="auto"/>
        <w:tblLook w:val="04A0" w:firstRow="1" w:lastRow="0" w:firstColumn="1" w:lastColumn="0" w:noHBand="0" w:noVBand="1"/>
      </w:tblPr>
      <w:tblGrid>
        <w:gridCol w:w="2752"/>
        <w:gridCol w:w="6274"/>
      </w:tblGrid>
      <w:tr w:rsidR="00415BFD" w:rsidTr="006B60A3">
        <w:trPr>
          <w:cnfStyle w:val="100000000000" w:firstRow="1" w:lastRow="0" w:firstColumn="0" w:lastColumn="0" w:oddVBand="0" w:evenVBand="0" w:oddHBand="0" w:evenHBand="0" w:firstRowFirstColumn="0" w:firstRowLastColumn="0" w:lastRowFirstColumn="0" w:lastRowLastColumn="0"/>
          <w:cantSplit/>
          <w:trHeight w:val="907"/>
          <w:tblHeader/>
        </w:trPr>
        <w:tc>
          <w:tcPr>
            <w:cnfStyle w:val="001000000000" w:firstRow="0" w:lastRow="0" w:firstColumn="1" w:lastColumn="0" w:oddVBand="0" w:evenVBand="0" w:oddHBand="0" w:evenHBand="0" w:firstRowFirstColumn="0" w:firstRowLastColumn="0" w:lastRowFirstColumn="0" w:lastRowLastColumn="0"/>
            <w:tcW w:w="2802" w:type="dxa"/>
          </w:tcPr>
          <w:p w:rsidR="00415BFD" w:rsidRPr="00A87F5E" w:rsidRDefault="00415BFD" w:rsidP="006B60A3">
            <w:pPr>
              <w:pStyle w:val="Tabletext"/>
            </w:pPr>
            <w:r w:rsidRPr="00A87F5E">
              <w:t>Input parameter</w:t>
            </w:r>
          </w:p>
          <w:p w:rsidR="00415BFD" w:rsidRPr="002A6198" w:rsidRDefault="00415BFD" w:rsidP="00FF0E48">
            <w:pPr>
              <w:pStyle w:val="Tabletext"/>
              <w:rPr>
                <w:b w:val="0"/>
                <w:i/>
              </w:rPr>
            </w:pPr>
            <w:r w:rsidRPr="002A6198">
              <w:rPr>
                <w:b w:val="0"/>
                <w:i/>
              </w:rPr>
              <w:t>(</w:t>
            </w:r>
            <w:r>
              <w:rPr>
                <w:b w:val="0"/>
                <w:i/>
              </w:rPr>
              <w:t>Step in intervention pathway</w:t>
            </w:r>
            <w:r w:rsidRPr="002A6198">
              <w:rPr>
                <w:b w:val="0"/>
                <w:i/>
              </w:rPr>
              <w:t>)</w:t>
            </w:r>
          </w:p>
        </w:tc>
        <w:tc>
          <w:tcPr>
            <w:tcW w:w="6440" w:type="dxa"/>
          </w:tcPr>
          <w:p w:rsidR="00415BFD" w:rsidRPr="00A87F5E" w:rsidRDefault="00415BFD" w:rsidP="006B60A3">
            <w:pPr>
              <w:pStyle w:val="Tabletext"/>
              <w:cnfStyle w:val="100000000000" w:firstRow="1" w:lastRow="0" w:firstColumn="0" w:lastColumn="0" w:oddVBand="0" w:evenVBand="0" w:oddHBand="0" w:evenHBand="0" w:firstRowFirstColumn="0" w:firstRowLastColumn="0" w:lastRowFirstColumn="0" w:lastRowLastColumn="0"/>
            </w:pPr>
            <w:r w:rsidRPr="00A87F5E">
              <w:t>Data source and rationale</w:t>
            </w:r>
          </w:p>
        </w:tc>
      </w:tr>
      <w:tr w:rsidR="00415BFD" w:rsidTr="00850897">
        <w:trPr>
          <w:cnfStyle w:val="000000100000" w:firstRow="0" w:lastRow="0" w:firstColumn="0" w:lastColumn="0" w:oddVBand="0" w:evenVBand="0" w:oddHBand="1" w:evenHBand="0" w:firstRowFirstColumn="0" w:firstRowLastColumn="0" w:lastRowFirstColumn="0" w:lastRowLastColumn="0"/>
          <w:cantSplit/>
          <w:trHeight w:val="680"/>
        </w:trPr>
        <w:tc>
          <w:tcPr>
            <w:cnfStyle w:val="001000000000" w:firstRow="0" w:lastRow="0" w:firstColumn="1" w:lastColumn="0" w:oddVBand="0" w:evenVBand="0" w:oddHBand="0" w:evenHBand="0" w:firstRowFirstColumn="0" w:firstRowLastColumn="0" w:lastRowFirstColumn="0" w:lastRowLastColumn="0"/>
            <w:tcW w:w="9242" w:type="dxa"/>
            <w:gridSpan w:val="2"/>
          </w:tcPr>
          <w:p w:rsidR="00415BFD" w:rsidRDefault="00415BFD" w:rsidP="0022363A">
            <w:pPr>
              <w:pStyle w:val="Tabletext"/>
              <w:spacing w:before="240"/>
              <w:jc w:val="both"/>
              <w:rPr>
                <w:b w:val="0"/>
                <w:i/>
              </w:rPr>
            </w:pPr>
            <w:r>
              <w:rPr>
                <w:b w:val="0"/>
                <w:i/>
              </w:rPr>
              <w:t>F</w:t>
            </w:r>
            <w:r w:rsidRPr="00850897">
              <w:rPr>
                <w:b w:val="0"/>
                <w:i/>
              </w:rPr>
              <w:t xml:space="preserve">ace-to-face </w:t>
            </w:r>
            <w:r>
              <w:rPr>
                <w:b w:val="0"/>
                <w:i/>
              </w:rPr>
              <w:t xml:space="preserve">delivery of universal </w:t>
            </w:r>
            <w:r w:rsidRPr="00850897">
              <w:rPr>
                <w:b w:val="0"/>
                <w:i/>
              </w:rPr>
              <w:t xml:space="preserve">psychological </w:t>
            </w:r>
            <w:r>
              <w:rPr>
                <w:b w:val="0"/>
                <w:i/>
              </w:rPr>
              <w:t>prevention</w:t>
            </w:r>
          </w:p>
          <w:p w:rsidR="00415BFD" w:rsidRPr="00730EEF" w:rsidRDefault="00415BFD" w:rsidP="00730EEF">
            <w:pPr>
              <w:pStyle w:val="Tabletext"/>
              <w:spacing w:after="240"/>
              <w:jc w:val="both"/>
              <w:rPr>
                <w:b w:val="0"/>
              </w:rPr>
            </w:pPr>
            <w:r w:rsidRPr="00730EEF">
              <w:rPr>
                <w:b w:val="0"/>
              </w:rPr>
              <w:t>The intervention pathway for face-to-face delivery of universal p</w:t>
            </w:r>
            <w:r>
              <w:rPr>
                <w:b w:val="0"/>
              </w:rPr>
              <w:t>sychological prevention involved</w:t>
            </w:r>
            <w:r w:rsidRPr="00730EEF">
              <w:rPr>
                <w:b w:val="0"/>
              </w:rPr>
              <w:t xml:space="preserve"> teachers delivering psychological intervention modules in </w:t>
            </w:r>
            <w:r>
              <w:rPr>
                <w:b w:val="0"/>
              </w:rPr>
              <w:t xml:space="preserve">the </w:t>
            </w:r>
            <w:r w:rsidRPr="00730EEF">
              <w:rPr>
                <w:b w:val="0"/>
              </w:rPr>
              <w:t>class</w:t>
            </w:r>
            <w:r>
              <w:rPr>
                <w:b w:val="0"/>
              </w:rPr>
              <w:t>room</w:t>
            </w:r>
            <w:r w:rsidRPr="00730EEF">
              <w:rPr>
                <w:b w:val="0"/>
              </w:rPr>
              <w:t xml:space="preserve"> during regular school hours.</w:t>
            </w:r>
          </w:p>
        </w:tc>
      </w:tr>
      <w:tr w:rsidR="00415BFD" w:rsidTr="006B60A3">
        <w:trPr>
          <w:cantSplit/>
          <w:trHeight w:val="907"/>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6B60A3">
            <w:pPr>
              <w:pStyle w:val="Tabletext"/>
              <w:rPr>
                <w:b w:val="0"/>
              </w:rPr>
            </w:pPr>
            <w:r>
              <w:rPr>
                <w:b w:val="0"/>
              </w:rPr>
              <w:t>Total cost of time spent by (salaried) psychologists to t</w:t>
            </w:r>
            <w:r w:rsidRPr="008A6349">
              <w:rPr>
                <w:b w:val="0"/>
              </w:rPr>
              <w:t xml:space="preserve">rain teachers </w:t>
            </w:r>
            <w:r>
              <w:rPr>
                <w:b w:val="0"/>
              </w:rPr>
              <w:t>in how to</w:t>
            </w:r>
            <w:r w:rsidRPr="008A6349">
              <w:rPr>
                <w:b w:val="0"/>
              </w:rPr>
              <w:t xml:space="preserve"> deliver</w:t>
            </w:r>
            <w:r>
              <w:rPr>
                <w:b w:val="0"/>
              </w:rPr>
              <w:t xml:space="preserve"> group-based intervention modules for </w:t>
            </w:r>
            <w:r w:rsidRPr="008A6349">
              <w:rPr>
                <w:b w:val="0"/>
              </w:rPr>
              <w:t xml:space="preserve">universal </w:t>
            </w:r>
            <w:r>
              <w:rPr>
                <w:b w:val="0"/>
              </w:rPr>
              <w:t>prevention</w:t>
            </w:r>
          </w:p>
          <w:p w:rsidR="00415BFD" w:rsidRPr="003D017F" w:rsidRDefault="00415BFD" w:rsidP="008A6349">
            <w:pPr>
              <w:pStyle w:val="Tabletext"/>
              <w:rPr>
                <w:b w:val="0"/>
                <w:i/>
              </w:rPr>
            </w:pPr>
            <w:r w:rsidRPr="003D017F">
              <w:rPr>
                <w:b w:val="0"/>
                <w:i/>
              </w:rPr>
              <w:t>(</w:t>
            </w:r>
            <w:r>
              <w:rPr>
                <w:b w:val="0"/>
                <w:i/>
              </w:rPr>
              <w:t>Intervention delivery</w:t>
            </w:r>
            <w:r w:rsidRPr="003D017F">
              <w:rPr>
                <w:b w:val="0"/>
                <w:i/>
              </w:rPr>
              <w:t>)</w:t>
            </w:r>
          </w:p>
        </w:tc>
        <w:tc>
          <w:tcPr>
            <w:tcW w:w="6440" w:type="dxa"/>
          </w:tcPr>
          <w:p w:rsidR="00415BFD" w:rsidRDefault="00415BFD" w:rsidP="006E4160">
            <w:pPr>
              <w:pStyle w:val="Tabletext"/>
              <w:jc w:val="both"/>
              <w:cnfStyle w:val="000000000000" w:firstRow="0" w:lastRow="0" w:firstColumn="0" w:lastColumn="0" w:oddVBand="0" w:evenVBand="0" w:oddHBand="0" w:evenHBand="0" w:firstRowFirstColumn="0" w:firstRowLastColumn="0" w:lastRowFirstColumn="0" w:lastRowLastColumn="0"/>
            </w:pPr>
            <w:r>
              <w:t>Prior to the delivery of intervention modules, we assumed that a salaried psychologist would be hired to go to each school to train teachers on how they are to deliver intervention modules. The total number of</w:t>
            </w:r>
            <w:r w:rsidRPr="00EA3FB9">
              <w:t xml:space="preserve"> schools </w:t>
            </w:r>
            <w:r>
              <w:t>to which</w:t>
            </w:r>
            <w:r w:rsidRPr="00EA3FB9">
              <w:t xml:space="preserve"> </w:t>
            </w:r>
            <w:r>
              <w:t xml:space="preserve">these </w:t>
            </w:r>
            <w:r w:rsidRPr="00EA3FB9">
              <w:t xml:space="preserve">psychologists </w:t>
            </w:r>
            <w:r>
              <w:t>are</w:t>
            </w:r>
            <w:r w:rsidRPr="00EA3FB9">
              <w:t xml:space="preserve"> </w:t>
            </w:r>
            <w:r>
              <w:t>required to</w:t>
            </w:r>
            <w:r w:rsidRPr="00EA3FB9">
              <w:t xml:space="preserve"> </w:t>
            </w:r>
            <w:r>
              <w:t>provide</w:t>
            </w:r>
            <w:r w:rsidRPr="00EA3FB9">
              <w:t xml:space="preserve"> training is calculated as</w:t>
            </w:r>
            <w:r>
              <w:t>:</w:t>
            </w:r>
            <w:r w:rsidRPr="00EA3FB9">
              <w:t xml:space="preserve"> the </w:t>
            </w:r>
            <w:r>
              <w:t>total number</w:t>
            </w:r>
            <w:r w:rsidRPr="00EA3FB9">
              <w:t xml:space="preserve"> of teachers</w:t>
            </w:r>
            <w:r>
              <w:t xml:space="preserve"> across Australia in 2013;</w:t>
            </w:r>
            <w:r w:rsidRPr="00EA3FB9">
              <w:t xml:space="preserve"> divided by the</w:t>
            </w:r>
            <w:r>
              <w:t xml:space="preserve"> average number</w:t>
            </w:r>
            <w:r w:rsidRPr="00EA3FB9">
              <w:t xml:space="preserve"> of teachers per school. </w:t>
            </w:r>
            <w:r>
              <w:t>The total n</w:t>
            </w:r>
            <w:r w:rsidRPr="00EA3FB9">
              <w:t xml:space="preserve">umber of teachers </w:t>
            </w:r>
            <w:r>
              <w:t>across Australia in 2013 was</w:t>
            </w:r>
            <w:r w:rsidRPr="00EA3FB9">
              <w:t xml:space="preserve"> calculated by dividing the total </w:t>
            </w:r>
            <w:r>
              <w:t>n</w:t>
            </w:r>
            <w:r w:rsidRPr="00EA3FB9">
              <w:t>umber of students</w:t>
            </w:r>
            <w:r>
              <w:t xml:space="preserve"> (using data on the eligible population in section </w:t>
            </w:r>
            <w:r>
              <w:fldChar w:fldCharType="begin"/>
            </w:r>
            <w:r>
              <w:instrText xml:space="preserve"> REF _Ref451178342 \r \h </w:instrText>
            </w:r>
            <w:r>
              <w:fldChar w:fldCharType="separate"/>
            </w:r>
            <w:r>
              <w:t>3.2</w:t>
            </w:r>
            <w:r>
              <w:fldChar w:fldCharType="end"/>
            </w:r>
            <w:r>
              <w:t xml:space="preserve">) </w:t>
            </w:r>
            <w:r w:rsidRPr="00EA3FB9">
              <w:t xml:space="preserve">by the average </w:t>
            </w:r>
            <w:r>
              <w:t>n</w:t>
            </w:r>
            <w:r w:rsidRPr="00EA3FB9">
              <w:t xml:space="preserve">umber </w:t>
            </w:r>
            <w:r>
              <w:t xml:space="preserve">of students per class (using OECD data </w:t>
            </w:r>
            <w:r>
              <w:rPr>
                <w:noProof/>
              </w:rPr>
              <w:t>[21]</w:t>
            </w:r>
            <w:r>
              <w:t xml:space="preserve">). The average number of teachers per school was based on data from an ABS survey of schools </w:t>
            </w:r>
            <w:r>
              <w:rPr>
                <w:noProof/>
              </w:rPr>
              <w:t>[22]</w:t>
            </w:r>
            <w:r>
              <w:t xml:space="preserve">. </w:t>
            </w:r>
          </w:p>
          <w:p w:rsidR="00415BFD" w:rsidRDefault="00415BFD" w:rsidP="006E4160">
            <w:pPr>
              <w:pStyle w:val="Tabletext"/>
              <w:jc w:val="both"/>
              <w:cnfStyle w:val="000000000000" w:firstRow="0" w:lastRow="0" w:firstColumn="0" w:lastColumn="0" w:oddVBand="0" w:evenVBand="0" w:oddHBand="0" w:evenHBand="0" w:firstRowFirstColumn="0" w:firstRowLastColumn="0" w:lastRowFirstColumn="0" w:lastRowLastColumn="0"/>
            </w:pPr>
            <w:r>
              <w:t xml:space="preserve">The next step was to calculate the total number of psychologist hours required to provide training to all these schools. We sourced available data from RCTs identified in the meta-review of intervention efficacy (included in </w:t>
            </w:r>
            <w:r>
              <w:fldChar w:fldCharType="begin"/>
            </w:r>
            <w:r>
              <w:instrText xml:space="preserve"> REF _Ref432884016 \r \h </w:instrText>
            </w:r>
            <w:r>
              <w:fldChar w:fldCharType="separate"/>
            </w:r>
            <w:r>
              <w:t>Table 5</w:t>
            </w:r>
            <w:r>
              <w:fldChar w:fldCharType="end"/>
            </w:r>
            <w:r>
              <w:t xml:space="preserve">) to calculate a pooled estimate of the average time per school spent by a psychologist (or researcher or program facilitator) to train teachers in how to deliver universal intervention modules. There were a total of 5 studies with relevant data (see section </w:t>
            </w:r>
            <w:r>
              <w:fldChar w:fldCharType="begin"/>
            </w:r>
            <w:r>
              <w:instrText xml:space="preserve"> REF _Ref451179133 \r \h </w:instrText>
            </w:r>
            <w:r>
              <w:fldChar w:fldCharType="separate"/>
            </w:r>
            <w:r>
              <w:t>5.2</w:t>
            </w:r>
            <w:r>
              <w:fldChar w:fldCharType="end"/>
            </w:r>
            <w:r>
              <w:t>) by which to calculate a pooled estimate of the total number of hours per school spent by a psychologist (or researcher or trained facilitator) training teachers in a group setting.</w:t>
            </w:r>
          </w:p>
          <w:p w:rsidR="00415BFD" w:rsidRPr="004D5451" w:rsidRDefault="00415BFD" w:rsidP="00DE649A">
            <w:pPr>
              <w:pStyle w:val="Tabletext"/>
              <w:jc w:val="both"/>
              <w:cnfStyle w:val="000000000000" w:firstRow="0" w:lastRow="0" w:firstColumn="0" w:lastColumn="0" w:oddVBand="0" w:evenVBand="0" w:oddHBand="0" w:evenHBand="0" w:firstRowFirstColumn="0" w:firstRowLastColumn="0" w:lastRowFirstColumn="0" w:lastRowLastColumn="0"/>
            </w:pPr>
            <w:r>
              <w:t xml:space="preserve">Multiplying the average number of hours per school by the total number of school across Australia in 2013 resulted in an estimate of the total psychologist hours required to train all teachers across participating Australian schools in 2013 to deliver the universal psychological intervention. Psychologist time was valued using an hourly wage rate calculated using data from the ABS Employee Earnings and Hours survey </w:t>
            </w:r>
            <w:r>
              <w:rPr>
                <w:noProof/>
              </w:rPr>
              <w:t>[23]</w:t>
            </w:r>
            <w:r>
              <w:t xml:space="preserve"> (including a 30% loading for on-costs).</w:t>
            </w:r>
          </w:p>
        </w:tc>
      </w:tr>
      <w:tr w:rsidR="00415BFD" w:rsidTr="006B60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B44CB3">
            <w:pPr>
              <w:pStyle w:val="Tabletext"/>
              <w:rPr>
                <w:b w:val="0"/>
              </w:rPr>
            </w:pPr>
            <w:r>
              <w:rPr>
                <w:b w:val="0"/>
              </w:rPr>
              <w:lastRenderedPageBreak/>
              <w:t xml:space="preserve">Total cost of time spent by </w:t>
            </w:r>
            <w:r w:rsidRPr="00D46B2E">
              <w:rPr>
                <w:b w:val="0"/>
              </w:rPr>
              <w:t xml:space="preserve">teachers </w:t>
            </w:r>
            <w:r>
              <w:rPr>
                <w:b w:val="0"/>
              </w:rPr>
              <w:t>to deliver</w:t>
            </w:r>
            <w:r w:rsidRPr="00D46B2E">
              <w:rPr>
                <w:b w:val="0"/>
              </w:rPr>
              <w:t xml:space="preserve"> group-based intervention modules </w:t>
            </w:r>
            <w:r>
              <w:rPr>
                <w:b w:val="0"/>
              </w:rPr>
              <w:t>for universal prevention</w:t>
            </w:r>
          </w:p>
          <w:p w:rsidR="00415BFD" w:rsidRPr="00671BA6" w:rsidRDefault="00415BFD" w:rsidP="00D46B2E">
            <w:pPr>
              <w:pStyle w:val="Tabletext"/>
              <w:rPr>
                <w:b w:val="0"/>
              </w:rPr>
            </w:pPr>
            <w:r w:rsidRPr="003D017F">
              <w:rPr>
                <w:b w:val="0"/>
                <w:i/>
              </w:rPr>
              <w:t>(</w:t>
            </w:r>
            <w:r>
              <w:rPr>
                <w:b w:val="0"/>
                <w:i/>
              </w:rPr>
              <w:t>Intervention delivery</w:t>
            </w:r>
            <w:r w:rsidRPr="003D017F">
              <w:rPr>
                <w:b w:val="0"/>
                <w:i/>
              </w:rPr>
              <w:t>)</w:t>
            </w:r>
          </w:p>
        </w:tc>
        <w:tc>
          <w:tcPr>
            <w:tcW w:w="6440" w:type="dxa"/>
          </w:tcPr>
          <w:p w:rsidR="00415BFD" w:rsidRDefault="00415BFD" w:rsidP="005165C7">
            <w:pPr>
              <w:pStyle w:val="Tabletext"/>
              <w:jc w:val="both"/>
              <w:cnfStyle w:val="000000100000" w:firstRow="0" w:lastRow="0" w:firstColumn="0" w:lastColumn="0" w:oddVBand="0" w:evenVBand="0" w:oddHBand="1" w:evenHBand="0" w:firstRowFirstColumn="0" w:firstRowLastColumn="0" w:lastRowFirstColumn="0" w:lastRowLastColumn="0"/>
            </w:pPr>
            <w:r>
              <w:t>We calculated total time spent by teachers delivering face-to-face universal intervention modules across Australia in 2013 by calculating the product of: the total number of teachers across Australia in 2013; the average number of group-based intervention modules; and the average duration of each module.</w:t>
            </w:r>
          </w:p>
          <w:p w:rsidR="00415BFD" w:rsidRPr="002E065E" w:rsidRDefault="00415BFD" w:rsidP="00DE649A">
            <w:pPr>
              <w:pStyle w:val="Tabletext"/>
              <w:jc w:val="both"/>
              <w:cnfStyle w:val="000000100000" w:firstRow="0" w:lastRow="0" w:firstColumn="0" w:lastColumn="0" w:oddVBand="0" w:evenVBand="0" w:oddHBand="1" w:evenHBand="0" w:firstRowFirstColumn="0" w:firstRowLastColumn="0" w:lastRowFirstColumn="0" w:lastRowLastColumn="0"/>
            </w:pPr>
            <w:r>
              <w:t xml:space="preserve">The total number of teachers across Australia in 2013 was based on the estimate calculated in the previous step. We sourced available data from RCTs identified in the meta-review of intervention efficacy (see </w:t>
            </w:r>
            <w:r>
              <w:fldChar w:fldCharType="begin"/>
            </w:r>
            <w:r>
              <w:instrText xml:space="preserve"> REF _Ref432884016 \r \h  \* MERGEFORMAT </w:instrText>
            </w:r>
            <w:r>
              <w:fldChar w:fldCharType="separate"/>
            </w:r>
            <w:r>
              <w:t>Table 5</w:t>
            </w:r>
            <w:r>
              <w:fldChar w:fldCharType="end"/>
            </w:r>
            <w:r>
              <w:t xml:space="preserve">) to calculate a pooled estimate of the average number of intervention modules to be offered as part of the face-to-face delivery of universal prevention. There were a total of 9 relevant studies from which to calculate a pooled estimate of the average number of intervention modules (see section </w:t>
            </w:r>
            <w:r>
              <w:fldChar w:fldCharType="begin"/>
            </w:r>
            <w:r>
              <w:instrText xml:space="preserve"> REF _Ref451179133 \r \h </w:instrText>
            </w:r>
            <w:r>
              <w:fldChar w:fldCharType="separate"/>
            </w:r>
            <w:r>
              <w:t>5.2</w:t>
            </w:r>
            <w:r>
              <w:fldChar w:fldCharType="end"/>
            </w:r>
            <w:r>
              <w:t xml:space="preserve">). These same 9 studies also contained relevant data by which to calculate a pooled estimate of the average duration of each group-based intervention module. The aggregate estimate of teacher’s time spent delivering group-based intervention modules was valued using an hourly wage rate calculated using data from the ABS Employee Earnings and Hours survey </w:t>
            </w:r>
            <w:r>
              <w:rPr>
                <w:noProof/>
              </w:rPr>
              <w:t>[23]</w:t>
            </w:r>
            <w:r>
              <w:t>; which</w:t>
            </w:r>
            <w:r w:rsidRPr="008D77DD">
              <w:t xml:space="preserve"> </w:t>
            </w:r>
            <w:r>
              <w:t>included a 30% loading for on-costs.</w:t>
            </w:r>
          </w:p>
        </w:tc>
      </w:tr>
      <w:tr w:rsidR="00415BFD" w:rsidTr="006B60A3">
        <w:trPr>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B44CB3">
            <w:pPr>
              <w:pStyle w:val="Tabletext"/>
              <w:rPr>
                <w:b w:val="0"/>
              </w:rPr>
            </w:pPr>
            <w:r>
              <w:rPr>
                <w:b w:val="0"/>
              </w:rPr>
              <w:t>Total cost offsets resulting from the reduction in prevalent cases of major depression</w:t>
            </w:r>
          </w:p>
          <w:p w:rsidR="00415BFD" w:rsidRDefault="00415BFD" w:rsidP="003121C6">
            <w:pPr>
              <w:pStyle w:val="Tabletext"/>
              <w:rPr>
                <w:b w:val="0"/>
              </w:rPr>
            </w:pPr>
            <w:r w:rsidRPr="003D017F">
              <w:rPr>
                <w:b w:val="0"/>
                <w:i/>
              </w:rPr>
              <w:t>(</w:t>
            </w:r>
            <w:r>
              <w:rPr>
                <w:b w:val="0"/>
                <w:i/>
              </w:rPr>
              <w:t>Cost offsets</w:t>
            </w:r>
            <w:r w:rsidRPr="003D017F">
              <w:rPr>
                <w:b w:val="0"/>
                <w:i/>
              </w:rPr>
              <w:t>)</w:t>
            </w:r>
          </w:p>
        </w:tc>
        <w:tc>
          <w:tcPr>
            <w:tcW w:w="6440" w:type="dxa"/>
          </w:tcPr>
          <w:p w:rsidR="00415BFD" w:rsidRDefault="00415BFD" w:rsidP="00DE649A">
            <w:pPr>
              <w:pStyle w:val="Tabletext"/>
              <w:jc w:val="both"/>
              <w:cnfStyle w:val="000000000000" w:firstRow="0" w:lastRow="0" w:firstColumn="0" w:lastColumn="0" w:oddVBand="0" w:evenVBand="0" w:oddHBand="0" w:evenHBand="0" w:firstRowFirstColumn="0" w:firstRowLastColumn="0" w:lastRowFirstColumn="0" w:lastRowLastColumn="0"/>
            </w:pPr>
            <w:r>
              <w:t xml:space="preserve">We included the impact of cost offsets in our baseline analysis – i.e., the costs of treating major depression that are averted due to the reduction in prevalent cases of depression (flowing on from reductions in the incidence of major depression). The average cost per prevalent case of depression was calculated using data from the 2010 </w:t>
            </w:r>
            <w:r w:rsidRPr="00D33D3F">
              <w:t xml:space="preserve">AIHW </w:t>
            </w:r>
            <w:r>
              <w:t xml:space="preserve">disease expenditure report on the combined expenditures attributable to both depression and anxiety disorders </w:t>
            </w:r>
            <w:r>
              <w:rPr>
                <w:noProof/>
              </w:rPr>
              <w:t>[24]</w:t>
            </w:r>
            <w:r>
              <w:t xml:space="preserve">; and using comorbidity data sourced from the 2007 NSMHWB to calculate the expenditures attributable to the total envelope of depression, after excluding anxiety disorders </w:t>
            </w:r>
            <w:r>
              <w:rPr>
                <w:noProof/>
              </w:rPr>
              <w:t>[25]</w:t>
            </w:r>
            <w:r>
              <w:t xml:space="preserve">. Total cost offsets were enumerated by multiplying the average cost per prevalent case of depression by the total number of prevalent cases calculated by the health benefit model described in section </w:t>
            </w:r>
            <w:r>
              <w:fldChar w:fldCharType="begin"/>
            </w:r>
            <w:r>
              <w:instrText xml:space="preserve"> REF _Ref451328430 \r \h </w:instrText>
            </w:r>
            <w:r>
              <w:fldChar w:fldCharType="separate"/>
            </w:r>
            <w:r>
              <w:t>4.1</w:t>
            </w:r>
            <w:r>
              <w:fldChar w:fldCharType="end"/>
            </w:r>
            <w:r>
              <w:t>.</w:t>
            </w:r>
          </w:p>
        </w:tc>
      </w:tr>
      <w:tr w:rsidR="00415BFD" w:rsidTr="00AF3932">
        <w:trPr>
          <w:cnfStyle w:val="000000100000" w:firstRow="0" w:lastRow="0" w:firstColumn="0" w:lastColumn="0" w:oddVBand="0" w:evenVBand="0" w:oddHBand="1" w:evenHBand="0" w:firstRowFirstColumn="0" w:firstRowLastColumn="0" w:lastRowFirstColumn="0" w:lastRowLastColumn="0"/>
          <w:cantSplit/>
          <w:trHeight w:val="680"/>
        </w:trPr>
        <w:tc>
          <w:tcPr>
            <w:cnfStyle w:val="001000000000" w:firstRow="0" w:lastRow="0" w:firstColumn="1" w:lastColumn="0" w:oddVBand="0" w:evenVBand="0" w:oddHBand="0" w:evenHBand="0" w:firstRowFirstColumn="0" w:firstRowLastColumn="0" w:lastRowFirstColumn="0" w:lastRowLastColumn="0"/>
            <w:tcW w:w="9242" w:type="dxa"/>
            <w:gridSpan w:val="2"/>
          </w:tcPr>
          <w:p w:rsidR="00415BFD" w:rsidRDefault="00415BFD" w:rsidP="00244318">
            <w:pPr>
              <w:pStyle w:val="Tabletext"/>
              <w:spacing w:before="240"/>
              <w:jc w:val="both"/>
              <w:rPr>
                <w:b w:val="0"/>
                <w:i/>
              </w:rPr>
            </w:pPr>
            <w:r>
              <w:rPr>
                <w:b w:val="0"/>
                <w:i/>
              </w:rPr>
              <w:t>Internet-based</w:t>
            </w:r>
            <w:r w:rsidRPr="00850897">
              <w:rPr>
                <w:b w:val="0"/>
                <w:i/>
              </w:rPr>
              <w:t xml:space="preserve"> </w:t>
            </w:r>
            <w:r>
              <w:rPr>
                <w:b w:val="0"/>
                <w:i/>
              </w:rPr>
              <w:t xml:space="preserve">delivery of universal </w:t>
            </w:r>
            <w:r w:rsidRPr="00850897">
              <w:rPr>
                <w:b w:val="0"/>
                <w:i/>
              </w:rPr>
              <w:t xml:space="preserve">psychological </w:t>
            </w:r>
            <w:r>
              <w:rPr>
                <w:b w:val="0"/>
                <w:i/>
              </w:rPr>
              <w:t>prevention</w:t>
            </w:r>
          </w:p>
          <w:p w:rsidR="00415BFD" w:rsidRPr="00730EEF" w:rsidRDefault="00415BFD" w:rsidP="006C747B">
            <w:pPr>
              <w:pStyle w:val="Tabletext"/>
              <w:spacing w:after="240"/>
              <w:jc w:val="both"/>
            </w:pPr>
            <w:r w:rsidRPr="00730EEF">
              <w:rPr>
                <w:b w:val="0"/>
              </w:rPr>
              <w:t xml:space="preserve">The internet-based delivery of universal psychological </w:t>
            </w:r>
            <w:r>
              <w:rPr>
                <w:b w:val="0"/>
              </w:rPr>
              <w:t>prevention</w:t>
            </w:r>
            <w:r w:rsidRPr="00730EEF">
              <w:rPr>
                <w:b w:val="0"/>
              </w:rPr>
              <w:t xml:space="preserve"> followed a modified intervention pathway to that used for face-to-face delivery. In this case, we assumed that all eligible youth take time in class to complete online modules. During this time, teachers provide basic supervision while children completed self-directed modules on a school computer (i.e., the teacher monitors the class and provides behaviour management when required, but does not actively guide the students through the completion of modules). This unmoderated form of internet-delivery means that teachers do not require additional training to learn how to facilitate the delivery of intervention modules.</w:t>
            </w:r>
          </w:p>
        </w:tc>
      </w:tr>
      <w:tr w:rsidR="00415BFD" w:rsidTr="006B60A3">
        <w:trPr>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6B60A3">
            <w:pPr>
              <w:pStyle w:val="Tabletext"/>
              <w:rPr>
                <w:b w:val="0"/>
              </w:rPr>
            </w:pPr>
            <w:r>
              <w:rPr>
                <w:b w:val="0"/>
              </w:rPr>
              <w:t>Total annual subscription cost for schools to deliver internet-based modules for universal psychological intervention</w:t>
            </w:r>
          </w:p>
          <w:p w:rsidR="00415BFD" w:rsidRPr="002610EE" w:rsidRDefault="00415BFD" w:rsidP="006B60A3">
            <w:pPr>
              <w:pStyle w:val="Tabletext"/>
              <w:rPr>
                <w:b w:val="0"/>
                <w:i/>
              </w:rPr>
            </w:pPr>
            <w:r>
              <w:rPr>
                <w:b w:val="0"/>
                <w:i/>
              </w:rPr>
              <w:t>(Intervention delivery)</w:t>
            </w:r>
          </w:p>
        </w:tc>
        <w:tc>
          <w:tcPr>
            <w:tcW w:w="6440" w:type="dxa"/>
          </w:tcPr>
          <w:p w:rsidR="00415BFD" w:rsidRPr="004D5451" w:rsidRDefault="00415BFD" w:rsidP="00DE649A">
            <w:pPr>
              <w:pStyle w:val="Tabletext"/>
              <w:jc w:val="both"/>
              <w:cnfStyle w:val="000000000000" w:firstRow="0" w:lastRow="0" w:firstColumn="0" w:lastColumn="0" w:oddVBand="0" w:evenVBand="0" w:oddHBand="0" w:evenHBand="0" w:firstRowFirstColumn="0" w:firstRowLastColumn="0" w:lastRowFirstColumn="0" w:lastRowLastColumn="0"/>
            </w:pPr>
            <w:r>
              <w:t>We were</w:t>
            </w:r>
            <w:r w:rsidRPr="00DF34A5">
              <w:t xml:space="preserve"> unable to find a comprehensive estimate on the cost of delivering an online universal intervention – i.e., an estimate inclusive of the cost of developing the content, staff, maintaining servers and other IT infrastructure. </w:t>
            </w:r>
            <w:r>
              <w:t xml:space="preserve">As such, we calculated a crude estimate of the annual cost per student of delivering internet-based universal prevention using data on annual subscription fees from </w:t>
            </w:r>
            <w:r w:rsidRPr="00DF34A5">
              <w:t>THIS WAY UP Schools</w:t>
            </w:r>
            <w:r>
              <w:t xml:space="preserve"> </w:t>
            </w:r>
            <w:r>
              <w:rPr>
                <w:noProof/>
              </w:rPr>
              <w:t>[26]</w:t>
            </w:r>
            <w:r>
              <w:t xml:space="preserve">. The total annual subscription cost across all Australian schools in 2013 was calculated by: multiplying the annual subscription fee per student; by the total number of Australian students in 2013 (this was based on estimates for the eligible population in section </w:t>
            </w:r>
            <w:r>
              <w:fldChar w:fldCharType="begin"/>
            </w:r>
            <w:r>
              <w:instrText xml:space="preserve"> REF _Ref451178342 \r \h </w:instrText>
            </w:r>
            <w:r>
              <w:fldChar w:fldCharType="separate"/>
            </w:r>
            <w:r>
              <w:t>3.2</w:t>
            </w:r>
            <w:r>
              <w:fldChar w:fldCharType="end"/>
            </w:r>
            <w:r>
              <w:t>).</w:t>
            </w:r>
          </w:p>
        </w:tc>
      </w:tr>
      <w:tr w:rsidR="00415BFD" w:rsidTr="006B60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D53D8A">
            <w:pPr>
              <w:pStyle w:val="Tabletext"/>
              <w:rPr>
                <w:b w:val="0"/>
              </w:rPr>
            </w:pPr>
            <w:r>
              <w:rPr>
                <w:b w:val="0"/>
              </w:rPr>
              <w:lastRenderedPageBreak/>
              <w:t>Cost of time spent by teachers supervising students while they complete online intervention modules</w:t>
            </w:r>
          </w:p>
          <w:p w:rsidR="00415BFD" w:rsidRPr="00671BA6" w:rsidRDefault="00415BFD" w:rsidP="00D53D8A">
            <w:pPr>
              <w:pStyle w:val="Tabletext"/>
              <w:rPr>
                <w:b w:val="0"/>
              </w:rPr>
            </w:pPr>
            <w:r>
              <w:rPr>
                <w:b w:val="0"/>
                <w:i/>
              </w:rPr>
              <w:t>(Intervention delivery)</w:t>
            </w:r>
          </w:p>
        </w:tc>
        <w:tc>
          <w:tcPr>
            <w:tcW w:w="6440" w:type="dxa"/>
          </w:tcPr>
          <w:p w:rsidR="00415BFD" w:rsidRPr="004D5451" w:rsidRDefault="00415BFD" w:rsidP="00DE649A">
            <w:pPr>
              <w:pStyle w:val="Tabletext"/>
              <w:jc w:val="both"/>
              <w:cnfStyle w:val="000000100000" w:firstRow="0" w:lastRow="0" w:firstColumn="0" w:lastColumn="0" w:oddVBand="0" w:evenVBand="0" w:oddHBand="1" w:evenHBand="0" w:firstRowFirstColumn="0" w:firstRowLastColumn="0" w:lastRowFirstColumn="0" w:lastRowLastColumn="0"/>
            </w:pPr>
            <w:r>
              <w:t xml:space="preserve">We calculated the total time spent by teachers providing basic supervision to students (while completing online intervention modules using class computers) by calculating the product of: the total number of teachers providing basic supervision to classrooms (based on eligible population data in section </w:t>
            </w:r>
            <w:r>
              <w:fldChar w:fldCharType="begin"/>
            </w:r>
            <w:r>
              <w:instrText xml:space="preserve"> REF _Ref450772294 \r \h </w:instrText>
            </w:r>
            <w:r>
              <w:fldChar w:fldCharType="separate"/>
            </w:r>
            <w:r>
              <w:t>3.2</w:t>
            </w:r>
            <w:r>
              <w:fldChar w:fldCharType="end"/>
            </w:r>
            <w:r>
              <w:t xml:space="preserve">); the average number of internet-delivered intervention modules; and the average duration required to complete each module. While conducting the meta-review of intervention efficacy, we found 2 studies examining effect sizes for internet-delivered universal prevention </w:t>
            </w:r>
            <w:r>
              <w:rPr>
                <w:noProof/>
              </w:rPr>
              <w:t>[11,12]</w:t>
            </w:r>
            <w:r>
              <w:t xml:space="preserve">. We sourced data from these studies to calculate pooled estimates of the average number and duration of intervention modules (see section </w:t>
            </w:r>
            <w:r>
              <w:fldChar w:fldCharType="begin"/>
            </w:r>
            <w:r>
              <w:instrText xml:space="preserve"> REF _Ref451275702 \r \h </w:instrText>
            </w:r>
            <w:r>
              <w:fldChar w:fldCharType="separate"/>
            </w:r>
            <w:r>
              <w:t>5.3</w:t>
            </w:r>
            <w:r>
              <w:fldChar w:fldCharType="end"/>
            </w:r>
            <w:r>
              <w:t xml:space="preserve">). The aggregate estimate of teacher’s time spent providing classroom supervision was valued using an hourly wage rate calculated using data from the ABS Employee Earnings and Hours survey </w:t>
            </w:r>
            <w:r>
              <w:rPr>
                <w:noProof/>
              </w:rPr>
              <w:t>[23]</w:t>
            </w:r>
            <w:r>
              <w:t>; which</w:t>
            </w:r>
            <w:r w:rsidRPr="008D77DD">
              <w:t xml:space="preserve"> </w:t>
            </w:r>
            <w:r>
              <w:t>included a 30% loading for on-costs).</w:t>
            </w:r>
          </w:p>
        </w:tc>
      </w:tr>
      <w:tr w:rsidR="00415BFD" w:rsidTr="006B60A3">
        <w:trPr>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F47DC5">
            <w:pPr>
              <w:pStyle w:val="Tabletext"/>
              <w:rPr>
                <w:b w:val="0"/>
              </w:rPr>
            </w:pPr>
            <w:r>
              <w:rPr>
                <w:b w:val="0"/>
              </w:rPr>
              <w:t>Total cost offsets resulting from the reduction in prevalent cases of major depression</w:t>
            </w:r>
          </w:p>
          <w:p w:rsidR="00415BFD" w:rsidRDefault="00415BFD" w:rsidP="00F47DC5">
            <w:pPr>
              <w:pStyle w:val="Tabletext"/>
              <w:rPr>
                <w:b w:val="0"/>
              </w:rPr>
            </w:pPr>
            <w:r w:rsidRPr="003D017F">
              <w:rPr>
                <w:b w:val="0"/>
                <w:i/>
              </w:rPr>
              <w:t>(</w:t>
            </w:r>
            <w:r>
              <w:rPr>
                <w:b w:val="0"/>
                <w:i/>
              </w:rPr>
              <w:t>Cost offsets</w:t>
            </w:r>
            <w:r w:rsidRPr="003D017F">
              <w:rPr>
                <w:b w:val="0"/>
                <w:i/>
              </w:rPr>
              <w:t>)</w:t>
            </w:r>
          </w:p>
        </w:tc>
        <w:tc>
          <w:tcPr>
            <w:tcW w:w="6440" w:type="dxa"/>
          </w:tcPr>
          <w:p w:rsidR="00415BFD" w:rsidRDefault="00415BFD" w:rsidP="00F47DC5">
            <w:pPr>
              <w:pStyle w:val="Tabletext"/>
              <w:jc w:val="both"/>
              <w:cnfStyle w:val="000000000000" w:firstRow="0" w:lastRow="0" w:firstColumn="0" w:lastColumn="0" w:oddVBand="0" w:evenVBand="0" w:oddHBand="0" w:evenHBand="0" w:firstRowFirstColumn="0" w:firstRowLastColumn="0" w:lastRowFirstColumn="0" w:lastRowLastColumn="0"/>
            </w:pPr>
            <w:r>
              <w:t>The method used to calculate cost offsets arising from the internet-delivered intervention pathway for universal prevention was similar to that used in the face-to-face intervention pathway (see above).</w:t>
            </w:r>
          </w:p>
        </w:tc>
      </w:tr>
    </w:tbl>
    <w:p w:rsidR="00415BFD" w:rsidRDefault="00415BFD" w:rsidP="00FF0E48"/>
    <w:p w:rsidR="00415BFD" w:rsidRDefault="00415BFD" w:rsidP="00FF0E48"/>
    <w:p w:rsidR="00415BFD" w:rsidRDefault="00415BFD">
      <w:pPr>
        <w:spacing w:line="240" w:lineRule="auto"/>
        <w:jc w:val="left"/>
      </w:pPr>
      <w:r>
        <w:br w:type="page"/>
      </w:r>
    </w:p>
    <w:p w:rsidR="00415BFD" w:rsidRDefault="00415BFD" w:rsidP="00415BFD">
      <w:pPr>
        <w:pStyle w:val="MyTable"/>
        <w:numPr>
          <w:ilvl w:val="3"/>
          <w:numId w:val="9"/>
        </w:numPr>
      </w:pPr>
      <w:bookmarkStart w:id="23" w:name="_Ref451289376"/>
      <w:bookmarkStart w:id="24" w:name="_Ref451355759"/>
      <w:bookmarkStart w:id="25" w:name="_Toc452066449"/>
      <w:r>
        <w:lastRenderedPageBreak/>
        <w:t>Rationale and description of various data sources used to conduct the cost analysis of intervention pathways for indicated prevention</w:t>
      </w:r>
      <w:bookmarkEnd w:id="23"/>
      <w:r>
        <w:t xml:space="preserve"> </w:t>
      </w:r>
      <w:r>
        <w:rPr>
          <w:rStyle w:val="FootnoteReference"/>
        </w:rPr>
        <w:footnoteReference w:id="4"/>
      </w:r>
      <w:bookmarkEnd w:id="24"/>
      <w:bookmarkEnd w:id="25"/>
    </w:p>
    <w:tbl>
      <w:tblPr>
        <w:tblStyle w:val="LightShading"/>
        <w:tblW w:w="0" w:type="auto"/>
        <w:tblLook w:val="04A0" w:firstRow="1" w:lastRow="0" w:firstColumn="1" w:lastColumn="0" w:noHBand="0" w:noVBand="1"/>
      </w:tblPr>
      <w:tblGrid>
        <w:gridCol w:w="2752"/>
        <w:gridCol w:w="6274"/>
      </w:tblGrid>
      <w:tr w:rsidR="00415BFD" w:rsidTr="007B77A6">
        <w:trPr>
          <w:cnfStyle w:val="100000000000" w:firstRow="1" w:lastRow="0" w:firstColumn="0" w:lastColumn="0" w:oddVBand="0" w:evenVBand="0" w:oddHBand="0" w:evenHBand="0" w:firstRowFirstColumn="0" w:firstRowLastColumn="0" w:lastRowFirstColumn="0" w:lastRowLastColumn="0"/>
          <w:cantSplit/>
          <w:trHeight w:val="907"/>
          <w:tblHeader/>
        </w:trPr>
        <w:tc>
          <w:tcPr>
            <w:cnfStyle w:val="001000000000" w:firstRow="0" w:lastRow="0" w:firstColumn="1" w:lastColumn="0" w:oddVBand="0" w:evenVBand="0" w:oddHBand="0" w:evenHBand="0" w:firstRowFirstColumn="0" w:firstRowLastColumn="0" w:lastRowFirstColumn="0" w:lastRowLastColumn="0"/>
            <w:tcW w:w="2802" w:type="dxa"/>
          </w:tcPr>
          <w:p w:rsidR="00415BFD" w:rsidRPr="00A87F5E" w:rsidRDefault="00415BFD" w:rsidP="007B77A6">
            <w:pPr>
              <w:pStyle w:val="Tabletext"/>
            </w:pPr>
            <w:r w:rsidRPr="00A87F5E">
              <w:t>Input parameter</w:t>
            </w:r>
          </w:p>
          <w:p w:rsidR="00415BFD" w:rsidRPr="002A6198" w:rsidRDefault="00415BFD" w:rsidP="008832C2">
            <w:pPr>
              <w:pStyle w:val="Tabletext"/>
              <w:rPr>
                <w:b w:val="0"/>
                <w:i/>
              </w:rPr>
            </w:pPr>
            <w:r w:rsidRPr="002A6198">
              <w:rPr>
                <w:b w:val="0"/>
                <w:i/>
              </w:rPr>
              <w:t>(</w:t>
            </w:r>
            <w:r>
              <w:rPr>
                <w:b w:val="0"/>
                <w:i/>
              </w:rPr>
              <w:t>Step in intervention pathway</w:t>
            </w:r>
            <w:r w:rsidRPr="002A6198">
              <w:rPr>
                <w:b w:val="0"/>
                <w:i/>
              </w:rPr>
              <w:t>)</w:t>
            </w:r>
          </w:p>
        </w:tc>
        <w:tc>
          <w:tcPr>
            <w:tcW w:w="6440" w:type="dxa"/>
          </w:tcPr>
          <w:p w:rsidR="00415BFD" w:rsidRPr="00A87F5E" w:rsidRDefault="00415BFD" w:rsidP="007B77A6">
            <w:pPr>
              <w:pStyle w:val="Tabletext"/>
              <w:cnfStyle w:val="100000000000" w:firstRow="1" w:lastRow="0" w:firstColumn="0" w:lastColumn="0" w:oddVBand="0" w:evenVBand="0" w:oddHBand="0" w:evenHBand="0" w:firstRowFirstColumn="0" w:firstRowLastColumn="0" w:lastRowFirstColumn="0" w:lastRowLastColumn="0"/>
            </w:pPr>
            <w:r w:rsidRPr="00A87F5E">
              <w:t>Data source and rationale</w:t>
            </w:r>
          </w:p>
        </w:tc>
      </w:tr>
      <w:tr w:rsidR="00415BFD" w:rsidTr="008842AF">
        <w:trPr>
          <w:cnfStyle w:val="000000100000" w:firstRow="0" w:lastRow="0" w:firstColumn="0" w:lastColumn="0" w:oddVBand="0" w:evenVBand="0" w:oddHBand="1" w:evenHBand="0" w:firstRowFirstColumn="0" w:firstRowLastColumn="0" w:lastRowFirstColumn="0" w:lastRowLastColumn="0"/>
          <w:cantSplit/>
          <w:trHeight w:val="680"/>
        </w:trPr>
        <w:tc>
          <w:tcPr>
            <w:cnfStyle w:val="001000000000" w:firstRow="0" w:lastRow="0" w:firstColumn="1" w:lastColumn="0" w:oddVBand="0" w:evenVBand="0" w:oddHBand="0" w:evenHBand="0" w:firstRowFirstColumn="0" w:firstRowLastColumn="0" w:lastRowFirstColumn="0" w:lastRowLastColumn="0"/>
            <w:tcW w:w="9242" w:type="dxa"/>
            <w:gridSpan w:val="2"/>
          </w:tcPr>
          <w:p w:rsidR="00415BFD" w:rsidRDefault="00415BFD" w:rsidP="002B1DDA">
            <w:pPr>
              <w:pStyle w:val="Tabletext"/>
              <w:spacing w:before="240"/>
              <w:jc w:val="both"/>
              <w:rPr>
                <w:b w:val="0"/>
                <w:i/>
              </w:rPr>
            </w:pPr>
            <w:r>
              <w:rPr>
                <w:b w:val="0"/>
                <w:i/>
              </w:rPr>
              <w:t>F</w:t>
            </w:r>
            <w:r w:rsidRPr="00850897">
              <w:rPr>
                <w:b w:val="0"/>
                <w:i/>
              </w:rPr>
              <w:t xml:space="preserve">ace-to-face </w:t>
            </w:r>
            <w:r>
              <w:rPr>
                <w:b w:val="0"/>
                <w:i/>
              </w:rPr>
              <w:t xml:space="preserve">delivery of indicated </w:t>
            </w:r>
            <w:r w:rsidRPr="00850897">
              <w:rPr>
                <w:b w:val="0"/>
                <w:i/>
              </w:rPr>
              <w:t xml:space="preserve">psychological </w:t>
            </w:r>
            <w:r>
              <w:rPr>
                <w:b w:val="0"/>
                <w:i/>
              </w:rPr>
              <w:t>prevention</w:t>
            </w:r>
          </w:p>
          <w:p w:rsidR="00415BFD" w:rsidRPr="00730EEF" w:rsidRDefault="00415BFD" w:rsidP="009A68F2">
            <w:pPr>
              <w:pStyle w:val="Tabletext"/>
              <w:spacing w:after="240"/>
              <w:jc w:val="both"/>
              <w:rPr>
                <w:b w:val="0"/>
              </w:rPr>
            </w:pPr>
            <w:r w:rsidRPr="00730EEF">
              <w:rPr>
                <w:b w:val="0"/>
              </w:rPr>
              <w:t>The intervention pathway for face-to-face delivery of indicated psychological prevention involves three main steps: (1) screening students at participating schools for elevated symptoms</w:t>
            </w:r>
            <w:r>
              <w:rPr>
                <w:b w:val="0"/>
              </w:rPr>
              <w:t xml:space="preserve"> of depression using the CES-D</w:t>
            </w:r>
            <w:r w:rsidRPr="00730EEF">
              <w:rPr>
                <w:b w:val="0"/>
              </w:rPr>
              <w:t xml:space="preserve">; (2) </w:t>
            </w:r>
            <w:r>
              <w:rPr>
                <w:b w:val="0"/>
              </w:rPr>
              <w:t>psychologists conducting</w:t>
            </w:r>
            <w:r w:rsidRPr="00730EEF">
              <w:rPr>
                <w:b w:val="0"/>
              </w:rPr>
              <w:t xml:space="preserve"> further diagnostic testing to identify students without a depression diagnosis; and (3) </w:t>
            </w:r>
            <w:r>
              <w:rPr>
                <w:b w:val="0"/>
              </w:rPr>
              <w:t>psychologists delivering group-based psychological intervention modules to eligible students</w:t>
            </w:r>
            <w:r w:rsidRPr="00730EEF">
              <w:rPr>
                <w:b w:val="0"/>
              </w:rPr>
              <w:t>.</w:t>
            </w:r>
          </w:p>
        </w:tc>
      </w:tr>
      <w:tr w:rsidR="00415BFD" w:rsidTr="006B60A3">
        <w:trPr>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2B1DDA">
            <w:pPr>
              <w:pStyle w:val="Tabletext"/>
              <w:rPr>
                <w:b w:val="0"/>
              </w:rPr>
            </w:pPr>
            <w:r>
              <w:rPr>
                <w:b w:val="0"/>
              </w:rPr>
              <w:t>Total cost of time spent by (salaried) psychologists to t</w:t>
            </w:r>
            <w:r w:rsidRPr="008A6349">
              <w:rPr>
                <w:b w:val="0"/>
              </w:rPr>
              <w:t xml:space="preserve">rain teachers </w:t>
            </w:r>
            <w:r>
              <w:rPr>
                <w:b w:val="0"/>
              </w:rPr>
              <w:t>in how to</w:t>
            </w:r>
            <w:r w:rsidRPr="008A6349">
              <w:rPr>
                <w:b w:val="0"/>
              </w:rPr>
              <w:t xml:space="preserve"> </w:t>
            </w:r>
            <w:r>
              <w:rPr>
                <w:b w:val="0"/>
              </w:rPr>
              <w:t>administer the CES-D screening tool</w:t>
            </w:r>
          </w:p>
          <w:p w:rsidR="00415BFD" w:rsidRPr="00671BA6" w:rsidRDefault="00415BFD" w:rsidP="006F79DC">
            <w:pPr>
              <w:pStyle w:val="Tabletext"/>
              <w:rPr>
                <w:b w:val="0"/>
              </w:rPr>
            </w:pPr>
            <w:r w:rsidRPr="003D017F">
              <w:rPr>
                <w:b w:val="0"/>
                <w:i/>
              </w:rPr>
              <w:t>(</w:t>
            </w:r>
            <w:r>
              <w:rPr>
                <w:b w:val="0"/>
                <w:i/>
              </w:rPr>
              <w:t>Step 1: Screening</w:t>
            </w:r>
            <w:r w:rsidRPr="003D017F">
              <w:rPr>
                <w:b w:val="0"/>
                <w:i/>
              </w:rPr>
              <w:t>)</w:t>
            </w:r>
          </w:p>
        </w:tc>
        <w:tc>
          <w:tcPr>
            <w:tcW w:w="6440" w:type="dxa"/>
          </w:tcPr>
          <w:p w:rsidR="00415BFD" w:rsidRDefault="00415BFD" w:rsidP="008842AF">
            <w:pPr>
              <w:pStyle w:val="Tabletext"/>
              <w:jc w:val="both"/>
              <w:cnfStyle w:val="000000000000" w:firstRow="0" w:lastRow="0" w:firstColumn="0" w:lastColumn="0" w:oddVBand="0" w:evenVBand="0" w:oddHBand="0" w:evenHBand="0" w:firstRowFirstColumn="0" w:firstRowLastColumn="0" w:lastRowFirstColumn="0" w:lastRowLastColumn="0"/>
            </w:pPr>
            <w:r>
              <w:t>Teachers require basic training to administer the CES-D screening tool in the classroom. We assumed that a salaried psychologist would be hired to go to each school to train teachers on how to administer the CES-D. The total number of</w:t>
            </w:r>
            <w:r w:rsidRPr="00EA3FB9">
              <w:t xml:space="preserve"> schools </w:t>
            </w:r>
            <w:r>
              <w:t>to which</w:t>
            </w:r>
            <w:r w:rsidRPr="00EA3FB9">
              <w:t xml:space="preserve"> </w:t>
            </w:r>
            <w:r>
              <w:t xml:space="preserve">these </w:t>
            </w:r>
            <w:r w:rsidRPr="00EA3FB9">
              <w:t xml:space="preserve">psychologists </w:t>
            </w:r>
            <w:r>
              <w:t>are</w:t>
            </w:r>
            <w:r w:rsidRPr="00EA3FB9">
              <w:t xml:space="preserve"> </w:t>
            </w:r>
            <w:r>
              <w:t>required to</w:t>
            </w:r>
            <w:r w:rsidRPr="00EA3FB9">
              <w:t xml:space="preserve"> </w:t>
            </w:r>
            <w:r>
              <w:t>provide</w:t>
            </w:r>
            <w:r w:rsidRPr="00EA3FB9">
              <w:t xml:space="preserve"> training </w:t>
            </w:r>
            <w:r>
              <w:t>was</w:t>
            </w:r>
            <w:r w:rsidRPr="00EA3FB9">
              <w:t xml:space="preserve"> calculated as</w:t>
            </w:r>
            <w:r>
              <w:t>:</w:t>
            </w:r>
            <w:r w:rsidRPr="00EA3FB9">
              <w:t xml:space="preserve"> the </w:t>
            </w:r>
            <w:r>
              <w:t>total number</w:t>
            </w:r>
            <w:r w:rsidRPr="00EA3FB9">
              <w:t xml:space="preserve"> of teachers</w:t>
            </w:r>
            <w:r>
              <w:t xml:space="preserve"> across Australia in 2013;</w:t>
            </w:r>
            <w:r w:rsidRPr="00EA3FB9">
              <w:t xml:space="preserve"> divided by the</w:t>
            </w:r>
            <w:r>
              <w:t xml:space="preserve"> average number</w:t>
            </w:r>
            <w:r w:rsidRPr="00EA3FB9">
              <w:t xml:space="preserve"> of teachers per school. </w:t>
            </w:r>
            <w:r>
              <w:t>The total n</w:t>
            </w:r>
            <w:r w:rsidRPr="00EA3FB9">
              <w:t xml:space="preserve">umber of teachers </w:t>
            </w:r>
            <w:r>
              <w:t>across Australia in 2013 was</w:t>
            </w:r>
            <w:r w:rsidRPr="00EA3FB9">
              <w:t xml:space="preserve"> calculated by dividing the total </w:t>
            </w:r>
            <w:r>
              <w:t>n</w:t>
            </w:r>
            <w:r w:rsidRPr="00EA3FB9">
              <w:t>umber of students</w:t>
            </w:r>
            <w:r>
              <w:t xml:space="preserve"> (using data on the eligible population in section </w:t>
            </w:r>
            <w:r>
              <w:fldChar w:fldCharType="begin"/>
            </w:r>
            <w:r>
              <w:instrText xml:space="preserve"> REF _Ref451278064 \r \h </w:instrText>
            </w:r>
            <w:r>
              <w:fldChar w:fldCharType="separate"/>
            </w:r>
            <w:r>
              <w:t>3.3</w:t>
            </w:r>
            <w:r>
              <w:fldChar w:fldCharType="end"/>
            </w:r>
            <w:r>
              <w:t xml:space="preserve">) </w:t>
            </w:r>
            <w:r w:rsidRPr="00EA3FB9">
              <w:t xml:space="preserve">by the average </w:t>
            </w:r>
            <w:r>
              <w:t>n</w:t>
            </w:r>
            <w:r w:rsidRPr="00EA3FB9">
              <w:t xml:space="preserve">umber </w:t>
            </w:r>
            <w:r>
              <w:t xml:space="preserve">of students per class (using OECD data </w:t>
            </w:r>
            <w:r>
              <w:rPr>
                <w:noProof/>
              </w:rPr>
              <w:t>[21]</w:t>
            </w:r>
            <w:r>
              <w:t xml:space="preserve">). The average number of teachers per school was based on data from an ABS survey of schools </w:t>
            </w:r>
            <w:r>
              <w:rPr>
                <w:noProof/>
              </w:rPr>
              <w:t>[22]</w:t>
            </w:r>
            <w:r>
              <w:t xml:space="preserve">. </w:t>
            </w:r>
          </w:p>
          <w:p w:rsidR="00415BFD" w:rsidRDefault="00415BFD" w:rsidP="008842AF">
            <w:pPr>
              <w:pStyle w:val="Tabletext"/>
              <w:jc w:val="both"/>
              <w:cnfStyle w:val="000000000000" w:firstRow="0" w:lastRow="0" w:firstColumn="0" w:lastColumn="0" w:oddVBand="0" w:evenVBand="0" w:oddHBand="0" w:evenHBand="0" w:firstRowFirstColumn="0" w:firstRowLastColumn="0" w:lastRowFirstColumn="0" w:lastRowLastColumn="0"/>
            </w:pPr>
            <w:r>
              <w:t xml:space="preserve">The next step was to estimate the total number of psychologist hours required to provide training to all these schools. In the absence of available data we assumed that group-based training of teachers in each school would take 1 hour in total (this is in line with the assumption made for the same parameter in the previous study by </w:t>
            </w:r>
            <w:r>
              <w:rPr>
                <w:noProof/>
              </w:rPr>
              <w:t>Mihalopoulos et al. [5]</w:t>
            </w:r>
            <w:r>
              <w:t>).</w:t>
            </w:r>
          </w:p>
          <w:p w:rsidR="00415BFD" w:rsidRPr="002E065E" w:rsidRDefault="00415BFD" w:rsidP="00DE649A">
            <w:pPr>
              <w:pStyle w:val="Tabletext"/>
              <w:jc w:val="both"/>
              <w:cnfStyle w:val="000000000000" w:firstRow="0" w:lastRow="0" w:firstColumn="0" w:lastColumn="0" w:oddVBand="0" w:evenVBand="0" w:oddHBand="0" w:evenHBand="0" w:firstRowFirstColumn="0" w:firstRowLastColumn="0" w:lastRowFirstColumn="0" w:lastRowLastColumn="0"/>
            </w:pPr>
            <w:r>
              <w:t xml:space="preserve">Multiplying the average number of hours per school by the total number of school across Australia in 2013 resulted in an estimate of the total psychologist hours required to train all teachers across participating Australian schools in 2013 to administer the CES-D questionnaire. Psychologist time was valued using an hourly wage rate based on data from the ABS Employee Earnings and Hours survey </w:t>
            </w:r>
            <w:r>
              <w:rPr>
                <w:noProof/>
              </w:rPr>
              <w:t>[23]</w:t>
            </w:r>
            <w:r>
              <w:t>; which included a 30% loading for on-costs).</w:t>
            </w:r>
          </w:p>
        </w:tc>
      </w:tr>
      <w:tr w:rsidR="00415BFD" w:rsidTr="006B60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D02289">
            <w:pPr>
              <w:pStyle w:val="Tabletext"/>
              <w:rPr>
                <w:b w:val="0"/>
              </w:rPr>
            </w:pPr>
            <w:r>
              <w:rPr>
                <w:b w:val="0"/>
              </w:rPr>
              <w:lastRenderedPageBreak/>
              <w:t xml:space="preserve">Total cost of time spent by </w:t>
            </w:r>
            <w:r w:rsidRPr="00D46B2E">
              <w:rPr>
                <w:b w:val="0"/>
              </w:rPr>
              <w:t xml:space="preserve">teachers </w:t>
            </w:r>
            <w:r>
              <w:rPr>
                <w:b w:val="0"/>
              </w:rPr>
              <w:t>administering the CES-D questionnaire</w:t>
            </w:r>
          </w:p>
          <w:p w:rsidR="00415BFD" w:rsidRPr="00671BA6" w:rsidRDefault="00415BFD" w:rsidP="00D02289">
            <w:pPr>
              <w:pStyle w:val="Tabletext"/>
              <w:rPr>
                <w:b w:val="0"/>
              </w:rPr>
            </w:pPr>
            <w:r w:rsidRPr="003D017F">
              <w:rPr>
                <w:b w:val="0"/>
                <w:i/>
              </w:rPr>
              <w:t>(</w:t>
            </w:r>
            <w:r>
              <w:rPr>
                <w:b w:val="0"/>
                <w:i/>
              </w:rPr>
              <w:t>Step 1: Screening</w:t>
            </w:r>
            <w:r w:rsidRPr="003D017F">
              <w:rPr>
                <w:b w:val="0"/>
                <w:i/>
              </w:rPr>
              <w:t>)</w:t>
            </w:r>
          </w:p>
        </w:tc>
        <w:tc>
          <w:tcPr>
            <w:tcW w:w="6440" w:type="dxa"/>
          </w:tcPr>
          <w:p w:rsidR="00415BFD" w:rsidRDefault="00415BFD" w:rsidP="00F6262C">
            <w:pPr>
              <w:pStyle w:val="Tabletext"/>
              <w:jc w:val="both"/>
              <w:cnfStyle w:val="000000100000" w:firstRow="0" w:lastRow="0" w:firstColumn="0" w:lastColumn="0" w:oddVBand="0" w:evenVBand="0" w:oddHBand="1" w:evenHBand="0" w:firstRowFirstColumn="0" w:firstRowLastColumn="0" w:lastRowFirstColumn="0" w:lastRowLastColumn="0"/>
            </w:pPr>
            <w:r>
              <w:t>We calculated the total time spent by teachers administering the CES-D questionnaire across Australia in 2013 by multiplying: the total number of teachers across Australia in 2013; by the average time required to complete CES-D questionnaires in the classroom,</w:t>
            </w:r>
          </w:p>
          <w:p w:rsidR="00415BFD" w:rsidRDefault="00415BFD" w:rsidP="00A1568E">
            <w:pPr>
              <w:pStyle w:val="Tabletext"/>
              <w:jc w:val="both"/>
              <w:cnfStyle w:val="000000100000" w:firstRow="0" w:lastRow="0" w:firstColumn="0" w:lastColumn="0" w:oddVBand="0" w:evenVBand="0" w:oddHBand="1" w:evenHBand="0" w:firstRowFirstColumn="0" w:firstRowLastColumn="0" w:lastRowFirstColumn="0" w:lastRowLastColumn="0"/>
            </w:pPr>
            <w:r>
              <w:t xml:space="preserve">The total number of teachers across Australia in 2013 was based on the estimate calculated in the previous screening parameter. In the absence of available data we assumed that the total time required to complete CES-D questionnaires would take 1 hour in total (this is in line with the assumption made for the same parameter in the previous study by </w:t>
            </w:r>
            <w:r>
              <w:rPr>
                <w:noProof/>
              </w:rPr>
              <w:t>Mihalopoulos et al. [5]</w:t>
            </w:r>
            <w:r>
              <w:t xml:space="preserve">). The aggregate estimate of teacher’s time spent administering the CES-D was valued using an hourly wage rate based on data from the ABS Employee Earnings and Hours survey </w:t>
            </w:r>
            <w:r>
              <w:rPr>
                <w:noProof/>
              </w:rPr>
              <w:t>[23]</w:t>
            </w:r>
            <w:r>
              <w:t>; which included a 30% loading for on-costs.</w:t>
            </w:r>
          </w:p>
          <w:p w:rsidR="00415BFD" w:rsidRPr="002E065E" w:rsidRDefault="00415BFD" w:rsidP="00A1568E">
            <w:pPr>
              <w:pStyle w:val="Tabletext"/>
              <w:jc w:val="both"/>
              <w:cnfStyle w:val="000000100000" w:firstRow="0" w:lastRow="0" w:firstColumn="0" w:lastColumn="0" w:oddVBand="0" w:evenVBand="0" w:oddHBand="1" w:evenHBand="0" w:firstRowFirstColumn="0" w:firstRowLastColumn="0" w:lastRowFirstColumn="0" w:lastRowLastColumn="0"/>
            </w:pPr>
            <w:r>
              <w:t>Note that we assumed that CES-D questionnaires would be completed online at no cost (the CES-D questionnaire has no licensing fees).</w:t>
            </w:r>
          </w:p>
        </w:tc>
      </w:tr>
      <w:tr w:rsidR="00415BFD" w:rsidTr="006B60A3">
        <w:trPr>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ED67F7">
            <w:pPr>
              <w:pStyle w:val="Tabletext"/>
              <w:rPr>
                <w:b w:val="0"/>
              </w:rPr>
            </w:pPr>
            <w:r>
              <w:rPr>
                <w:b w:val="0"/>
              </w:rPr>
              <w:t>Total cost of time spent by (salaried) psychologists to conduct further diagnostic testing on eligible students using the DISC-IV</w:t>
            </w:r>
          </w:p>
          <w:p w:rsidR="00415BFD" w:rsidRDefault="00415BFD" w:rsidP="00ED67F7">
            <w:pPr>
              <w:pStyle w:val="Tabletext"/>
              <w:rPr>
                <w:b w:val="0"/>
              </w:rPr>
            </w:pPr>
            <w:r w:rsidRPr="003D017F">
              <w:rPr>
                <w:b w:val="0"/>
                <w:i/>
              </w:rPr>
              <w:t>(</w:t>
            </w:r>
            <w:r>
              <w:rPr>
                <w:b w:val="0"/>
                <w:i/>
              </w:rPr>
              <w:t>Step 2: Further diagnostic testing</w:t>
            </w:r>
            <w:r w:rsidRPr="003D017F">
              <w:rPr>
                <w:b w:val="0"/>
                <w:i/>
              </w:rPr>
              <w:t>)</w:t>
            </w:r>
          </w:p>
          <w:p w:rsidR="00415BFD" w:rsidRPr="00671BA6" w:rsidRDefault="00415BFD" w:rsidP="006B60A3">
            <w:pPr>
              <w:pStyle w:val="Tabletext"/>
              <w:rPr>
                <w:b w:val="0"/>
              </w:rPr>
            </w:pPr>
          </w:p>
        </w:tc>
        <w:tc>
          <w:tcPr>
            <w:tcW w:w="6440" w:type="dxa"/>
          </w:tcPr>
          <w:p w:rsidR="00415BFD" w:rsidRDefault="00415BFD" w:rsidP="002431ED">
            <w:pPr>
              <w:pStyle w:val="Tabletext"/>
              <w:jc w:val="both"/>
              <w:cnfStyle w:val="000000000000" w:firstRow="0" w:lastRow="0" w:firstColumn="0" w:lastColumn="0" w:oddVBand="0" w:evenVBand="0" w:oddHBand="0" w:evenHBand="0" w:firstRowFirstColumn="0" w:firstRowLastColumn="0" w:lastRowFirstColumn="0" w:lastRowLastColumn="0"/>
            </w:pPr>
            <w:r>
              <w:t xml:space="preserve">Students who score above a CES-D cut-off of 16 (i.e., those with elevated symptoms of depression) require further diagnostic testing to ascertain whether they have a confirmed diagnosis of major depression or are, alternatively, experiencing subthreshold depressive symptoms. We assumed that eligible students undertook structured clinical interviews with a psychologist using the Diagnostic Interview Schedule for Children (DISC-IV). The DISC-IV was created by the National Institute of Mental Health in the USA and is considered the gold standard for diagnosing mental disorders in children and adolescents (i.e., as defined on the DSM-IV) </w:t>
            </w:r>
            <w:r>
              <w:rPr>
                <w:noProof/>
              </w:rPr>
              <w:t>[27]</w:t>
            </w:r>
            <w:r>
              <w:t>.</w:t>
            </w:r>
          </w:p>
          <w:p w:rsidR="00415BFD" w:rsidRPr="002E065E" w:rsidRDefault="00415BFD" w:rsidP="00DE649A">
            <w:pPr>
              <w:pStyle w:val="Tabletext"/>
              <w:jc w:val="both"/>
              <w:cnfStyle w:val="000000000000" w:firstRow="0" w:lastRow="0" w:firstColumn="0" w:lastColumn="0" w:oddVBand="0" w:evenVBand="0" w:oddHBand="0" w:evenHBand="0" w:firstRowFirstColumn="0" w:firstRowLastColumn="0" w:lastRowFirstColumn="0" w:lastRowLastColumn="0"/>
            </w:pPr>
            <w:r>
              <w:t xml:space="preserve">We calculated total time spent by (salaried) psychologists conducting structured clinical interviews on eligible students across Australia in 2013 by multiplying: the total number of students eligible for further diagnostic testing; by the average time required to complete the DISC-IV modules for depression diagnosis. Total number of eligible students is based on eligible population calculations outlined in </w:t>
            </w:r>
            <w:r>
              <w:fldChar w:fldCharType="begin"/>
            </w:r>
            <w:r>
              <w:instrText xml:space="preserve"> REF _Ref451184122 \r \h </w:instrText>
            </w:r>
            <w:r>
              <w:fldChar w:fldCharType="separate"/>
            </w:r>
            <w:r>
              <w:t>Table 1</w:t>
            </w:r>
            <w:r>
              <w:fldChar w:fldCharType="end"/>
            </w:r>
            <w:r>
              <w:t xml:space="preserve">; while average time required to complete DISC-IV modules is based on estimates from prior studies </w:t>
            </w:r>
            <w:r>
              <w:rPr>
                <w:noProof/>
              </w:rPr>
              <w:t>[28]</w:t>
            </w:r>
            <w:r>
              <w:t xml:space="preserve">. Total time spent conducting further testing was valued using an hourly wage rate based on data from the ABS Employee Earnings and Hours survey </w:t>
            </w:r>
            <w:r>
              <w:rPr>
                <w:noProof/>
              </w:rPr>
              <w:t>[23]</w:t>
            </w:r>
            <w:r>
              <w:t>; which included a 30% loading for on-costs.</w:t>
            </w:r>
          </w:p>
        </w:tc>
      </w:tr>
      <w:tr w:rsidR="00415BFD" w:rsidTr="00B87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E464F0">
            <w:pPr>
              <w:pStyle w:val="Tabletext"/>
              <w:rPr>
                <w:b w:val="0"/>
              </w:rPr>
            </w:pPr>
            <w:r>
              <w:rPr>
                <w:b w:val="0"/>
              </w:rPr>
              <w:t>Total cost of (MBS-funded) psychologists</w:t>
            </w:r>
            <w:r w:rsidRPr="00D46B2E">
              <w:rPr>
                <w:b w:val="0"/>
              </w:rPr>
              <w:t xml:space="preserve"> </w:t>
            </w:r>
            <w:r>
              <w:rPr>
                <w:b w:val="0"/>
              </w:rPr>
              <w:t>delivering</w:t>
            </w:r>
            <w:r w:rsidRPr="00D46B2E">
              <w:rPr>
                <w:b w:val="0"/>
              </w:rPr>
              <w:t xml:space="preserve"> group-based intervention modules </w:t>
            </w:r>
            <w:r>
              <w:rPr>
                <w:b w:val="0"/>
              </w:rPr>
              <w:t>for indicated prevention</w:t>
            </w:r>
          </w:p>
          <w:p w:rsidR="00415BFD" w:rsidRPr="00671BA6" w:rsidRDefault="00415BFD" w:rsidP="00E464F0">
            <w:pPr>
              <w:pStyle w:val="Tabletext"/>
              <w:rPr>
                <w:b w:val="0"/>
              </w:rPr>
            </w:pPr>
            <w:r w:rsidRPr="003D017F">
              <w:rPr>
                <w:b w:val="0"/>
                <w:i/>
              </w:rPr>
              <w:t>(</w:t>
            </w:r>
            <w:r>
              <w:rPr>
                <w:b w:val="0"/>
                <w:i/>
              </w:rPr>
              <w:t>Step 3: Intervention delivery</w:t>
            </w:r>
            <w:r w:rsidRPr="003D017F">
              <w:rPr>
                <w:b w:val="0"/>
                <w:i/>
              </w:rPr>
              <w:t>)</w:t>
            </w:r>
          </w:p>
        </w:tc>
        <w:tc>
          <w:tcPr>
            <w:tcW w:w="6440" w:type="dxa"/>
          </w:tcPr>
          <w:p w:rsidR="00415BFD" w:rsidRDefault="00415BFD" w:rsidP="00665130">
            <w:pPr>
              <w:pStyle w:val="Tabletext"/>
              <w:jc w:val="both"/>
              <w:cnfStyle w:val="000000100000" w:firstRow="0" w:lastRow="0" w:firstColumn="0" w:lastColumn="0" w:oddVBand="0" w:evenVBand="0" w:oddHBand="1" w:evenHBand="0" w:firstRowFirstColumn="0" w:firstRowLastColumn="0" w:lastRowFirstColumn="0" w:lastRowLastColumn="0"/>
            </w:pPr>
            <w:r>
              <w:t>Intervention delivery for the face-to-face delivery of indicated prevention involved: each student attending an initial one-on-one consult with a psychologist to receive an orientation session; followed by delivery of a series of group-based intervention modules by the psychologist to groups of students.</w:t>
            </w:r>
          </w:p>
          <w:p w:rsidR="00415BFD" w:rsidRDefault="00415BFD" w:rsidP="00665130">
            <w:pPr>
              <w:pStyle w:val="Tabletext"/>
              <w:jc w:val="both"/>
              <w:cnfStyle w:val="000000100000" w:firstRow="0" w:lastRow="0" w:firstColumn="0" w:lastColumn="0" w:oddVBand="0" w:evenVBand="0" w:oddHBand="1" w:evenHBand="0" w:firstRowFirstColumn="0" w:firstRowLastColumn="0" w:lastRowFirstColumn="0" w:lastRowLastColumn="0"/>
            </w:pPr>
            <w:r w:rsidRPr="002A65E9">
              <w:t xml:space="preserve">Unlike universal prevention, indicated prevention involved the delivery of group-based intervention modules by a psychologist. The rationale for choosing a psychologist (instead of a trained teacher) was </w:t>
            </w:r>
            <w:r>
              <w:t>three</w:t>
            </w:r>
            <w:r w:rsidRPr="002A65E9">
              <w:t xml:space="preserve">fold. First, </w:t>
            </w:r>
            <w:r>
              <w:t xml:space="preserve">we assumed that youth with subthreshold depressive symptoms are a higher risk group that require monitoring and evaluation by health professionals with some form of clinical training (i.e., a role that teachers may not be equipped to manage). Second, the majority of studies included in the meta-analysis of intervention efficacy for indicated prevention involved a health professional as the chief program facilitator (see </w:t>
            </w:r>
            <w:r>
              <w:fldChar w:fldCharType="begin"/>
            </w:r>
            <w:r>
              <w:instrText xml:space="preserve"> REF _Ref432883546 \r \h </w:instrText>
            </w:r>
            <w:r>
              <w:fldChar w:fldCharType="separate"/>
            </w:r>
            <w:r>
              <w:t>Table 6</w:t>
            </w:r>
            <w:r>
              <w:fldChar w:fldCharType="end"/>
            </w:r>
            <w:r>
              <w:t xml:space="preserve">); which is in contrast to the mix of facilitators used in universal prevention studies (see </w:t>
            </w:r>
            <w:r>
              <w:fldChar w:fldCharType="begin"/>
            </w:r>
            <w:r>
              <w:instrText xml:space="preserve"> REF _Ref432884016 \r \h </w:instrText>
            </w:r>
            <w:r>
              <w:fldChar w:fldCharType="separate"/>
            </w:r>
            <w:r>
              <w:t>Table 5</w:t>
            </w:r>
            <w:r>
              <w:fldChar w:fldCharType="end"/>
            </w:r>
            <w:r>
              <w:t xml:space="preserve">). Third, this </w:t>
            </w:r>
            <w:r>
              <w:lastRenderedPageBreak/>
              <w:t xml:space="preserve">choice was consistent with intervention pathways employed in the previous study by </w:t>
            </w:r>
            <w:r>
              <w:rPr>
                <w:noProof/>
              </w:rPr>
              <w:t>Mihalopoulos et al. [5]</w:t>
            </w:r>
            <w:r>
              <w:t>).</w:t>
            </w:r>
          </w:p>
          <w:p w:rsidR="00415BFD" w:rsidRDefault="00415BFD" w:rsidP="00665130">
            <w:pPr>
              <w:pStyle w:val="Tabletext"/>
              <w:jc w:val="both"/>
              <w:cnfStyle w:val="000000100000" w:firstRow="0" w:lastRow="0" w:firstColumn="0" w:lastColumn="0" w:oddVBand="0" w:evenVBand="0" w:oddHBand="1" w:evenHBand="0" w:firstRowFirstColumn="0" w:firstRowLastColumn="0" w:lastRowFirstColumn="0" w:lastRowLastColumn="0"/>
            </w:pPr>
            <w:r>
              <w:t xml:space="preserve">We costed </w:t>
            </w:r>
            <w:r w:rsidRPr="00665130">
              <w:t>psychologist</w:t>
            </w:r>
            <w:r>
              <w:t>s using relevant Medicare Benefits Schedule (MBS)</w:t>
            </w:r>
            <w:r w:rsidRPr="00665130">
              <w:t xml:space="preserve"> items for individual and group</w:t>
            </w:r>
            <w:r>
              <w:t>-based</w:t>
            </w:r>
            <w:r w:rsidRPr="00665130">
              <w:t xml:space="preserve"> psychologist consults</w:t>
            </w:r>
            <w:r>
              <w:t xml:space="preserve"> (see section </w:t>
            </w:r>
            <w:r>
              <w:fldChar w:fldCharType="begin"/>
            </w:r>
            <w:r>
              <w:instrText xml:space="preserve"> REF _Ref451283357 \r \h </w:instrText>
            </w:r>
            <w:r>
              <w:fldChar w:fldCharType="separate"/>
            </w:r>
            <w:r>
              <w:t>5.4</w:t>
            </w:r>
            <w:r>
              <w:fldChar w:fldCharType="end"/>
            </w:r>
            <w:r>
              <w:t>)</w:t>
            </w:r>
            <w:r w:rsidRPr="00665130">
              <w:t xml:space="preserve">. </w:t>
            </w:r>
            <w:r>
              <w:t xml:space="preserve">The decision to cost psychologists using MBS items, rather than a corresponding salary/wage, was threefold: (1) the psychologist would notionally have similar levels of clinical training to other MBS funded psychologists (see comment above about the need to sensitively deal with a higher risk group); (2) using MBS items would lead to more conservative estimates; and (3) to maintain consistency with the cost analysis conducted in the previous study by </w:t>
            </w:r>
            <w:r>
              <w:rPr>
                <w:noProof/>
              </w:rPr>
              <w:t>Mihalopoulos et al. [5]</w:t>
            </w:r>
            <w:r>
              <w:t>). We</w:t>
            </w:r>
            <w:r w:rsidRPr="00665130">
              <w:t xml:space="preserve"> assumed that </w:t>
            </w:r>
            <w:r>
              <w:t>all</w:t>
            </w:r>
            <w:r w:rsidRPr="00665130">
              <w:t xml:space="preserve"> psychologists </w:t>
            </w:r>
            <w:r>
              <w:t>were</w:t>
            </w:r>
            <w:r w:rsidRPr="00665130">
              <w:t xml:space="preserve"> fully trained to deliver the intervention.</w:t>
            </w:r>
          </w:p>
          <w:p w:rsidR="00415BFD" w:rsidRDefault="00415BFD" w:rsidP="00665130">
            <w:pPr>
              <w:pStyle w:val="Tabletext"/>
              <w:jc w:val="both"/>
              <w:cnfStyle w:val="000000100000" w:firstRow="0" w:lastRow="0" w:firstColumn="0" w:lastColumn="0" w:oddVBand="0" w:evenVBand="0" w:oddHBand="1" w:evenHBand="0" w:firstRowFirstColumn="0" w:firstRowLastColumn="0" w:lastRowFirstColumn="0" w:lastRowLastColumn="0"/>
            </w:pPr>
            <w:r>
              <w:t xml:space="preserve">We assumed that all students would receive an initial one-on-one consult with the psychologist lasting one hour. The students would then receive multiple group-based interventions. The total cost of group-based The total cost of attending group-based intervention sessions with a psychologist was calculated by calculating the product of: the total number of eligible students (based on relevant calculations in section </w:t>
            </w:r>
            <w:r>
              <w:fldChar w:fldCharType="begin"/>
            </w:r>
            <w:r>
              <w:instrText xml:space="preserve"> REF _Ref451271661 \r \h </w:instrText>
            </w:r>
            <w:r>
              <w:fldChar w:fldCharType="separate"/>
            </w:r>
            <w:r>
              <w:t>2.4</w:t>
            </w:r>
            <w:r>
              <w:fldChar w:fldCharType="end"/>
            </w:r>
            <w:r>
              <w:t xml:space="preserve">); the weighted average cost of a group-based session (based on MBS items); and the total number of group-based intervention sessions offered. We sourced available data from RCTs identified in the meta-review of intervention efficacy (see </w:t>
            </w:r>
            <w:r>
              <w:fldChar w:fldCharType="begin"/>
            </w:r>
            <w:r>
              <w:instrText xml:space="preserve"> REF _Ref432883546 \r \h </w:instrText>
            </w:r>
            <w:r>
              <w:fldChar w:fldCharType="separate"/>
            </w:r>
            <w:r>
              <w:t>Table 6</w:t>
            </w:r>
            <w:r>
              <w:fldChar w:fldCharType="end"/>
            </w:r>
            <w:r>
              <w:t xml:space="preserve">) to calculate a pooled estimate of the average number of intervention modules to be offered as part of the face-to-face delivery of indicated prevention. There were a total of 9 relevant studies from which to calculate a pooled estimate of the average number of intervention modules (see section </w:t>
            </w:r>
            <w:r>
              <w:fldChar w:fldCharType="begin"/>
            </w:r>
            <w:r>
              <w:instrText xml:space="preserve"> REF _Ref451179133 \r \h </w:instrText>
            </w:r>
            <w:r>
              <w:fldChar w:fldCharType="separate"/>
            </w:r>
            <w:r>
              <w:t>5.2</w:t>
            </w:r>
            <w:r>
              <w:fldChar w:fldCharType="end"/>
            </w:r>
            <w:r>
              <w:t>). These same 9 studies also contained relevant data by which to calculate a pooled estimate of the average duration of each group-based intervention module.</w:t>
            </w:r>
          </w:p>
          <w:p w:rsidR="00415BFD" w:rsidRPr="002E065E" w:rsidRDefault="00415BFD" w:rsidP="001E5434">
            <w:pPr>
              <w:pStyle w:val="Tabletext"/>
              <w:jc w:val="both"/>
              <w:cnfStyle w:val="000000100000" w:firstRow="0" w:lastRow="0" w:firstColumn="0" w:lastColumn="0" w:oddVBand="0" w:evenVBand="0" w:oddHBand="1" w:evenHBand="0" w:firstRowFirstColumn="0" w:firstRowLastColumn="0" w:lastRowFirstColumn="0" w:lastRowLastColumn="0"/>
            </w:pPr>
            <w:r>
              <w:t>We acknowledge that most</w:t>
            </w:r>
            <w:r w:rsidRPr="00665130">
              <w:t xml:space="preserve"> RCT studies examin</w:t>
            </w:r>
            <w:r>
              <w:t>ing the efficacy of indicated prevention in schools involve interventions delivered in</w:t>
            </w:r>
            <w:r w:rsidRPr="00665130">
              <w:t xml:space="preserve"> the school setting. For the purposes of our cost analysis, we </w:t>
            </w:r>
            <w:r>
              <w:t>were</w:t>
            </w:r>
            <w:r w:rsidRPr="00665130">
              <w:t xml:space="preserve"> agnostic as to whether intervention</w:t>
            </w:r>
            <w:r>
              <w:t>s</w:t>
            </w:r>
            <w:r w:rsidRPr="00665130">
              <w:t xml:space="preserve"> </w:t>
            </w:r>
            <w:r>
              <w:t>were</w:t>
            </w:r>
            <w:r w:rsidRPr="00665130">
              <w:t xml:space="preserve"> delivere</w:t>
            </w:r>
            <w:r>
              <w:t>d to a group of students during/</w:t>
            </w:r>
            <w:r w:rsidRPr="00665130">
              <w:t>after</w:t>
            </w:r>
            <w:r>
              <w:t xml:space="preserve"> school</w:t>
            </w:r>
            <w:r w:rsidRPr="00665130">
              <w:t xml:space="preserve"> hours.</w:t>
            </w:r>
          </w:p>
        </w:tc>
      </w:tr>
      <w:tr w:rsidR="00415BFD" w:rsidTr="006B60A3">
        <w:trPr>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367CA6">
            <w:pPr>
              <w:pStyle w:val="Tabletext"/>
              <w:rPr>
                <w:b w:val="0"/>
              </w:rPr>
            </w:pPr>
            <w:r>
              <w:rPr>
                <w:b w:val="0"/>
              </w:rPr>
              <w:lastRenderedPageBreak/>
              <w:t>Total cost offsets resulting from the reduction in prevalent cases of major depression</w:t>
            </w:r>
          </w:p>
          <w:p w:rsidR="00415BFD" w:rsidRPr="00D11A6F" w:rsidRDefault="00415BFD" w:rsidP="00367CA6">
            <w:pPr>
              <w:pStyle w:val="Tabletext"/>
              <w:rPr>
                <w:b w:val="0"/>
              </w:rPr>
            </w:pPr>
            <w:r w:rsidRPr="003D017F">
              <w:rPr>
                <w:b w:val="0"/>
                <w:i/>
              </w:rPr>
              <w:t>(</w:t>
            </w:r>
            <w:r>
              <w:rPr>
                <w:b w:val="0"/>
                <w:i/>
              </w:rPr>
              <w:t>Cost offsets</w:t>
            </w:r>
            <w:r w:rsidRPr="003D017F">
              <w:rPr>
                <w:b w:val="0"/>
                <w:i/>
              </w:rPr>
              <w:t>)</w:t>
            </w:r>
          </w:p>
        </w:tc>
        <w:tc>
          <w:tcPr>
            <w:tcW w:w="6440" w:type="dxa"/>
          </w:tcPr>
          <w:p w:rsidR="00415BFD" w:rsidRDefault="00415BFD" w:rsidP="00367CA6">
            <w:pPr>
              <w:pStyle w:val="Tabletext"/>
              <w:jc w:val="both"/>
              <w:cnfStyle w:val="000000000000" w:firstRow="0" w:lastRow="0" w:firstColumn="0" w:lastColumn="0" w:oddVBand="0" w:evenVBand="0" w:oddHBand="0" w:evenHBand="0" w:firstRowFirstColumn="0" w:firstRowLastColumn="0" w:lastRowFirstColumn="0" w:lastRowLastColumn="0"/>
            </w:pPr>
            <w:r>
              <w:t xml:space="preserve">The methods and data used to calculate cost offsets for the face-to-face delivery of indicated prevention was similar to the method used to calculate cost offsets in the face-to-face delivery of universal prevention (see the cost offset parameter in </w:t>
            </w:r>
            <w:r>
              <w:fldChar w:fldCharType="begin"/>
            </w:r>
            <w:r>
              <w:instrText xml:space="preserve"> REF _Ref451292768 \n \h </w:instrText>
            </w:r>
            <w:r>
              <w:fldChar w:fldCharType="separate"/>
            </w:r>
            <w:r>
              <w:t>Table 3</w:t>
            </w:r>
            <w:r>
              <w:fldChar w:fldCharType="end"/>
            </w:r>
            <w:r>
              <w:t>).</w:t>
            </w:r>
          </w:p>
          <w:p w:rsidR="00415BFD" w:rsidRPr="002A65E9" w:rsidRDefault="00415BFD" w:rsidP="00367CA6">
            <w:pPr>
              <w:pStyle w:val="Tabletext"/>
              <w:jc w:val="both"/>
              <w:cnfStyle w:val="000000000000" w:firstRow="0" w:lastRow="0" w:firstColumn="0" w:lastColumn="0" w:oddVBand="0" w:evenVBand="0" w:oddHBand="0" w:evenHBand="0" w:firstRowFirstColumn="0" w:firstRowLastColumn="0" w:lastRowFirstColumn="0" w:lastRowLastColumn="0"/>
            </w:pPr>
          </w:p>
        </w:tc>
      </w:tr>
      <w:tr w:rsidR="00415BFD" w:rsidTr="007B77A6">
        <w:trPr>
          <w:cnfStyle w:val="000000100000" w:firstRow="0" w:lastRow="0" w:firstColumn="0" w:lastColumn="0" w:oddVBand="0" w:evenVBand="0" w:oddHBand="1" w:evenHBand="0" w:firstRowFirstColumn="0" w:firstRowLastColumn="0" w:lastRowFirstColumn="0" w:lastRowLastColumn="0"/>
          <w:cantSplit/>
          <w:trHeight w:val="680"/>
        </w:trPr>
        <w:tc>
          <w:tcPr>
            <w:cnfStyle w:val="001000000000" w:firstRow="0" w:lastRow="0" w:firstColumn="1" w:lastColumn="0" w:oddVBand="0" w:evenVBand="0" w:oddHBand="0" w:evenHBand="0" w:firstRowFirstColumn="0" w:firstRowLastColumn="0" w:lastRowFirstColumn="0" w:lastRowLastColumn="0"/>
            <w:tcW w:w="9242" w:type="dxa"/>
            <w:gridSpan w:val="2"/>
          </w:tcPr>
          <w:p w:rsidR="00415BFD" w:rsidRDefault="00415BFD" w:rsidP="00F73EA7">
            <w:pPr>
              <w:pStyle w:val="Tabletext"/>
              <w:spacing w:before="240"/>
              <w:jc w:val="both"/>
              <w:rPr>
                <w:b w:val="0"/>
                <w:i/>
              </w:rPr>
            </w:pPr>
            <w:r>
              <w:rPr>
                <w:b w:val="0"/>
                <w:i/>
              </w:rPr>
              <w:t>Internet-based</w:t>
            </w:r>
            <w:r w:rsidRPr="00850897">
              <w:rPr>
                <w:b w:val="0"/>
                <w:i/>
              </w:rPr>
              <w:t xml:space="preserve"> </w:t>
            </w:r>
            <w:r>
              <w:rPr>
                <w:b w:val="0"/>
                <w:i/>
              </w:rPr>
              <w:t xml:space="preserve">delivery of universal </w:t>
            </w:r>
            <w:r w:rsidRPr="00850897">
              <w:rPr>
                <w:b w:val="0"/>
                <w:i/>
              </w:rPr>
              <w:t xml:space="preserve">psychological </w:t>
            </w:r>
            <w:r>
              <w:rPr>
                <w:b w:val="0"/>
                <w:i/>
              </w:rPr>
              <w:t>prevention</w:t>
            </w:r>
          </w:p>
          <w:p w:rsidR="00415BFD" w:rsidRPr="00730EEF" w:rsidRDefault="00415BFD" w:rsidP="00EA5733">
            <w:pPr>
              <w:pStyle w:val="Tabletext"/>
              <w:spacing w:after="240"/>
              <w:jc w:val="both"/>
            </w:pPr>
            <w:r w:rsidRPr="00730EEF">
              <w:rPr>
                <w:b w:val="0"/>
              </w:rPr>
              <w:t xml:space="preserve">The internet-based delivery of </w:t>
            </w:r>
            <w:r>
              <w:rPr>
                <w:b w:val="0"/>
              </w:rPr>
              <w:t>indicated</w:t>
            </w:r>
            <w:r w:rsidRPr="00730EEF">
              <w:rPr>
                <w:b w:val="0"/>
              </w:rPr>
              <w:t xml:space="preserve"> psychological </w:t>
            </w:r>
            <w:r>
              <w:rPr>
                <w:b w:val="0"/>
              </w:rPr>
              <w:t>prevention</w:t>
            </w:r>
            <w:r w:rsidRPr="00730EEF">
              <w:rPr>
                <w:b w:val="0"/>
              </w:rPr>
              <w:t xml:space="preserve"> followed a modified intervention pathway to that used for face-to-face delivery. </w:t>
            </w:r>
            <w:r>
              <w:rPr>
                <w:b w:val="0"/>
              </w:rPr>
              <w:t>This</w:t>
            </w:r>
            <w:r w:rsidRPr="00730EEF">
              <w:rPr>
                <w:b w:val="0"/>
              </w:rPr>
              <w:t xml:space="preserve"> pathway involve</w:t>
            </w:r>
            <w:r>
              <w:rPr>
                <w:b w:val="0"/>
              </w:rPr>
              <w:t>d the same</w:t>
            </w:r>
            <w:r w:rsidRPr="00730EEF">
              <w:rPr>
                <w:b w:val="0"/>
              </w:rPr>
              <w:t xml:space="preserve"> three steps</w:t>
            </w:r>
            <w:r>
              <w:rPr>
                <w:b w:val="0"/>
              </w:rPr>
              <w:t xml:space="preserve"> as the face-to-face delivery of indicated prevention: (1) screening for elevated depressive symptoms; (2) further diagnostic testing; and (3) intervention delivery. We assumed that the cost of steps 1 and 2 in the internet-delivered pathway would be identical to the face-to-face pathway. The only difference would be in the third step where intervention delivery occurs through students completing self-directed intervention modules via the internet. As such, we only present the data and rationale for cost parameters related to this intervention delivery step below.</w:t>
            </w:r>
          </w:p>
        </w:tc>
      </w:tr>
      <w:tr w:rsidR="00415BFD" w:rsidTr="006B60A3">
        <w:trPr>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8F67CA">
            <w:pPr>
              <w:pStyle w:val="Tabletext"/>
              <w:rPr>
                <w:b w:val="0"/>
              </w:rPr>
            </w:pPr>
            <w:r>
              <w:rPr>
                <w:b w:val="0"/>
              </w:rPr>
              <w:lastRenderedPageBreak/>
              <w:t>Total annual subscription cost for schools to deliver internet-based modules for indicated psychological intervention</w:t>
            </w:r>
          </w:p>
          <w:p w:rsidR="00415BFD" w:rsidRPr="00671BA6" w:rsidRDefault="00415BFD" w:rsidP="008F67CA">
            <w:pPr>
              <w:pStyle w:val="Tabletext"/>
              <w:rPr>
                <w:b w:val="0"/>
              </w:rPr>
            </w:pPr>
            <w:r w:rsidRPr="003D017F">
              <w:rPr>
                <w:b w:val="0"/>
                <w:i/>
              </w:rPr>
              <w:t xml:space="preserve"> (</w:t>
            </w:r>
            <w:r>
              <w:rPr>
                <w:b w:val="0"/>
                <w:i/>
              </w:rPr>
              <w:t>Step 3: Intervention delivery</w:t>
            </w:r>
            <w:r w:rsidRPr="003D017F">
              <w:rPr>
                <w:b w:val="0"/>
                <w:i/>
              </w:rPr>
              <w:t>)</w:t>
            </w:r>
          </w:p>
        </w:tc>
        <w:tc>
          <w:tcPr>
            <w:tcW w:w="6440" w:type="dxa"/>
          </w:tcPr>
          <w:p w:rsidR="00415BFD" w:rsidRDefault="00415BFD" w:rsidP="000F2DEE">
            <w:pPr>
              <w:pStyle w:val="Tabletext"/>
              <w:jc w:val="both"/>
              <w:cnfStyle w:val="000000000000" w:firstRow="0" w:lastRow="0" w:firstColumn="0" w:lastColumn="0" w:oddVBand="0" w:evenVBand="0" w:oddHBand="0" w:evenHBand="0" w:firstRowFirstColumn="0" w:firstRowLastColumn="0" w:lastRowFirstColumn="0" w:lastRowLastColumn="0"/>
            </w:pPr>
            <w:r>
              <w:t>W</w:t>
            </w:r>
            <w:r w:rsidRPr="00B468F0">
              <w:t>e assumed that internet-delivered indicated prevention would occur through students completing self-directed modules</w:t>
            </w:r>
            <w:r>
              <w:t>, similar in both form and content to universal prevention</w:t>
            </w:r>
            <w:r w:rsidRPr="00B468F0">
              <w:t xml:space="preserve"> </w:t>
            </w:r>
            <w:r>
              <w:t xml:space="preserve">intervention modules. As in the face-to-face delivery of indicated prevention, we were agnostic to </w:t>
            </w:r>
            <w:r w:rsidRPr="00B468F0">
              <w:t>whether</w:t>
            </w:r>
            <w:r>
              <w:t xml:space="preserve"> students completed these modules</w:t>
            </w:r>
            <w:r w:rsidRPr="00B468F0">
              <w:t xml:space="preserve"> in</w:t>
            </w:r>
            <w:r>
              <w:t xml:space="preserve"> the </w:t>
            </w:r>
            <w:r w:rsidRPr="00B468F0">
              <w:t>class</w:t>
            </w:r>
            <w:r>
              <w:t>room</w:t>
            </w:r>
            <w:r w:rsidRPr="00B468F0">
              <w:t xml:space="preserve"> or in their own time outside of school hours</w:t>
            </w:r>
            <w:r>
              <w:t xml:space="preserve"> (though we suspect the latter would be preferable for students</w:t>
            </w:r>
            <w:r w:rsidRPr="00B468F0">
              <w:t xml:space="preserve">). </w:t>
            </w:r>
          </w:p>
          <w:p w:rsidR="00415BFD" w:rsidRPr="004D5451" w:rsidRDefault="00415BFD" w:rsidP="008F67CA">
            <w:pPr>
              <w:pStyle w:val="Tabletext"/>
              <w:jc w:val="both"/>
              <w:cnfStyle w:val="000000000000" w:firstRow="0" w:lastRow="0" w:firstColumn="0" w:lastColumn="0" w:oddVBand="0" w:evenVBand="0" w:oddHBand="0" w:evenHBand="0" w:firstRowFirstColumn="0" w:firstRowLastColumn="0" w:lastRowFirstColumn="0" w:lastRowLastColumn="0"/>
            </w:pPr>
            <w:r>
              <w:t>We assumed that t</w:t>
            </w:r>
            <w:r w:rsidRPr="00B468F0">
              <w:t xml:space="preserve">he average cost per </w:t>
            </w:r>
            <w:r>
              <w:t>student</w:t>
            </w:r>
            <w:r w:rsidRPr="00B468F0">
              <w:t xml:space="preserve"> </w:t>
            </w:r>
            <w:r>
              <w:t>would follow a</w:t>
            </w:r>
            <w:r w:rsidRPr="00B468F0">
              <w:t xml:space="preserve"> similar pricing structure </w:t>
            </w:r>
            <w:r>
              <w:t xml:space="preserve">to that used in the costing of internet-delivered universal prevention (i.e., we costed internet-delivered indicated prevention using the pricing structure from THIS WAY UP Schools). The total annual subscription cost across all Australian schools in 2013 was calculated by: multiplying the annual subscription fee per student; by the total number of Australian students in 2013 (this was based on estimates for the eligible population in section </w:t>
            </w:r>
            <w:r>
              <w:fldChar w:fldCharType="begin"/>
            </w:r>
            <w:r>
              <w:instrText xml:space="preserve"> REF _Ref451286399 \r \h </w:instrText>
            </w:r>
            <w:r>
              <w:fldChar w:fldCharType="separate"/>
            </w:r>
            <w:r>
              <w:t>3.3</w:t>
            </w:r>
            <w:r>
              <w:fldChar w:fldCharType="end"/>
            </w:r>
            <w:r>
              <w:t xml:space="preserve">). </w:t>
            </w:r>
          </w:p>
        </w:tc>
      </w:tr>
      <w:tr w:rsidR="00415BFD" w:rsidTr="00BA19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415BFD" w:rsidRDefault="00415BFD" w:rsidP="00C41558">
            <w:pPr>
              <w:pStyle w:val="Tabletext"/>
              <w:rPr>
                <w:b w:val="0"/>
              </w:rPr>
            </w:pPr>
            <w:r>
              <w:rPr>
                <w:b w:val="0"/>
              </w:rPr>
              <w:t>Total cost offsets resulting from the reduction in prevalent cases of major depression</w:t>
            </w:r>
          </w:p>
          <w:p w:rsidR="00415BFD" w:rsidRPr="00D11A6F" w:rsidRDefault="00415BFD" w:rsidP="00C472FA">
            <w:pPr>
              <w:pStyle w:val="Tabletext"/>
              <w:rPr>
                <w:b w:val="0"/>
              </w:rPr>
            </w:pPr>
            <w:r w:rsidRPr="003D017F">
              <w:rPr>
                <w:b w:val="0"/>
                <w:i/>
              </w:rPr>
              <w:t>(</w:t>
            </w:r>
            <w:r>
              <w:rPr>
                <w:b w:val="0"/>
                <w:i/>
              </w:rPr>
              <w:t>Cost offsets</w:t>
            </w:r>
            <w:r w:rsidRPr="003D017F">
              <w:rPr>
                <w:b w:val="0"/>
                <w:i/>
              </w:rPr>
              <w:t>)</w:t>
            </w:r>
          </w:p>
        </w:tc>
        <w:tc>
          <w:tcPr>
            <w:tcW w:w="6440" w:type="dxa"/>
          </w:tcPr>
          <w:p w:rsidR="00415BFD" w:rsidRPr="002A65E9" w:rsidRDefault="00415BFD" w:rsidP="000F3CA3">
            <w:pPr>
              <w:pStyle w:val="Tabletext"/>
              <w:jc w:val="both"/>
              <w:cnfStyle w:val="000000100000" w:firstRow="0" w:lastRow="0" w:firstColumn="0" w:lastColumn="0" w:oddVBand="0" w:evenVBand="0" w:oddHBand="1" w:evenHBand="0" w:firstRowFirstColumn="0" w:firstRowLastColumn="0" w:lastRowFirstColumn="0" w:lastRowLastColumn="0"/>
            </w:pPr>
            <w:r>
              <w:t>The method used to calculate cost offsets arising from the internet-delivered intervention pathway for indicated prevention was similar to that used in the face-to-face intervention pathway (see above).</w:t>
            </w:r>
          </w:p>
        </w:tc>
      </w:tr>
    </w:tbl>
    <w:p w:rsidR="00415BFD" w:rsidRDefault="00415BFD" w:rsidP="0042411F"/>
    <w:p w:rsidR="00415BFD" w:rsidRDefault="00415BFD" w:rsidP="0042411F"/>
    <w:p w:rsidR="00415BFD" w:rsidRDefault="00415BFD" w:rsidP="00645870">
      <w:pPr>
        <w:sectPr w:rsidR="00415BFD" w:rsidSect="002F2AC2">
          <w:footerReference w:type="default" r:id="rId7"/>
          <w:pgSz w:w="11906" w:h="16838"/>
          <w:pgMar w:top="1440" w:right="1440" w:bottom="1440" w:left="1440" w:header="708" w:footer="708" w:gutter="0"/>
          <w:cols w:space="708"/>
          <w:docGrid w:linePitch="360"/>
        </w:sectPr>
      </w:pPr>
    </w:p>
    <w:p w:rsidR="00415BFD" w:rsidRDefault="00415BFD" w:rsidP="00DC14DE">
      <w:pPr>
        <w:pStyle w:val="Heading3"/>
      </w:pPr>
      <w:bookmarkStart w:id="26" w:name="_Toc452066386"/>
      <w:r w:rsidRPr="00DC14DE">
        <w:lastRenderedPageBreak/>
        <w:t xml:space="preserve">Consolidated Health Economic Evaluation Reporting Standards (CHEERS) </w:t>
      </w:r>
      <w:r>
        <w:t>statement</w:t>
      </w:r>
      <w:bookmarkEnd w:id="26"/>
    </w:p>
    <w:p w:rsidR="00415BFD" w:rsidRPr="009F111E" w:rsidRDefault="00415BFD" w:rsidP="00093CB5">
      <w:pPr>
        <w:rPr>
          <w:rFonts w:ascii="Calibri" w:hAnsi="Calibri"/>
          <w:b/>
          <w:bCs/>
          <w:lang w:val="en-GB"/>
        </w:rPr>
      </w:pPr>
    </w:p>
    <w:tbl>
      <w:tblPr>
        <w:tblStyle w:val="LightShading1"/>
        <w:tblW w:w="0" w:type="auto"/>
        <w:tblLook w:val="0000" w:firstRow="0" w:lastRow="0" w:firstColumn="0" w:lastColumn="0" w:noHBand="0" w:noVBand="0"/>
      </w:tblPr>
      <w:tblGrid>
        <w:gridCol w:w="2122"/>
        <w:gridCol w:w="701"/>
        <w:gridCol w:w="4114"/>
        <w:gridCol w:w="2089"/>
      </w:tblGrid>
      <w:tr w:rsidR="00415BFD" w:rsidRPr="00093CB5" w:rsidTr="00BF311C">
        <w:trPr>
          <w:cantSplit/>
          <w:tblHeader/>
        </w:trPr>
        <w:tc>
          <w:tcPr>
            <w:tcW w:w="2235" w:type="dxa"/>
            <w:shd w:val="clear" w:color="auto" w:fill="BFBFBF" w:themeFill="background1" w:themeFillShade="BF"/>
          </w:tcPr>
          <w:p w:rsidR="00415BFD" w:rsidRPr="00093CB5" w:rsidRDefault="00415BFD" w:rsidP="00BD5FE3">
            <w:pPr>
              <w:pStyle w:val="Tabletext"/>
              <w:spacing w:before="60" w:after="60"/>
              <w:rPr>
                <w:b/>
                <w:lang w:val="en-GB"/>
              </w:rPr>
            </w:pPr>
            <w:r w:rsidRPr="00093CB5">
              <w:rPr>
                <w:b/>
                <w:lang w:val="en-GB"/>
              </w:rPr>
              <w:t>Section/item</w:t>
            </w:r>
          </w:p>
        </w:tc>
        <w:tc>
          <w:tcPr>
            <w:cnfStyle w:val="000001000000" w:firstRow="0" w:lastRow="0" w:firstColumn="0" w:lastColumn="0" w:oddVBand="0" w:evenVBand="1" w:oddHBand="0" w:evenHBand="0" w:firstRowFirstColumn="0" w:firstRowLastColumn="0" w:lastRowFirstColumn="0" w:lastRowLastColumn="0"/>
            <w:tcW w:w="720" w:type="dxa"/>
            <w:shd w:val="clear" w:color="auto" w:fill="BFBFBF" w:themeFill="background1" w:themeFillShade="BF"/>
          </w:tcPr>
          <w:p w:rsidR="00415BFD" w:rsidRPr="00093CB5" w:rsidRDefault="00415BFD" w:rsidP="00BD5FE3">
            <w:pPr>
              <w:pStyle w:val="Tabletext"/>
              <w:spacing w:before="60" w:after="60"/>
              <w:rPr>
                <w:b/>
                <w:lang w:val="en-GB"/>
              </w:rPr>
            </w:pPr>
            <w:r w:rsidRPr="00093CB5">
              <w:rPr>
                <w:b/>
                <w:lang w:val="en-GB"/>
              </w:rPr>
              <w:t>Item No</w:t>
            </w:r>
          </w:p>
        </w:tc>
        <w:tc>
          <w:tcPr>
            <w:tcW w:w="4500" w:type="dxa"/>
            <w:shd w:val="clear" w:color="auto" w:fill="BFBFBF" w:themeFill="background1" w:themeFillShade="BF"/>
          </w:tcPr>
          <w:p w:rsidR="00415BFD" w:rsidRPr="00093CB5"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b/>
                <w:lang w:val="en-GB"/>
              </w:rPr>
            </w:pPr>
            <w:r w:rsidRPr="00093CB5">
              <w:rPr>
                <w:b/>
                <w:lang w:val="en-GB"/>
              </w:rPr>
              <w:t>Recommendation</w:t>
            </w:r>
          </w:p>
        </w:tc>
        <w:tc>
          <w:tcPr>
            <w:cnfStyle w:val="000001000000" w:firstRow="0" w:lastRow="0" w:firstColumn="0" w:lastColumn="0" w:oddVBand="0" w:evenVBand="1" w:oddHBand="0" w:evenHBand="0" w:firstRowFirstColumn="0" w:firstRowLastColumn="0" w:lastRowFirstColumn="0" w:lastRowLastColumn="0"/>
            <w:tcW w:w="2258" w:type="dxa"/>
            <w:shd w:val="clear" w:color="auto" w:fill="BFBFBF" w:themeFill="background1" w:themeFillShade="BF"/>
          </w:tcPr>
          <w:p w:rsidR="00415BFD" w:rsidRPr="00093CB5" w:rsidRDefault="00415BFD" w:rsidP="00BD5FE3">
            <w:pPr>
              <w:pStyle w:val="Tabletext"/>
              <w:spacing w:before="60" w:after="60"/>
              <w:rPr>
                <w:b/>
                <w:lang w:val="en-GB"/>
              </w:rPr>
            </w:pPr>
            <w:r w:rsidRPr="00093CB5">
              <w:rPr>
                <w:b/>
                <w:lang w:val="en-GB"/>
              </w:rPr>
              <w:t>Reported on page No/ line No</w:t>
            </w:r>
          </w:p>
        </w:tc>
      </w:tr>
      <w:tr w:rsidR="00415BFD" w:rsidRPr="009F111E" w:rsidTr="00093CB5">
        <w:trPr>
          <w:cantSplit/>
        </w:trPr>
        <w:tc>
          <w:tcPr>
            <w:tcW w:w="9713" w:type="dxa"/>
            <w:gridSpan w:val="4"/>
          </w:tcPr>
          <w:p w:rsidR="00415BFD" w:rsidRPr="00093CB5" w:rsidRDefault="00415BFD" w:rsidP="00BD5FE3">
            <w:pPr>
              <w:pStyle w:val="Tabletext"/>
              <w:spacing w:before="60" w:after="60"/>
              <w:rPr>
                <w:b/>
                <w:lang w:val="en-GB"/>
              </w:rPr>
            </w:pPr>
            <w:r w:rsidRPr="00093CB5">
              <w:rPr>
                <w:b/>
                <w:lang w:val="en-GB"/>
              </w:rPr>
              <w:t>Title and abstract</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Title</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1</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Identify the study as an economic evaluation or use more specific terms such as “cost-effectiveness analysis”, and describe the interventions compared.</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BD5FE3">
            <w:pPr>
              <w:pStyle w:val="Tabletext"/>
              <w:spacing w:before="60" w:after="60"/>
              <w:rPr>
                <w:lang w:val="en-GB"/>
              </w:rPr>
            </w:pPr>
            <w:r w:rsidRPr="009F111E">
              <w:rPr>
                <w:lang w:val="en-GB"/>
              </w:rPr>
              <w:t>Page 1</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Abstract</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2</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Provide a structured summary of objectives, perspective, setting, methods (including study design and inputs), results (including base case and uncertainty analyses), and conclusions.</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BD5FE3">
            <w:pPr>
              <w:pStyle w:val="Tabletext"/>
              <w:spacing w:before="60" w:after="60"/>
              <w:rPr>
                <w:lang w:val="en-GB"/>
              </w:rPr>
            </w:pPr>
            <w:r w:rsidRPr="009F111E">
              <w:rPr>
                <w:lang w:val="en-GB"/>
              </w:rPr>
              <w:t>Page</w:t>
            </w:r>
            <w:r>
              <w:rPr>
                <w:lang w:val="en-GB"/>
              </w:rPr>
              <w:t>s</w:t>
            </w:r>
            <w:r w:rsidRPr="009F111E">
              <w:rPr>
                <w:lang w:val="en-GB"/>
              </w:rPr>
              <w:t xml:space="preserve"> 2</w:t>
            </w:r>
            <w:r>
              <w:rPr>
                <w:lang w:val="en-GB"/>
              </w:rPr>
              <w:t>-3</w:t>
            </w:r>
          </w:p>
        </w:tc>
      </w:tr>
      <w:tr w:rsidR="00415BFD" w:rsidRPr="009F111E" w:rsidTr="00093CB5">
        <w:trPr>
          <w:cantSplit/>
        </w:trPr>
        <w:tc>
          <w:tcPr>
            <w:tcW w:w="9713" w:type="dxa"/>
            <w:gridSpan w:val="4"/>
          </w:tcPr>
          <w:p w:rsidR="00415BFD" w:rsidRPr="00BF311C" w:rsidRDefault="00415BFD" w:rsidP="00BD5FE3">
            <w:pPr>
              <w:pStyle w:val="Tabletext"/>
              <w:spacing w:before="60" w:after="60"/>
              <w:rPr>
                <w:b/>
                <w:lang w:val="en-GB"/>
              </w:rPr>
            </w:pPr>
            <w:r w:rsidRPr="00BF311C">
              <w:rPr>
                <w:b/>
                <w:lang w:val="en-GB"/>
              </w:rPr>
              <w:t>Introduction</w:t>
            </w:r>
          </w:p>
        </w:tc>
      </w:tr>
      <w:tr w:rsidR="00415BFD" w:rsidRPr="009F111E" w:rsidTr="00093CB5">
        <w:trPr>
          <w:cantSplit/>
        </w:trPr>
        <w:tc>
          <w:tcPr>
            <w:tcW w:w="2235" w:type="dxa"/>
            <w:vMerge w:val="restart"/>
          </w:tcPr>
          <w:p w:rsidR="00415BFD" w:rsidRPr="009F111E" w:rsidRDefault="00415BFD" w:rsidP="00BD5FE3">
            <w:pPr>
              <w:pStyle w:val="Tabletext"/>
              <w:spacing w:before="60" w:after="60"/>
              <w:rPr>
                <w:lang w:val="en-GB"/>
              </w:rPr>
            </w:pPr>
            <w:r w:rsidRPr="009F111E">
              <w:rPr>
                <w:lang w:val="en-GB"/>
              </w:rPr>
              <w:t>Background and objectives</w:t>
            </w:r>
          </w:p>
        </w:tc>
        <w:tc>
          <w:tcPr>
            <w:cnfStyle w:val="000001000000" w:firstRow="0" w:lastRow="0" w:firstColumn="0" w:lastColumn="0" w:oddVBand="0" w:evenVBand="1" w:oddHBand="0" w:evenHBand="0" w:firstRowFirstColumn="0" w:firstRowLastColumn="0" w:lastRowFirstColumn="0" w:lastRowLastColumn="0"/>
            <w:tcW w:w="720" w:type="dxa"/>
            <w:vMerge w:val="restart"/>
          </w:tcPr>
          <w:p w:rsidR="00415BFD" w:rsidRPr="009F111E" w:rsidRDefault="00415BFD" w:rsidP="00BD5FE3">
            <w:pPr>
              <w:pStyle w:val="Tabletext"/>
              <w:spacing w:before="60" w:after="60"/>
              <w:rPr>
                <w:lang w:val="en-GB"/>
              </w:rPr>
            </w:pPr>
            <w:r w:rsidRPr="009F111E">
              <w:rPr>
                <w:lang w:val="en-GB"/>
              </w:rPr>
              <w:t>3</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Provide an explicit statement of the broader context for the study.</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DF5FB8">
            <w:pPr>
              <w:pStyle w:val="Tabletext"/>
              <w:spacing w:before="60" w:after="60"/>
              <w:rPr>
                <w:lang w:val="en-GB"/>
              </w:rPr>
            </w:pPr>
            <w:r w:rsidRPr="009F111E">
              <w:rPr>
                <w:lang w:val="en-GB"/>
              </w:rPr>
              <w:t xml:space="preserve">Lines </w:t>
            </w:r>
            <w:r>
              <w:rPr>
                <w:lang w:val="en-GB"/>
              </w:rPr>
              <w:t>97-106</w:t>
            </w:r>
          </w:p>
        </w:tc>
      </w:tr>
      <w:tr w:rsidR="00415BFD" w:rsidRPr="009F111E" w:rsidTr="00093CB5">
        <w:trPr>
          <w:cantSplit/>
        </w:trPr>
        <w:tc>
          <w:tcPr>
            <w:tcW w:w="2235" w:type="dxa"/>
            <w:vMerge/>
          </w:tcPr>
          <w:p w:rsidR="00415BFD" w:rsidRPr="009F111E" w:rsidRDefault="00415BFD" w:rsidP="00BD5FE3">
            <w:pPr>
              <w:pStyle w:val="Tabletext"/>
              <w:spacing w:before="60" w:after="60"/>
              <w:rPr>
                <w:lang w:val="en-GB"/>
              </w:rPr>
            </w:pPr>
          </w:p>
        </w:tc>
        <w:tc>
          <w:tcPr>
            <w:cnfStyle w:val="000001000000" w:firstRow="0" w:lastRow="0" w:firstColumn="0" w:lastColumn="0" w:oddVBand="0" w:evenVBand="1" w:oddHBand="0" w:evenHBand="0" w:firstRowFirstColumn="0" w:firstRowLastColumn="0" w:lastRowFirstColumn="0" w:lastRowLastColumn="0"/>
            <w:tcW w:w="720" w:type="dxa"/>
            <w:vMerge/>
          </w:tcPr>
          <w:p w:rsidR="00415BFD" w:rsidRPr="009F111E" w:rsidRDefault="00415BFD" w:rsidP="00BD5FE3">
            <w:pPr>
              <w:pStyle w:val="Tabletext"/>
              <w:spacing w:before="60" w:after="60"/>
              <w:rPr>
                <w:lang w:val="en-GB"/>
              </w:rPr>
            </w:pP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Present the study question and its relevance for health policy or practice decisions.</w:t>
            </w:r>
          </w:p>
        </w:tc>
        <w:tc>
          <w:tcPr>
            <w:cnfStyle w:val="000001000000" w:firstRow="0" w:lastRow="0" w:firstColumn="0" w:lastColumn="0" w:oddVBand="0" w:evenVBand="1" w:oddHBand="0" w:evenHBand="0" w:firstRowFirstColumn="0" w:firstRowLastColumn="0" w:lastRowFirstColumn="0" w:lastRowLastColumn="0"/>
            <w:tcW w:w="2258" w:type="dxa"/>
          </w:tcPr>
          <w:p w:rsidR="00415BFD" w:rsidRDefault="00415BFD" w:rsidP="00DF5FB8">
            <w:pPr>
              <w:pStyle w:val="Tabletext"/>
              <w:spacing w:before="60" w:after="60"/>
              <w:rPr>
                <w:lang w:val="en-GB"/>
              </w:rPr>
            </w:pPr>
            <w:r w:rsidRPr="009F111E">
              <w:rPr>
                <w:lang w:val="en-GB"/>
              </w:rPr>
              <w:t xml:space="preserve">Lines </w:t>
            </w:r>
            <w:r>
              <w:rPr>
                <w:lang w:val="en-GB"/>
              </w:rPr>
              <w:t>106-112</w:t>
            </w:r>
          </w:p>
          <w:p w:rsidR="00415BFD" w:rsidRPr="009F111E" w:rsidRDefault="00415BFD" w:rsidP="00705E1A">
            <w:pPr>
              <w:pStyle w:val="Tabletext"/>
              <w:spacing w:before="60" w:after="60"/>
              <w:rPr>
                <w:lang w:val="en-GB"/>
              </w:rPr>
            </w:pPr>
            <w:r>
              <w:rPr>
                <w:lang w:val="en-GB"/>
              </w:rPr>
              <w:t>Appendix Section 1.2</w:t>
            </w:r>
          </w:p>
        </w:tc>
      </w:tr>
      <w:tr w:rsidR="00415BFD" w:rsidRPr="009F111E" w:rsidTr="00093CB5">
        <w:trPr>
          <w:cantSplit/>
        </w:trPr>
        <w:tc>
          <w:tcPr>
            <w:tcW w:w="9713" w:type="dxa"/>
            <w:gridSpan w:val="4"/>
          </w:tcPr>
          <w:p w:rsidR="00415BFD" w:rsidRPr="00093CB5" w:rsidRDefault="00415BFD" w:rsidP="00BD5FE3">
            <w:pPr>
              <w:pStyle w:val="Tabletext"/>
              <w:spacing w:before="60" w:after="60"/>
              <w:rPr>
                <w:b/>
                <w:lang w:val="en-GB"/>
              </w:rPr>
            </w:pPr>
            <w:r w:rsidRPr="00093CB5">
              <w:rPr>
                <w:b/>
                <w:lang w:val="en-GB"/>
              </w:rPr>
              <w:t>Methods</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Target population and subgroups</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4</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Describe characteristics of the base case population and subgroups analysed, including why they were chosen.</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874B89">
            <w:pPr>
              <w:pStyle w:val="Tabletext"/>
              <w:spacing w:before="60" w:after="60"/>
              <w:rPr>
                <w:lang w:val="en-GB"/>
              </w:rPr>
            </w:pPr>
            <w:r w:rsidRPr="009F111E">
              <w:rPr>
                <w:lang w:val="en-GB"/>
              </w:rPr>
              <w:t xml:space="preserve">Lines </w:t>
            </w:r>
            <w:r>
              <w:rPr>
                <w:lang w:val="en-GB"/>
              </w:rPr>
              <w:t>208-227</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Setting and location</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5</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State relevant aspects of the system(s) in which the decision(s) need(s) to be made.</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885D0D">
            <w:pPr>
              <w:pStyle w:val="Tabletext"/>
              <w:spacing w:before="60" w:after="60"/>
              <w:rPr>
                <w:lang w:val="en-GB"/>
              </w:rPr>
            </w:pPr>
            <w:r w:rsidRPr="009F111E">
              <w:rPr>
                <w:lang w:val="en-GB"/>
              </w:rPr>
              <w:t xml:space="preserve">Lines </w:t>
            </w:r>
            <w:r>
              <w:rPr>
                <w:lang w:val="en-GB"/>
              </w:rPr>
              <w:t>116-128</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Study perspective</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6</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Describe the perspective of the study and relate this to the costs being evaluated.</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5E7FE8">
            <w:pPr>
              <w:pStyle w:val="Tabletext"/>
              <w:spacing w:before="60" w:after="60"/>
              <w:rPr>
                <w:lang w:val="en-GB"/>
              </w:rPr>
            </w:pPr>
            <w:r w:rsidRPr="009F111E">
              <w:rPr>
                <w:lang w:val="en-GB"/>
              </w:rPr>
              <w:t xml:space="preserve">Lines </w:t>
            </w:r>
            <w:r>
              <w:rPr>
                <w:lang w:val="en-GB"/>
              </w:rPr>
              <w:t>134-139</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Comparators</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7</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Describe the interventions or strategies being compared and state why they were chosen.</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CE3849">
            <w:pPr>
              <w:pStyle w:val="Tabletext"/>
              <w:spacing w:before="60" w:after="60"/>
              <w:rPr>
                <w:lang w:val="en-GB"/>
              </w:rPr>
            </w:pPr>
            <w:r w:rsidRPr="009F111E">
              <w:rPr>
                <w:lang w:val="en-GB"/>
              </w:rPr>
              <w:t xml:space="preserve">Lines </w:t>
            </w:r>
            <w:r>
              <w:rPr>
                <w:lang w:val="en-GB"/>
              </w:rPr>
              <w:t>45-47</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Time horizon</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8</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State the time horizon(s) over which costs and consequences are being evaluated and say why appropriate.</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CE3849">
            <w:pPr>
              <w:pStyle w:val="Tabletext"/>
              <w:spacing w:before="60" w:after="60"/>
              <w:rPr>
                <w:lang w:val="en-GB"/>
              </w:rPr>
            </w:pPr>
            <w:r w:rsidRPr="009F111E">
              <w:rPr>
                <w:lang w:val="en-GB"/>
              </w:rPr>
              <w:t xml:space="preserve">Lines </w:t>
            </w:r>
            <w:r>
              <w:rPr>
                <w:lang w:val="en-GB"/>
              </w:rPr>
              <w:t>45-47</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Discount rate</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9</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Report the choice of discount rate(s) used for costs and outcomes and say why appropriate.</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CE3849">
            <w:pPr>
              <w:pStyle w:val="Tabletext"/>
              <w:spacing w:before="60" w:after="60"/>
              <w:rPr>
                <w:lang w:val="en-GB"/>
              </w:rPr>
            </w:pPr>
            <w:r w:rsidRPr="009F111E">
              <w:rPr>
                <w:lang w:val="en-GB"/>
              </w:rPr>
              <w:t xml:space="preserve">Lines </w:t>
            </w:r>
            <w:r>
              <w:rPr>
                <w:lang w:val="en-GB"/>
              </w:rPr>
              <w:t>51-54</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Choice of health outcomes</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10</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Describe what outcomes were used as the measure(s) of benefit in the evaluation and their relevance for the type of analysis performed.</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B94B48">
            <w:pPr>
              <w:pStyle w:val="Tabletext"/>
              <w:spacing w:before="60" w:after="60"/>
              <w:rPr>
                <w:lang w:val="en-GB"/>
              </w:rPr>
            </w:pPr>
            <w:r w:rsidRPr="009F111E">
              <w:rPr>
                <w:lang w:val="en-GB"/>
              </w:rPr>
              <w:t xml:space="preserve">Lines </w:t>
            </w:r>
            <w:r>
              <w:rPr>
                <w:lang w:val="en-GB"/>
              </w:rPr>
              <w:t>141-144</w:t>
            </w:r>
          </w:p>
        </w:tc>
      </w:tr>
      <w:tr w:rsidR="00415BFD" w:rsidRPr="009F111E" w:rsidTr="00093CB5">
        <w:trPr>
          <w:cantSplit/>
        </w:trPr>
        <w:tc>
          <w:tcPr>
            <w:tcW w:w="2235" w:type="dxa"/>
            <w:vMerge w:val="restart"/>
          </w:tcPr>
          <w:p w:rsidR="00415BFD" w:rsidRPr="009F111E" w:rsidRDefault="00415BFD" w:rsidP="00BD5FE3">
            <w:pPr>
              <w:pStyle w:val="Tabletext"/>
              <w:spacing w:before="60" w:after="60"/>
              <w:rPr>
                <w:lang w:val="en-GB"/>
              </w:rPr>
            </w:pPr>
            <w:r w:rsidRPr="009F111E">
              <w:rPr>
                <w:lang w:val="en-GB"/>
              </w:rPr>
              <w:t>Measurement of effectiveness</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11a</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i/>
                <w:iCs/>
                <w:lang w:val="en-GB"/>
              </w:rPr>
              <w:t>Single study-based estimates: </w:t>
            </w:r>
            <w:r w:rsidRPr="009F111E">
              <w:rPr>
                <w:lang w:val="en-GB"/>
              </w:rPr>
              <w:t>Describe fully the design features of the single effectiveness study and why the single study was a sufficient source of clinical effectiveness data.</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BD5FE3">
            <w:pPr>
              <w:pStyle w:val="Tabletext"/>
              <w:spacing w:before="60" w:after="60"/>
              <w:rPr>
                <w:lang w:val="en-GB"/>
              </w:rPr>
            </w:pPr>
            <w:r>
              <w:rPr>
                <w:lang w:val="en-GB"/>
              </w:rPr>
              <w:t>Not applicable</w:t>
            </w:r>
            <w:r w:rsidRPr="009F111E">
              <w:rPr>
                <w:lang w:val="en-GB"/>
              </w:rPr>
              <w:t xml:space="preserve"> </w:t>
            </w:r>
          </w:p>
        </w:tc>
      </w:tr>
      <w:tr w:rsidR="00415BFD" w:rsidRPr="009F111E" w:rsidTr="00093CB5">
        <w:trPr>
          <w:cantSplit/>
        </w:trPr>
        <w:tc>
          <w:tcPr>
            <w:tcW w:w="2235" w:type="dxa"/>
            <w:vMerge/>
          </w:tcPr>
          <w:p w:rsidR="00415BFD" w:rsidRPr="009F111E" w:rsidRDefault="00415BFD" w:rsidP="00BD5FE3">
            <w:pPr>
              <w:pStyle w:val="Tabletext"/>
              <w:spacing w:before="60" w:after="60"/>
              <w:rPr>
                <w:lang w:val="en-GB"/>
              </w:rPr>
            </w:pP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11b</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i/>
                <w:iCs/>
                <w:lang w:val="en-GB"/>
              </w:rPr>
              <w:t>Synthesis-based estimates</w:t>
            </w:r>
            <w:r w:rsidRPr="009F111E">
              <w:rPr>
                <w:lang w:val="en-GB"/>
              </w:rPr>
              <w:t>: Describe fully the methods used for identification of included studies and synthesis of clinical effectiveness data.</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BD5FE3">
            <w:pPr>
              <w:pStyle w:val="Tabletext"/>
              <w:spacing w:before="60" w:after="60"/>
              <w:rPr>
                <w:lang w:val="en-GB"/>
              </w:rPr>
            </w:pPr>
            <w:r>
              <w:rPr>
                <w:lang w:val="en-GB"/>
              </w:rPr>
              <w:t>Lines 116-192</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Measurement and valuation of preference based outcomes</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12</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If applicable, describe the population and methods used to elicit preferences for outcomes.</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BD5FE3">
            <w:pPr>
              <w:pStyle w:val="Tabletext"/>
              <w:spacing w:before="60" w:after="60"/>
              <w:rPr>
                <w:lang w:val="en-GB"/>
              </w:rPr>
            </w:pPr>
            <w:r>
              <w:rPr>
                <w:lang w:val="en-GB"/>
              </w:rPr>
              <w:t>Not applicable</w:t>
            </w:r>
          </w:p>
        </w:tc>
      </w:tr>
      <w:tr w:rsidR="00415BFD" w:rsidRPr="009F111E" w:rsidTr="00093CB5">
        <w:trPr>
          <w:cantSplit/>
        </w:trPr>
        <w:tc>
          <w:tcPr>
            <w:tcW w:w="2235" w:type="dxa"/>
            <w:vMerge w:val="restart"/>
          </w:tcPr>
          <w:p w:rsidR="00415BFD" w:rsidRPr="009F111E" w:rsidRDefault="00415BFD" w:rsidP="00BD5FE3">
            <w:pPr>
              <w:pStyle w:val="Tabletext"/>
              <w:spacing w:before="60" w:after="60"/>
              <w:rPr>
                <w:lang w:val="en-GB"/>
              </w:rPr>
            </w:pPr>
            <w:r w:rsidRPr="009F111E">
              <w:rPr>
                <w:lang w:val="en-GB"/>
              </w:rPr>
              <w:lastRenderedPageBreak/>
              <w:t>Estimating resources and costs</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13a</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i/>
                <w:iCs/>
                <w:lang w:val="en-GB"/>
              </w:rPr>
              <w:t>Single study-based economic evaluation:</w:t>
            </w:r>
            <w:r w:rsidRPr="009F111E">
              <w:rPr>
                <w:lang w:val="en-GB"/>
              </w:rPr>
              <w:t>Describe approaches used to estimate resource use associated with the alternative interventions. Describe primary or secondary research methods for valuing each resource item in terms of its unit cost. Describe any adjustments made to approximate to opportunity costs.</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BD5FE3">
            <w:pPr>
              <w:pStyle w:val="Tabletext"/>
              <w:spacing w:before="60" w:after="60"/>
              <w:rPr>
                <w:lang w:val="en-GB"/>
              </w:rPr>
            </w:pPr>
            <w:r>
              <w:rPr>
                <w:lang w:val="en-GB"/>
              </w:rPr>
              <w:t>Not applicable</w:t>
            </w:r>
          </w:p>
          <w:p w:rsidR="00415BFD" w:rsidRPr="009F111E" w:rsidRDefault="00415BFD" w:rsidP="00BD5FE3">
            <w:pPr>
              <w:pStyle w:val="Tabletext"/>
              <w:spacing w:before="60" w:after="60"/>
              <w:rPr>
                <w:lang w:val="en-GB"/>
              </w:rPr>
            </w:pPr>
          </w:p>
        </w:tc>
      </w:tr>
      <w:tr w:rsidR="00415BFD" w:rsidRPr="009F111E" w:rsidTr="00093CB5">
        <w:trPr>
          <w:cantSplit/>
        </w:trPr>
        <w:tc>
          <w:tcPr>
            <w:tcW w:w="2235" w:type="dxa"/>
            <w:vMerge/>
          </w:tcPr>
          <w:p w:rsidR="00415BFD" w:rsidRPr="009F111E" w:rsidRDefault="00415BFD" w:rsidP="00BD5FE3">
            <w:pPr>
              <w:pStyle w:val="Tabletext"/>
              <w:spacing w:before="60" w:after="60"/>
              <w:rPr>
                <w:lang w:val="en-GB"/>
              </w:rPr>
            </w:pP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13b</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i/>
                <w:iCs/>
                <w:lang w:val="en-GB"/>
              </w:rPr>
              <w:t>Model-based economic evaluation: </w:t>
            </w:r>
            <w:r w:rsidRPr="009F111E">
              <w:rPr>
                <w:lang w:val="en-GB"/>
              </w:rPr>
              <w:t>Describe approaches and data sources used to estimate resource use associated with model health states. Describe primary or secondary research methods for valuing each resource item in terms of its unit cost. Describe any adjustments made to approximate to opportunity costs.</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BD5FE3">
            <w:pPr>
              <w:pStyle w:val="Tabletext"/>
              <w:spacing w:before="60" w:after="60"/>
              <w:rPr>
                <w:lang w:val="en-GB"/>
              </w:rPr>
            </w:pPr>
            <w:r>
              <w:rPr>
                <w:lang w:val="en-GB"/>
              </w:rPr>
              <w:t>Lines 290-313</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Currency, price date, and conversion</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14</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Report the dates of the estimated resource quantities and unit costs. Describe methods for adjusting estimated unit costs to the year of reported costs if necessary. Describe methods for converting costs into a common currency base and the exchange rate.</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235908">
            <w:pPr>
              <w:pStyle w:val="Tabletext"/>
              <w:spacing w:before="60" w:after="60"/>
              <w:rPr>
                <w:lang w:val="en-GB"/>
              </w:rPr>
            </w:pPr>
            <w:r w:rsidRPr="009F111E">
              <w:rPr>
                <w:lang w:val="en-GB"/>
              </w:rPr>
              <w:t xml:space="preserve">Lines </w:t>
            </w:r>
            <w:r>
              <w:rPr>
                <w:lang w:val="en-GB"/>
              </w:rPr>
              <w:t>146-149</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Choice of model</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15</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Describe and give reasons for the specific type of decision-analytical model used. Providing a figure to show model structure is strongly recommended.</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43005E">
            <w:pPr>
              <w:pStyle w:val="Tabletext"/>
              <w:spacing w:before="60" w:after="60"/>
              <w:rPr>
                <w:lang w:val="en-GB"/>
              </w:rPr>
            </w:pPr>
            <w:r>
              <w:rPr>
                <w:lang w:val="en-GB"/>
              </w:rPr>
              <w:t>Lines 230-244</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Assumptions</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16</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Describe all structural or other assumptions underpinning the decision-analytical model.</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BD5FE3">
            <w:pPr>
              <w:pStyle w:val="Tabletext"/>
              <w:spacing w:before="60" w:after="60"/>
              <w:rPr>
                <w:lang w:val="en-GB"/>
              </w:rPr>
            </w:pPr>
            <w:r>
              <w:rPr>
                <w:lang w:val="en-GB"/>
              </w:rPr>
              <w:t>Appendix section 1.3</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Analytical methods</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17</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Describe all analytical methods supporting the evaluation. This could include methods for dealing with skewed, missing, or censored data; extrapolation methods; methods for pooling data; approaches to validate or make adjustments (such as half cycle corrections) to a model; and methods for handling population heterogeneity and uncertainty.</w:t>
            </w:r>
          </w:p>
        </w:tc>
        <w:tc>
          <w:tcPr>
            <w:cnfStyle w:val="000001000000" w:firstRow="0" w:lastRow="0" w:firstColumn="0" w:lastColumn="0" w:oddVBand="0" w:evenVBand="1" w:oddHBand="0" w:evenHBand="0" w:firstRowFirstColumn="0" w:firstRowLastColumn="0" w:lastRowFirstColumn="0" w:lastRowLastColumn="0"/>
            <w:tcW w:w="2258" w:type="dxa"/>
          </w:tcPr>
          <w:p w:rsidR="00415BFD" w:rsidRDefault="00415BFD" w:rsidP="00FC6498">
            <w:pPr>
              <w:pStyle w:val="Tabletext"/>
              <w:spacing w:before="60" w:after="60"/>
              <w:rPr>
                <w:lang w:val="en-GB"/>
              </w:rPr>
            </w:pPr>
            <w:r w:rsidRPr="009F111E">
              <w:rPr>
                <w:lang w:val="en-GB"/>
              </w:rPr>
              <w:t xml:space="preserve">Lines </w:t>
            </w:r>
            <w:r>
              <w:rPr>
                <w:lang w:val="en-GB"/>
              </w:rPr>
              <w:t>315-335</w:t>
            </w:r>
          </w:p>
          <w:p w:rsidR="00415BFD" w:rsidRDefault="00415BFD" w:rsidP="00FC6498">
            <w:pPr>
              <w:pStyle w:val="Tabletext"/>
              <w:spacing w:before="60" w:after="60"/>
              <w:rPr>
                <w:lang w:val="en-GB"/>
              </w:rPr>
            </w:pPr>
            <w:r>
              <w:rPr>
                <w:lang w:val="en-GB"/>
              </w:rPr>
              <w:t>Appendix section 3</w:t>
            </w:r>
          </w:p>
          <w:p w:rsidR="00415BFD" w:rsidRDefault="00415BFD" w:rsidP="00FC6498">
            <w:pPr>
              <w:pStyle w:val="Tabletext"/>
              <w:spacing w:before="60" w:after="60"/>
              <w:rPr>
                <w:lang w:val="en-GB"/>
              </w:rPr>
            </w:pPr>
            <w:r>
              <w:rPr>
                <w:lang w:val="en-GB"/>
              </w:rPr>
              <w:t>Appendix section 4</w:t>
            </w:r>
          </w:p>
          <w:p w:rsidR="00415BFD" w:rsidRPr="009F111E" w:rsidRDefault="00415BFD" w:rsidP="00FC6498">
            <w:pPr>
              <w:pStyle w:val="Tabletext"/>
              <w:spacing w:before="60" w:after="60"/>
              <w:rPr>
                <w:lang w:val="en-GB"/>
              </w:rPr>
            </w:pPr>
          </w:p>
        </w:tc>
      </w:tr>
      <w:tr w:rsidR="00415BFD" w:rsidRPr="009F111E" w:rsidTr="00093CB5">
        <w:trPr>
          <w:cantSplit/>
        </w:trPr>
        <w:tc>
          <w:tcPr>
            <w:tcW w:w="9713" w:type="dxa"/>
            <w:gridSpan w:val="4"/>
          </w:tcPr>
          <w:p w:rsidR="00415BFD" w:rsidRPr="00DA5A50" w:rsidRDefault="00415BFD" w:rsidP="00BD5FE3">
            <w:pPr>
              <w:pStyle w:val="Tabletext"/>
              <w:spacing w:before="60" w:after="60"/>
              <w:rPr>
                <w:b/>
                <w:lang w:val="en-GB"/>
              </w:rPr>
            </w:pPr>
            <w:r w:rsidRPr="00DA5A50">
              <w:rPr>
                <w:b/>
                <w:lang w:val="en-GB"/>
              </w:rPr>
              <w:t>Results</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Study parameters</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18</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Report the values, ranges, references, and, if used, probability distributions for all parameters. Report reasons or sources for distributions used to represent uncertainty where appropriate. Providing a table to show the input values is strongly recommended.</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BD5FE3">
            <w:pPr>
              <w:pStyle w:val="Tabletext"/>
              <w:spacing w:before="60" w:after="60"/>
              <w:rPr>
                <w:lang w:val="en-GB"/>
              </w:rPr>
            </w:pPr>
            <w:r w:rsidRPr="009F111E">
              <w:rPr>
                <w:lang w:val="en-GB"/>
              </w:rPr>
              <w:t>Table</w:t>
            </w:r>
            <w:r>
              <w:rPr>
                <w:lang w:val="en-GB"/>
              </w:rPr>
              <w:t>s</w:t>
            </w:r>
            <w:r w:rsidRPr="009F111E">
              <w:rPr>
                <w:lang w:val="en-GB"/>
              </w:rPr>
              <w:t xml:space="preserve"> 1-</w:t>
            </w:r>
            <w:r>
              <w:rPr>
                <w:lang w:val="en-GB"/>
              </w:rPr>
              <w:t>2</w:t>
            </w:r>
            <w:r w:rsidRPr="009F111E">
              <w:rPr>
                <w:lang w:val="en-GB"/>
              </w:rPr>
              <w:t xml:space="preserve"> in </w:t>
            </w:r>
            <w:r>
              <w:rPr>
                <w:lang w:val="en-GB"/>
              </w:rPr>
              <w:t>the main manuscript</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Incremental costs and outcomes</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19</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For each intervention, report mean values for the main categories of estimated costs and outcomes of interest, as well as mean differences between the comparator groups. If applicable, report incremental cost-effectiveness ratios.</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2869D0">
            <w:pPr>
              <w:pStyle w:val="Tabletext"/>
              <w:spacing w:before="60" w:after="60"/>
              <w:rPr>
                <w:lang w:val="en-GB"/>
              </w:rPr>
            </w:pPr>
            <w:r w:rsidRPr="009F111E">
              <w:rPr>
                <w:lang w:val="en-GB"/>
              </w:rPr>
              <w:t>Table</w:t>
            </w:r>
            <w:r>
              <w:rPr>
                <w:lang w:val="en-GB"/>
              </w:rPr>
              <w:t>s</w:t>
            </w:r>
            <w:r w:rsidRPr="009F111E">
              <w:rPr>
                <w:lang w:val="en-GB"/>
              </w:rPr>
              <w:t xml:space="preserve"> 1-</w:t>
            </w:r>
            <w:r>
              <w:rPr>
                <w:lang w:val="en-GB"/>
              </w:rPr>
              <w:t>2</w:t>
            </w:r>
            <w:r w:rsidRPr="009F111E">
              <w:rPr>
                <w:lang w:val="en-GB"/>
              </w:rPr>
              <w:t xml:space="preserve"> in </w:t>
            </w:r>
            <w:r>
              <w:rPr>
                <w:lang w:val="en-GB"/>
              </w:rPr>
              <w:t>the main manuscript</w:t>
            </w:r>
          </w:p>
        </w:tc>
      </w:tr>
      <w:tr w:rsidR="00415BFD" w:rsidRPr="009F111E" w:rsidTr="00093CB5">
        <w:trPr>
          <w:cantSplit/>
        </w:trPr>
        <w:tc>
          <w:tcPr>
            <w:tcW w:w="2235" w:type="dxa"/>
            <w:vMerge w:val="restart"/>
          </w:tcPr>
          <w:p w:rsidR="00415BFD" w:rsidRPr="009F111E" w:rsidRDefault="00415BFD" w:rsidP="00BD5FE3">
            <w:pPr>
              <w:pStyle w:val="Tabletext"/>
              <w:spacing w:before="60" w:after="60"/>
              <w:rPr>
                <w:lang w:val="en-GB"/>
              </w:rPr>
            </w:pPr>
            <w:r w:rsidRPr="009F111E">
              <w:rPr>
                <w:lang w:val="en-GB"/>
              </w:rPr>
              <w:lastRenderedPageBreak/>
              <w:t>Characterising uncertainty</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20a</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i/>
                <w:iCs/>
                <w:lang w:val="en-GB"/>
              </w:rPr>
              <w:t>Single study-based economic evaluation:</w:t>
            </w:r>
            <w:r>
              <w:rPr>
                <w:i/>
                <w:iCs/>
                <w:lang w:val="en-GB"/>
              </w:rPr>
              <w:t xml:space="preserve"> </w:t>
            </w:r>
            <w:r w:rsidRPr="009F111E">
              <w:rPr>
                <w:lang w:val="en-GB"/>
              </w:rPr>
              <w:t>Describe the effects of sampling uncertainty for the estimated incremental cost and incremental effectiveness parameters, together with the impact of methodological assumptions (such as discount rate, study perspective).</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BD5FE3">
            <w:pPr>
              <w:pStyle w:val="Tabletext"/>
              <w:spacing w:before="60" w:after="60"/>
              <w:rPr>
                <w:lang w:val="en-GB"/>
              </w:rPr>
            </w:pPr>
            <w:r>
              <w:rPr>
                <w:lang w:val="en-GB"/>
              </w:rPr>
              <w:t>Not applicable</w:t>
            </w:r>
          </w:p>
        </w:tc>
      </w:tr>
      <w:tr w:rsidR="00415BFD" w:rsidRPr="009F111E" w:rsidTr="00093CB5">
        <w:trPr>
          <w:cantSplit/>
        </w:trPr>
        <w:tc>
          <w:tcPr>
            <w:tcW w:w="2235" w:type="dxa"/>
            <w:vMerge/>
          </w:tcPr>
          <w:p w:rsidR="00415BFD" w:rsidRPr="009F111E" w:rsidRDefault="00415BFD" w:rsidP="00BD5FE3">
            <w:pPr>
              <w:pStyle w:val="Tabletext"/>
              <w:spacing w:before="60" w:after="60"/>
              <w:rPr>
                <w:lang w:val="en-GB"/>
              </w:rPr>
            </w:pP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20b</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i/>
                <w:iCs/>
                <w:lang w:val="en-GB"/>
              </w:rPr>
              <w:t>Model-based economic evaluation: </w:t>
            </w:r>
            <w:r w:rsidRPr="009F111E">
              <w:rPr>
                <w:lang w:val="en-GB"/>
              </w:rPr>
              <w:t>Describe the effects on the results of uncertainty for all input parameters, and uncertainty related to the structure of the model and assumptions.</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BD5FE3">
            <w:pPr>
              <w:pStyle w:val="Tabletext"/>
              <w:spacing w:before="60" w:after="60"/>
              <w:rPr>
                <w:lang w:val="en-GB"/>
              </w:rPr>
            </w:pPr>
            <w:r w:rsidRPr="009F111E">
              <w:rPr>
                <w:lang w:val="en-GB"/>
              </w:rPr>
              <w:t>Table</w:t>
            </w:r>
            <w:r>
              <w:rPr>
                <w:lang w:val="en-GB"/>
              </w:rPr>
              <w:t>s</w:t>
            </w:r>
            <w:r w:rsidRPr="009F111E">
              <w:rPr>
                <w:lang w:val="en-GB"/>
              </w:rPr>
              <w:t xml:space="preserve"> 1-</w:t>
            </w:r>
            <w:r>
              <w:rPr>
                <w:lang w:val="en-GB"/>
              </w:rPr>
              <w:t>2</w:t>
            </w:r>
            <w:r w:rsidRPr="009F111E">
              <w:rPr>
                <w:lang w:val="en-GB"/>
              </w:rPr>
              <w:t xml:space="preserve"> in </w:t>
            </w:r>
            <w:r>
              <w:rPr>
                <w:lang w:val="en-GB"/>
              </w:rPr>
              <w:t>the main manuscript</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Characterising heterogeneity</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21</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If applicable, report differences in costs, outcomes, or cost-effectiveness that can be explained by variations between subgroups of patients with different baseline characteristics or other observed variability in effects that are not reducible by more information.</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BD5FE3">
            <w:pPr>
              <w:pStyle w:val="Tabletext"/>
              <w:spacing w:before="60" w:after="60"/>
              <w:rPr>
                <w:lang w:val="en-GB"/>
              </w:rPr>
            </w:pPr>
            <w:r>
              <w:rPr>
                <w:lang w:val="en-GB"/>
              </w:rPr>
              <w:t>N</w:t>
            </w:r>
            <w:r w:rsidRPr="009F111E">
              <w:rPr>
                <w:lang w:val="en-GB"/>
              </w:rPr>
              <w:t>ot applicable</w:t>
            </w:r>
          </w:p>
        </w:tc>
      </w:tr>
      <w:tr w:rsidR="00415BFD" w:rsidRPr="009F111E" w:rsidTr="00093CB5">
        <w:trPr>
          <w:cantSplit/>
        </w:trPr>
        <w:tc>
          <w:tcPr>
            <w:tcW w:w="9713" w:type="dxa"/>
            <w:gridSpan w:val="4"/>
          </w:tcPr>
          <w:p w:rsidR="00415BFD" w:rsidRPr="00DA5A50" w:rsidRDefault="00415BFD" w:rsidP="00BD5FE3">
            <w:pPr>
              <w:pStyle w:val="Tabletext"/>
              <w:spacing w:before="60" w:after="60"/>
              <w:rPr>
                <w:b/>
                <w:lang w:val="en-GB"/>
              </w:rPr>
            </w:pPr>
            <w:r w:rsidRPr="00DA5A50">
              <w:rPr>
                <w:b/>
                <w:lang w:val="en-GB"/>
              </w:rPr>
              <w:t>Discussion</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Study findings, limitations, generalisability, and current knowledge</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22</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Summarise key study findings and describe how they support the conclusions reached. Discuss limitations and the generalisability of the findings and how the findings fit with current knowledge.</w:t>
            </w:r>
          </w:p>
        </w:tc>
        <w:tc>
          <w:tcPr>
            <w:cnfStyle w:val="000001000000" w:firstRow="0" w:lastRow="0" w:firstColumn="0" w:lastColumn="0" w:oddVBand="0" w:evenVBand="1" w:oddHBand="0" w:evenHBand="0" w:firstRowFirstColumn="0" w:firstRowLastColumn="0" w:lastRowFirstColumn="0" w:lastRowLastColumn="0"/>
            <w:tcW w:w="2258" w:type="dxa"/>
          </w:tcPr>
          <w:p w:rsidR="00415BFD" w:rsidRPr="009F111E" w:rsidRDefault="00415BFD" w:rsidP="007D1C41">
            <w:pPr>
              <w:pStyle w:val="Tabletext"/>
              <w:spacing w:before="60" w:after="60"/>
              <w:rPr>
                <w:lang w:val="en-GB"/>
              </w:rPr>
            </w:pPr>
            <w:r>
              <w:rPr>
                <w:lang w:val="en-GB"/>
              </w:rPr>
              <w:t>Lines 337-492</w:t>
            </w:r>
          </w:p>
        </w:tc>
      </w:tr>
      <w:tr w:rsidR="00415BFD" w:rsidRPr="009F111E" w:rsidTr="00093CB5">
        <w:trPr>
          <w:cantSplit/>
        </w:trPr>
        <w:tc>
          <w:tcPr>
            <w:tcW w:w="9713" w:type="dxa"/>
            <w:gridSpan w:val="4"/>
          </w:tcPr>
          <w:p w:rsidR="00415BFD" w:rsidRPr="006A145D" w:rsidRDefault="00415BFD" w:rsidP="00BD5FE3">
            <w:pPr>
              <w:pStyle w:val="Tabletext"/>
              <w:spacing w:before="60" w:after="60"/>
              <w:rPr>
                <w:b/>
                <w:lang w:val="en-GB"/>
              </w:rPr>
            </w:pPr>
            <w:r w:rsidRPr="006A145D">
              <w:rPr>
                <w:b/>
                <w:lang w:val="en-GB"/>
              </w:rPr>
              <w:t>Other</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Source of funding</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23</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Describe how the study was funded and the role of the funder in the identification, design, conduct, and reporting of the analysis. Describe other non-monetary sources of support.</w:t>
            </w:r>
          </w:p>
        </w:tc>
        <w:tc>
          <w:tcPr>
            <w:cnfStyle w:val="000001000000" w:firstRow="0" w:lastRow="0" w:firstColumn="0" w:lastColumn="0" w:oddVBand="0" w:evenVBand="1" w:oddHBand="0" w:evenHBand="0" w:firstRowFirstColumn="0" w:firstRowLastColumn="0" w:lastRowFirstColumn="0" w:lastRowLastColumn="0"/>
            <w:tcW w:w="2258" w:type="dxa"/>
          </w:tcPr>
          <w:p w:rsidR="00415BFD" w:rsidRDefault="00415BFD" w:rsidP="00BD5FE3">
            <w:pPr>
              <w:pStyle w:val="Tabletext"/>
              <w:spacing w:before="60" w:after="60"/>
              <w:rPr>
                <w:lang w:val="en-GB"/>
              </w:rPr>
            </w:pPr>
            <w:r>
              <w:rPr>
                <w:lang w:val="en-GB"/>
              </w:rPr>
              <w:t xml:space="preserve">Financial support </w:t>
            </w:r>
          </w:p>
          <w:p w:rsidR="00415BFD" w:rsidRPr="009F111E" w:rsidRDefault="00415BFD" w:rsidP="00940930">
            <w:pPr>
              <w:pStyle w:val="Tabletext"/>
              <w:spacing w:before="60" w:after="60"/>
              <w:rPr>
                <w:lang w:val="en-GB"/>
              </w:rPr>
            </w:pPr>
            <w:r>
              <w:rPr>
                <w:lang w:val="en-GB"/>
              </w:rPr>
              <w:t>(see page 27)</w:t>
            </w:r>
            <w:r w:rsidRPr="009F111E">
              <w:rPr>
                <w:lang w:val="en-GB"/>
              </w:rPr>
              <w:t xml:space="preserve"> </w:t>
            </w:r>
          </w:p>
        </w:tc>
      </w:tr>
      <w:tr w:rsidR="00415BFD" w:rsidRPr="009F111E" w:rsidTr="00093CB5">
        <w:trPr>
          <w:cantSplit/>
        </w:trPr>
        <w:tc>
          <w:tcPr>
            <w:tcW w:w="2235" w:type="dxa"/>
          </w:tcPr>
          <w:p w:rsidR="00415BFD" w:rsidRPr="009F111E" w:rsidRDefault="00415BFD" w:rsidP="00BD5FE3">
            <w:pPr>
              <w:pStyle w:val="Tabletext"/>
              <w:spacing w:before="60" w:after="60"/>
              <w:rPr>
                <w:lang w:val="en-GB"/>
              </w:rPr>
            </w:pPr>
            <w:r w:rsidRPr="009F111E">
              <w:rPr>
                <w:lang w:val="en-GB"/>
              </w:rPr>
              <w:t>Conflicts of interest</w:t>
            </w:r>
          </w:p>
        </w:tc>
        <w:tc>
          <w:tcPr>
            <w:cnfStyle w:val="000001000000" w:firstRow="0" w:lastRow="0" w:firstColumn="0" w:lastColumn="0" w:oddVBand="0" w:evenVBand="1" w:oddHBand="0" w:evenHBand="0" w:firstRowFirstColumn="0" w:firstRowLastColumn="0" w:lastRowFirstColumn="0" w:lastRowLastColumn="0"/>
            <w:tcW w:w="720" w:type="dxa"/>
          </w:tcPr>
          <w:p w:rsidR="00415BFD" w:rsidRPr="009F111E" w:rsidRDefault="00415BFD" w:rsidP="00BD5FE3">
            <w:pPr>
              <w:pStyle w:val="Tabletext"/>
              <w:spacing w:before="60" w:after="60"/>
              <w:rPr>
                <w:lang w:val="en-GB"/>
              </w:rPr>
            </w:pPr>
            <w:r w:rsidRPr="009F111E">
              <w:rPr>
                <w:lang w:val="en-GB"/>
              </w:rPr>
              <w:t>24</w:t>
            </w:r>
          </w:p>
        </w:tc>
        <w:tc>
          <w:tcPr>
            <w:tcW w:w="4500" w:type="dxa"/>
          </w:tcPr>
          <w:p w:rsidR="00415BFD" w:rsidRPr="009F111E" w:rsidRDefault="00415BFD" w:rsidP="00BD5FE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Describe any potential for conflict of interest of study contributors in accordance with journal policy. In the absence of a journal policy, we recommend authors comply with International Committee of Medical Journal Editors recommendations.</w:t>
            </w:r>
          </w:p>
        </w:tc>
        <w:tc>
          <w:tcPr>
            <w:cnfStyle w:val="000001000000" w:firstRow="0" w:lastRow="0" w:firstColumn="0" w:lastColumn="0" w:oddVBand="0" w:evenVBand="1" w:oddHBand="0" w:evenHBand="0" w:firstRowFirstColumn="0" w:firstRowLastColumn="0" w:lastRowFirstColumn="0" w:lastRowLastColumn="0"/>
            <w:tcW w:w="2258" w:type="dxa"/>
          </w:tcPr>
          <w:p w:rsidR="00415BFD" w:rsidRDefault="00415BFD" w:rsidP="00BD5FE3">
            <w:pPr>
              <w:pStyle w:val="Tabletext"/>
              <w:spacing w:before="60" w:after="60"/>
              <w:rPr>
                <w:lang w:val="en-GB"/>
              </w:rPr>
            </w:pPr>
            <w:r>
              <w:rPr>
                <w:lang w:val="en-GB"/>
              </w:rPr>
              <w:t>Conflicts of interest</w:t>
            </w:r>
          </w:p>
          <w:p w:rsidR="00415BFD" w:rsidRPr="009F111E" w:rsidRDefault="00415BFD" w:rsidP="001434D0">
            <w:pPr>
              <w:pStyle w:val="Tabletext"/>
              <w:spacing w:before="60" w:after="60"/>
              <w:rPr>
                <w:lang w:val="en-GB"/>
              </w:rPr>
            </w:pPr>
            <w:r>
              <w:rPr>
                <w:lang w:val="en-GB"/>
              </w:rPr>
              <w:t>(see page 28)</w:t>
            </w:r>
          </w:p>
        </w:tc>
      </w:tr>
    </w:tbl>
    <w:p w:rsidR="00415BFD" w:rsidRDefault="00415BFD" w:rsidP="00C90267">
      <w:pPr>
        <w:pStyle w:val="Tabletext"/>
        <w:spacing w:before="240"/>
        <w:rPr>
          <w:sz w:val="16"/>
          <w:lang w:val="en-GB"/>
        </w:rPr>
      </w:pPr>
      <w:r>
        <w:rPr>
          <w:sz w:val="16"/>
          <w:lang w:val="en-GB"/>
        </w:rPr>
        <w:t>T</w:t>
      </w:r>
      <w:r w:rsidRPr="00C56DE7">
        <w:rPr>
          <w:sz w:val="16"/>
          <w:lang w:val="en-GB"/>
        </w:rPr>
        <w:t>he CHEERS statement checklist format is based on the format of the CONSORT statement checklist</w:t>
      </w:r>
    </w:p>
    <w:p w:rsidR="00415BFD" w:rsidRPr="00C56DE7" w:rsidRDefault="00415BFD" w:rsidP="00C90267">
      <w:pPr>
        <w:pStyle w:val="Tabletext"/>
        <w:spacing w:before="240"/>
        <w:rPr>
          <w:sz w:val="16"/>
        </w:rPr>
      </w:pPr>
    </w:p>
    <w:p w:rsidR="00415BFD" w:rsidRDefault="00415BFD" w:rsidP="007B6DD6">
      <w:pPr>
        <w:sectPr w:rsidR="00415BFD" w:rsidSect="00366EE5">
          <w:footnotePr>
            <w:numFmt w:val="chicago"/>
            <w:numStart w:val="2"/>
          </w:footnotePr>
          <w:pgSz w:w="11906" w:h="16838"/>
          <w:pgMar w:top="1440" w:right="1440" w:bottom="1440" w:left="1440" w:header="510" w:footer="567" w:gutter="0"/>
          <w:cols w:space="708"/>
          <w:titlePg/>
          <w:docGrid w:linePitch="360"/>
        </w:sectPr>
      </w:pPr>
    </w:p>
    <w:p w:rsidR="00415BFD" w:rsidRDefault="00415BFD" w:rsidP="00B54903">
      <w:pPr>
        <w:pStyle w:val="Heading1"/>
      </w:pPr>
      <w:bookmarkStart w:id="27" w:name="_Ref450750833"/>
      <w:bookmarkStart w:id="28" w:name="_Toc452066387"/>
      <w:r>
        <w:lastRenderedPageBreak/>
        <w:t>Analysis of intervention effect sizes</w:t>
      </w:r>
      <w:bookmarkEnd w:id="27"/>
      <w:bookmarkEnd w:id="28"/>
    </w:p>
    <w:p w:rsidR="00415BFD" w:rsidRDefault="00415BFD" w:rsidP="002F4DFD">
      <w:pPr>
        <w:pStyle w:val="Heading3"/>
      </w:pPr>
      <w:bookmarkStart w:id="29" w:name="_Toc452066388"/>
      <w:r>
        <w:t>Overview</w:t>
      </w:r>
      <w:bookmarkEnd w:id="29"/>
    </w:p>
    <w:p w:rsidR="00415BFD" w:rsidRDefault="00415BFD" w:rsidP="00774E19">
      <w:pPr>
        <w:rPr>
          <w:lang w:bidi="ar-SA"/>
        </w:rPr>
      </w:pPr>
      <w:r>
        <w:rPr>
          <w:lang w:bidi="ar-SA"/>
        </w:rPr>
        <w:t xml:space="preserve">This section provides an overview of the methods used to calculate intervention effect sizes for universal psychological intervention, indicated psychological intervention and indicated bibliotherapy. We first provide brief background on a previous meta-review that was conducted to identify all RCT studies examining the efficacy of school-based prevention interventions for children and adolescents. It is from this meta-review that we identified interventions and their accompanying intervention pathways that had: a strong evidence of effectiveness; and were appropriate to the Australian context (see section </w:t>
      </w:r>
      <w:r>
        <w:rPr>
          <w:lang w:bidi="ar-SA"/>
        </w:rPr>
        <w:fldChar w:fldCharType="begin"/>
      </w:r>
      <w:r>
        <w:rPr>
          <w:lang w:bidi="ar-SA"/>
        </w:rPr>
        <w:instrText xml:space="preserve"> REF _Ref451331979 \r \h </w:instrText>
      </w:r>
      <w:r>
        <w:rPr>
          <w:lang w:bidi="ar-SA"/>
        </w:rPr>
      </w:r>
      <w:r>
        <w:rPr>
          <w:lang w:bidi="ar-SA"/>
        </w:rPr>
        <w:fldChar w:fldCharType="separate"/>
      </w:r>
      <w:r>
        <w:rPr>
          <w:lang w:bidi="ar-SA"/>
        </w:rPr>
        <w:t>1.2</w:t>
      </w:r>
      <w:r>
        <w:rPr>
          <w:lang w:bidi="ar-SA"/>
        </w:rPr>
        <w:fldChar w:fldCharType="end"/>
      </w:r>
      <w:r>
        <w:rPr>
          <w:lang w:bidi="ar-SA"/>
        </w:rPr>
        <w:t xml:space="preserve"> for a full description of the analytic scope of the meta-review as it relates to the development of the decision-analytic model). We then present detailed results of meta-analyses conducted to derive pooled intervention effect sizes for indicated and universal prevention, by follow-up period. These results mostly relate to interventions involving the face-to-face delivery of intervention modules; though a short section has been placed at the end discussing how we approached intervention effect sizes when modelling prevention interventions (universal and indicated) that are delivered via the internet.</w:t>
      </w:r>
    </w:p>
    <w:p w:rsidR="00415BFD" w:rsidRDefault="00415BFD" w:rsidP="00774E19">
      <w:pPr>
        <w:rPr>
          <w:lang w:bidi="ar-SA"/>
        </w:rPr>
      </w:pPr>
    </w:p>
    <w:p w:rsidR="00415BFD" w:rsidRDefault="00415BFD" w:rsidP="00FC6587">
      <w:pPr>
        <w:pStyle w:val="Heading3"/>
      </w:pPr>
      <w:bookmarkStart w:id="30" w:name="_Toc452066389"/>
      <w:r>
        <w:t>Meta-review of RCT studies</w:t>
      </w:r>
      <w:bookmarkEnd w:id="30"/>
    </w:p>
    <w:p w:rsidR="00415BFD" w:rsidRDefault="00415BFD" w:rsidP="002F033D">
      <w:r>
        <w:t xml:space="preserve">A meta-review was conducted to identify all systematic reviews published between January </w:t>
      </w:r>
      <w:r w:rsidRPr="00C17220">
        <w:t xml:space="preserve">1980 and </w:t>
      </w:r>
      <w:r>
        <w:t xml:space="preserve">August 2014 examining the efficacy of prevention interventions for depression. The full methods have been presented elsewhere, and are briefly summarised here </w:t>
      </w:r>
      <w:r>
        <w:rPr>
          <w:noProof/>
        </w:rPr>
        <w:t>[3]</w:t>
      </w:r>
      <w:r>
        <w:t xml:space="preserve">. A systematic search was conducted to search for all relevant systematic reviews listed in electronics databases: </w:t>
      </w:r>
      <w:r w:rsidRPr="00311C4B">
        <w:t>Medline, PsycINFO and the Cochrane Library of Systematic Reviews</w:t>
      </w:r>
      <w:r>
        <w:t xml:space="preserve">. </w:t>
      </w:r>
      <w:r w:rsidRPr="00311C4B">
        <w:t xml:space="preserve">Databases were searched using a combination of MeSH terms and text words </w:t>
      </w:r>
      <w:r>
        <w:t>relating</w:t>
      </w:r>
      <w:r w:rsidRPr="00311C4B">
        <w:t xml:space="preserve"> to</w:t>
      </w:r>
      <w:r>
        <w:t xml:space="preserve">: depression; prevention; </w:t>
      </w:r>
      <w:r w:rsidRPr="00311C4B">
        <w:t>and</w:t>
      </w:r>
      <w:r>
        <w:t xml:space="preserve"> </w:t>
      </w:r>
      <w:r w:rsidRPr="00311C4B">
        <w:t>intervention trials</w:t>
      </w:r>
      <w:r>
        <w:t xml:space="preserve">. Reviews were eligible for inclusion if: they employed systematic methods to review the literature; collected data from randomised control trials (RCTs); included studies comparing the efficacy of a prevention intervention relative to no intervention, placebo or usual care; focussed on the prevention of the onset of major depression; and involved youth aged between 5-18 years. </w:t>
      </w:r>
    </w:p>
    <w:p w:rsidR="00415BFD" w:rsidRDefault="00415BFD" w:rsidP="002F033D"/>
    <w:p w:rsidR="00415BFD" w:rsidRDefault="00415BFD" w:rsidP="002F033D">
      <w:r>
        <w:t>From the systematic reviews, we identified all studies containing data on the efficacy of interventions seeking to prevent depression in children and adolescents. Furthermore, we conducted our own update of these systematic reviews to compile additional studies with more recent information. We extracted outcomes data and important study design characteristics in using standardised data extraction templates generated in Microsoft Excel 2010. Many of the studies identified in the meta-review contained multiple (independent) study arms with extractable data on intervention efficacy – e.g., a study may have compared the efficacy of two active interventions in separate independent samples, in addition to a control group sample. In this study, we represent multiple study arms (a.k.a., intervention arms) within a study using alphabetical letters (a, b, c, etc) following the study author and year.</w:t>
      </w:r>
    </w:p>
    <w:p w:rsidR="00415BFD" w:rsidRDefault="00415BFD" w:rsidP="00FC6587"/>
    <w:p w:rsidR="00415BFD" w:rsidRDefault="00415BFD" w:rsidP="00FC6587">
      <w:r>
        <w:lastRenderedPageBreak/>
        <w:t xml:space="preserve">Our cost-effectiveness models sought to model burden reduction and thus required health outcomes data that was expressed as a change in the discrete number of incident depression cases following intervention, rather than changes to a continuous mean score of on a depression symptom rating scale. As stated in section </w:t>
      </w:r>
      <w:r>
        <w:fldChar w:fldCharType="begin"/>
      </w:r>
      <w:r>
        <w:instrText xml:space="preserve"> REF _Ref451332809 \r \h </w:instrText>
      </w:r>
      <w:r>
        <w:fldChar w:fldCharType="separate"/>
      </w:r>
      <w:r>
        <w:t>1.2</w:t>
      </w:r>
      <w:r>
        <w:fldChar w:fldCharType="end"/>
      </w:r>
      <w:r>
        <w:t xml:space="preserve">, we included RCT studies that measured intervention outcomes using structured clinical interviews to identify people with a diagnosis of major depression (e.g., DICA-IV or K-SADS). In addition, we included studies that used depression symptom rating scales if they reported outcomes as a discrete variable (i.e., counting the number of people who score above a pre-determined cut-off score on the scale); while excluding studies that reported outcomes as a continuous variable (i.e., a mean and standard deviation on a depression symptom rating scale). Overall, our search </w:t>
      </w:r>
      <w:r w:rsidRPr="00EB4302">
        <w:t>found 33 studies with</w:t>
      </w:r>
      <w:r>
        <w:t xml:space="preserve"> outcomes data on discrete cases of depression incidence across multiple follow-up points over time. </w:t>
      </w:r>
      <w:r w:rsidRPr="00EB4302">
        <w:t>These were broadly grouped into indicated (N = 15), selective (N = 6) and universal (N = 11) prevention.</w:t>
      </w:r>
    </w:p>
    <w:p w:rsidR="00415BFD" w:rsidRDefault="00415BFD" w:rsidP="00FC6587"/>
    <w:p w:rsidR="00415BFD" w:rsidRDefault="00415BFD" w:rsidP="00FC6587">
      <w:r>
        <w:t xml:space="preserve">All 11 universal prevention studies involved the delivery of intervention modules to classrooms of school children. It follows that all universal prevention studies were eligible for inclusion in the meta-analysis, as shown in </w:t>
      </w:r>
      <w:r>
        <w:fldChar w:fldCharType="begin"/>
      </w:r>
      <w:r>
        <w:instrText xml:space="preserve"> REF _Ref432884016 \n \h </w:instrText>
      </w:r>
      <w:r>
        <w:fldChar w:fldCharType="separate"/>
      </w:r>
      <w:r>
        <w:t>Table 5</w:t>
      </w:r>
      <w:r>
        <w:fldChar w:fldCharType="end"/>
      </w:r>
      <w:r>
        <w:t xml:space="preserve">. We did, however, exclude two studies from the final meta-analysis as they were deemed outliers with unreasonably high incidence proportions in both intervention and control groups when compared to other universal populations </w:t>
      </w:r>
      <w:r>
        <w:rPr>
          <w:noProof/>
        </w:rPr>
        <w:t>[29,30]</w:t>
      </w:r>
      <w:r>
        <w:t>. For example, the</w:t>
      </w:r>
      <w:r w:rsidRPr="00620552">
        <w:t xml:space="preserve"> </w:t>
      </w:r>
      <w:r>
        <w:t xml:space="preserve">incidence proportion reported by </w:t>
      </w:r>
      <w:r>
        <w:rPr>
          <w:noProof/>
        </w:rPr>
        <w:t>Stallard and Buck [30]</w:t>
      </w:r>
      <w:r>
        <w:t>, was &gt;70% of each respective sample; which is unreasonable for a universal intervention that supposedly targets people in the healthy population (other studies reported incidence proportions &lt;50%). In summary, we found 9 studies containing 12 separate study arms with extractable data on the efficacy of universal prevention.</w:t>
      </w:r>
    </w:p>
    <w:p w:rsidR="00415BFD" w:rsidRDefault="00415BFD" w:rsidP="00FC6587"/>
    <w:p w:rsidR="00415BFD" w:rsidRDefault="00415BFD" w:rsidP="00FD42FA">
      <w:r>
        <w:t>In the case of s</w:t>
      </w:r>
      <w:r w:rsidRPr="00DF22DC">
        <w:t>elective prevention</w:t>
      </w:r>
      <w:r>
        <w:t>, there were 5 studies encompassing several at-risk groups, including</w:t>
      </w:r>
      <w:r w:rsidRPr="00DF22DC">
        <w:t>: children of divorced parents</w:t>
      </w:r>
      <w:r>
        <w:t xml:space="preserve"> </w:t>
      </w:r>
      <w:r>
        <w:rPr>
          <w:noProof/>
        </w:rPr>
        <w:t>[31]</w:t>
      </w:r>
      <w:r w:rsidRPr="00DF22DC">
        <w:t>; children of parents with mental</w:t>
      </w:r>
      <w:r>
        <w:t xml:space="preserve"> illness </w:t>
      </w:r>
      <w:r>
        <w:rPr>
          <w:noProof/>
        </w:rPr>
        <w:t>[32,33]</w:t>
      </w:r>
      <w:r>
        <w:t xml:space="preserve">; socially disadvantaged children </w:t>
      </w:r>
      <w:r>
        <w:rPr>
          <w:noProof/>
        </w:rPr>
        <w:t>[34]</w:t>
      </w:r>
      <w:r>
        <w:t xml:space="preserve">; and primiparous adolescent girls </w:t>
      </w:r>
      <w:r>
        <w:rPr>
          <w:noProof/>
        </w:rPr>
        <w:t>[35]</w:t>
      </w:r>
      <w:r>
        <w:t>.</w:t>
      </w:r>
      <w:r w:rsidRPr="00DF22DC">
        <w:t xml:space="preserve"> </w:t>
      </w:r>
      <w:r>
        <w:t xml:space="preserve">Of the 6 selective prevention studies, only 1 examined the efficacy of selective prevention in a school setting – i.e., selective prevention targeting Chinese school children who have depressive symptoms a history of family conflict. It follows that there too few studies to model the population cost-effectiveness of selective prevention in all subgroups (including school-based interventions) in the Australian context (see section </w:t>
      </w:r>
      <w:r>
        <w:fldChar w:fldCharType="begin"/>
      </w:r>
      <w:r>
        <w:instrText xml:space="preserve"> REF _Ref451332809 \r \h </w:instrText>
      </w:r>
      <w:r>
        <w:fldChar w:fldCharType="separate"/>
      </w:r>
      <w:r>
        <w:t>1.2</w:t>
      </w:r>
      <w:r>
        <w:fldChar w:fldCharType="end"/>
      </w:r>
      <w:r>
        <w:t xml:space="preserve"> for a description of the inclusion criteria for the decision-analytic model).</w:t>
      </w:r>
    </w:p>
    <w:p w:rsidR="00415BFD" w:rsidRDefault="00415BFD" w:rsidP="00FC6587"/>
    <w:p w:rsidR="00415BFD" w:rsidRDefault="00415BFD" w:rsidP="00FC6587">
      <w:r>
        <w:t xml:space="preserve">A total of 7 indicated prevention studies were considered out of scope (i.e., low strength of evidence and/or not appropriate for the Australian context) as they: delivered the intervention to youth outside the primary/secondary school setting (i.e., primary care clinics) </w:t>
      </w:r>
      <w:r>
        <w:rPr>
          <w:noProof/>
        </w:rPr>
        <w:t>[36]</w:t>
      </w:r>
      <w:r>
        <w:t xml:space="preserve">; targeted non-student populations (i.e., university students, pregnant mothers and children of parents with a mental illness) </w:t>
      </w:r>
      <w:r>
        <w:rPr>
          <w:noProof/>
        </w:rPr>
        <w:t>[37-41]</w:t>
      </w:r>
      <w:r>
        <w:t xml:space="preserve">; or targeted both students and parents rather than students alone </w:t>
      </w:r>
      <w:r>
        <w:rPr>
          <w:noProof/>
        </w:rPr>
        <w:t>[42]</w:t>
      </w:r>
      <w:r>
        <w:t xml:space="preserve">. This left 8 remaining studies on indicated prevention encompassing 11 separate study arms with extractable data on the efficacy of indicated prevention (see </w:t>
      </w:r>
      <w:r>
        <w:fldChar w:fldCharType="begin"/>
      </w:r>
      <w:r>
        <w:instrText xml:space="preserve"> REF _Ref432883546 \n \h </w:instrText>
      </w:r>
      <w:r>
        <w:fldChar w:fldCharType="separate"/>
      </w:r>
      <w:r>
        <w:t>Table 6</w:t>
      </w:r>
      <w:r>
        <w:fldChar w:fldCharType="end"/>
      </w:r>
      <w:r>
        <w:t xml:space="preserve">). Of these, 9 involved an indicated psychological intervention while 2 involved bibliotherapy (see ‘intervention description’ in </w:t>
      </w:r>
      <w:r>
        <w:fldChar w:fldCharType="begin"/>
      </w:r>
      <w:r>
        <w:instrText xml:space="preserve"> REF _Ref432883546 \n \h </w:instrText>
      </w:r>
      <w:r>
        <w:fldChar w:fldCharType="separate"/>
      </w:r>
      <w:r>
        <w:t>Table 6</w:t>
      </w:r>
      <w:r>
        <w:fldChar w:fldCharType="end"/>
      </w:r>
      <w:r>
        <w:t>).</w:t>
      </w:r>
    </w:p>
    <w:p w:rsidR="00415BFD" w:rsidRDefault="00415BFD" w:rsidP="00FC6587"/>
    <w:p w:rsidR="00415BFD" w:rsidRDefault="00415BFD" w:rsidP="00FC6587">
      <w:r>
        <w:lastRenderedPageBreak/>
        <w:fldChar w:fldCharType="begin"/>
      </w:r>
      <w:r>
        <w:instrText xml:space="preserve"> REF _Ref432884016 \n \h </w:instrText>
      </w:r>
      <w:r>
        <w:fldChar w:fldCharType="separate"/>
      </w:r>
      <w:r>
        <w:t>Table 5</w:t>
      </w:r>
      <w:r>
        <w:fldChar w:fldCharType="end"/>
      </w:r>
      <w:r>
        <w:t xml:space="preserve"> and </w:t>
      </w:r>
      <w:r>
        <w:fldChar w:fldCharType="begin"/>
      </w:r>
      <w:r>
        <w:instrText xml:space="preserve"> REF _Ref432883546 \n \h </w:instrText>
      </w:r>
      <w:r>
        <w:fldChar w:fldCharType="separate"/>
      </w:r>
      <w:r>
        <w:t>Table 6</w:t>
      </w:r>
      <w:r>
        <w:fldChar w:fldCharType="end"/>
      </w:r>
      <w:r>
        <w:t xml:space="preserve"> collate the 17 studies identified in the previous meta-review. These 17 studies encompass 26 (independent) study arms for which we could extract relevant data on intervention outcomes. Study characteristics that are presented include: the study author and year; country; sample size; age range; and a brief description of the intervention. We found that the chief program facilitator (i.e., person responsible for delivering intervention modules to students) was an even mix between teachers and health professionals in the case of universal prevention. By contrast, health professionals were unanimously the chief program facilitator for indicated prevention. </w:t>
      </w:r>
    </w:p>
    <w:p w:rsidR="00415BFD" w:rsidRDefault="00415BFD" w:rsidP="00FC6587"/>
    <w:p w:rsidR="00415BFD" w:rsidRDefault="00415BFD" w:rsidP="00FC6587">
      <w:r>
        <w:t xml:space="preserve">The majority of universal and indicated prevention studies used control groups involving waitlist control, treatment-as-usual or no intervention. Very few (i.e., 2 of 26 study arms) used an attention control group, which is the recommended method for placebo control in psychological trials. We have listed the follow-up points (i.e., post-intervention, 6 months, 1 year and 2 years) for which data could be extracted and used in subsequent meta-analyses, across each intervention arm. </w:t>
      </w:r>
    </w:p>
    <w:p w:rsidR="00415BFD" w:rsidRDefault="00415BFD" w:rsidP="00FC6587"/>
    <w:p w:rsidR="00415BFD" w:rsidRDefault="00415BFD" w:rsidP="00FC6587">
      <w:r>
        <w:t>The diagnostic criteria used to measure intervention outcomes (i.e., reductions in the discrete number of depression cases) are also listed. These intervention measures broadly identify depression cases by using either: (1) structured clinical interviews; or (2) cut-offs on a depression symptom rating scale. In this column, depression symptom rating scales are denoted by</w:t>
      </w:r>
      <w:r w:rsidRPr="00A25BA7">
        <w:t xml:space="preserve"> an in</w:t>
      </w:r>
      <w:r>
        <w:t>equality to right of the scale that indicates</w:t>
      </w:r>
      <w:r w:rsidRPr="00A25BA7">
        <w:t xml:space="preserve"> the cut-off score used to identify depression cases </w:t>
      </w:r>
      <w:r>
        <w:t>(</w:t>
      </w:r>
      <w:r w:rsidRPr="00A25BA7">
        <w:t>e.g., CIS-R ≥12).</w:t>
      </w:r>
      <w:r>
        <w:t xml:space="preserve"> In the case of universal prevention (see </w:t>
      </w:r>
      <w:r>
        <w:fldChar w:fldCharType="begin"/>
      </w:r>
      <w:r>
        <w:instrText xml:space="preserve"> REF _Ref432884016 \n \h </w:instrText>
      </w:r>
      <w:r>
        <w:fldChar w:fldCharType="separate"/>
      </w:r>
      <w:r>
        <w:t>Table 5</w:t>
      </w:r>
      <w:r>
        <w:fldChar w:fldCharType="end"/>
      </w:r>
      <w:r>
        <w:t xml:space="preserve">), approximately half of the study arms use depression symptom rating scales, with the remainder using structured clinical interviews. In the case of indicated prevention (see </w:t>
      </w:r>
      <w:r>
        <w:fldChar w:fldCharType="begin"/>
      </w:r>
      <w:r>
        <w:instrText xml:space="preserve"> REF _Ref432883546 \n \h </w:instrText>
      </w:r>
      <w:r>
        <w:fldChar w:fldCharType="separate"/>
      </w:r>
      <w:r>
        <w:t>Table 6</w:t>
      </w:r>
      <w:r>
        <w:fldChar w:fldCharType="end"/>
      </w:r>
      <w:r>
        <w:t>), all of the study arms (except one) use structured clinical interviews.</w:t>
      </w:r>
    </w:p>
    <w:p w:rsidR="00415BFD" w:rsidRDefault="00415BFD" w:rsidP="00FC6587"/>
    <w:p w:rsidR="00415BFD" w:rsidRDefault="00415BFD" w:rsidP="00FC6587">
      <w:r>
        <w:t>We used the Cochrane Collaboration’s Risk of Bias tool to evaluate the level of risk across 7 potential sources of bias</w:t>
      </w:r>
      <w:r>
        <w:rPr>
          <w:rStyle w:val="FootnoteReference"/>
        </w:rPr>
        <w:footnoteReference w:id="5"/>
      </w:r>
      <w:r>
        <w:t xml:space="preserve"> (i.e., low, unclear or high). Each qualitative level of risk was allocated a quantitative score: 3 for ‘low risk’; 2 for ‘unclear risk’; and 1 for ‘high risk’. An aggregate risk of bias score was calculated for each intervention arm by summing the quantitative level of risk scores across the 7 sources of bias. This led to an aggregate risk of bias score out of 21 which is shown in </w:t>
      </w:r>
      <w:r>
        <w:fldChar w:fldCharType="begin"/>
      </w:r>
      <w:r>
        <w:instrText xml:space="preserve"> REF _Ref432884016 \n \h </w:instrText>
      </w:r>
      <w:r>
        <w:fldChar w:fldCharType="separate"/>
      </w:r>
      <w:r>
        <w:t>Table 5</w:t>
      </w:r>
      <w:r>
        <w:fldChar w:fldCharType="end"/>
      </w:r>
      <w:r>
        <w:t xml:space="preserve"> and </w:t>
      </w:r>
      <w:r>
        <w:fldChar w:fldCharType="begin"/>
      </w:r>
      <w:r>
        <w:instrText xml:space="preserve"> REF _Ref432883546 \n \h </w:instrText>
      </w:r>
      <w:r>
        <w:fldChar w:fldCharType="separate"/>
      </w:r>
      <w:r>
        <w:t>Table 6</w:t>
      </w:r>
      <w:r>
        <w:fldChar w:fldCharType="end"/>
      </w:r>
      <w:r>
        <w:t xml:space="preserve">. In addition to this, we recorded when the study used an intention-to-treat analysis (which was used to conduct univariate sensitivity analyses later on in section </w:t>
      </w:r>
      <w:r>
        <w:fldChar w:fldCharType="begin"/>
      </w:r>
      <w:r>
        <w:instrText xml:space="preserve"> REF _Ref451441887 \r \h </w:instrText>
      </w:r>
      <w:r>
        <w:fldChar w:fldCharType="separate"/>
      </w:r>
      <w:r>
        <w:t>6.7</w:t>
      </w:r>
      <w:r>
        <w:fldChar w:fldCharType="end"/>
      </w:r>
      <w:r>
        <w:t>).</w:t>
      </w:r>
    </w:p>
    <w:p w:rsidR="00415BFD" w:rsidRDefault="00415BFD" w:rsidP="006A45F7"/>
    <w:p w:rsidR="00415BFD" w:rsidRDefault="00415BFD" w:rsidP="00FC6587">
      <w:r>
        <w:t xml:space="preserve">The following sections present the results of meta-analyses conducted to calculate pooled effect sizes across the different study arms collated for universal psychological, indicated psychological and indicated bibliotherapy interventions. Extracted data were meta-analysed using the ‘quality effects’ (QE) model – which gives greater weight to studies that have a lower risk of bias (based on the aggregate risk of bias score calculated above) </w:t>
      </w:r>
      <w:r>
        <w:rPr>
          <w:noProof/>
        </w:rPr>
        <w:t>[43]</w:t>
      </w:r>
      <w:r>
        <w:t xml:space="preserve">. All meta-analyses were conducted using MetaXL 3.0 </w:t>
      </w:r>
      <w:r w:rsidRPr="00161431">
        <w:t xml:space="preserve">(Epigear International, Sunrise Beach, Australia; </w:t>
      </w:r>
      <w:r>
        <w:t xml:space="preserve">available at: </w:t>
      </w:r>
      <w:hyperlink r:id="rId8" w:history="1">
        <w:r w:rsidRPr="001B6828">
          <w:rPr>
            <w:rStyle w:val="Hyperlink"/>
          </w:rPr>
          <w:t>http://www.epigear.com/</w:t>
        </w:r>
      </w:hyperlink>
      <w:r w:rsidRPr="00161431">
        <w:t>)</w:t>
      </w:r>
      <w:r>
        <w:t>.</w:t>
      </w:r>
    </w:p>
    <w:p w:rsidR="00415BFD" w:rsidRDefault="00415BFD" w:rsidP="001B1CC9">
      <w:pPr>
        <w:rPr>
          <w:lang w:bidi="ar-SA"/>
        </w:rPr>
        <w:sectPr w:rsidR="00415BFD" w:rsidSect="00366EE5">
          <w:footnotePr>
            <w:numFmt w:val="chicago"/>
            <w:numStart w:val="2"/>
          </w:footnotePr>
          <w:pgSz w:w="11906" w:h="16838"/>
          <w:pgMar w:top="1440" w:right="1440" w:bottom="1440" w:left="1440" w:header="510" w:footer="567" w:gutter="0"/>
          <w:cols w:space="708"/>
          <w:titlePg/>
          <w:docGrid w:linePitch="360"/>
        </w:sectPr>
      </w:pPr>
    </w:p>
    <w:p w:rsidR="00415BFD" w:rsidRDefault="00415BFD" w:rsidP="00415BFD">
      <w:pPr>
        <w:pStyle w:val="MyTable"/>
        <w:numPr>
          <w:ilvl w:val="3"/>
          <w:numId w:val="9"/>
        </w:numPr>
        <w:rPr>
          <w:lang w:bidi="ar-SA"/>
        </w:rPr>
      </w:pPr>
      <w:bookmarkStart w:id="31" w:name="_Ref432884016"/>
      <w:bookmarkStart w:id="32" w:name="_Toc452066450"/>
      <w:r>
        <w:rPr>
          <w:lang w:bidi="ar-SA"/>
        </w:rPr>
        <w:lastRenderedPageBreak/>
        <w:t>Study design characteristics of independent RCT study arms identified by meta-review that examined the efficacy of school-based universal prevention interventions delivered to students</w:t>
      </w:r>
      <w:bookmarkEnd w:id="31"/>
      <w:bookmarkEnd w:id="32"/>
    </w:p>
    <w:tbl>
      <w:tblPr>
        <w:tblStyle w:val="MediumShading1-Accent1"/>
        <w:tblW w:w="14227" w:type="dxa"/>
        <w:tblLayout w:type="fixed"/>
        <w:tblLook w:val="04A0" w:firstRow="1" w:lastRow="0" w:firstColumn="1" w:lastColumn="0" w:noHBand="0" w:noVBand="1"/>
      </w:tblPr>
      <w:tblGrid>
        <w:gridCol w:w="1474"/>
        <w:gridCol w:w="964"/>
        <w:gridCol w:w="905"/>
        <w:gridCol w:w="850"/>
        <w:gridCol w:w="1020"/>
        <w:gridCol w:w="2154"/>
        <w:gridCol w:w="1077"/>
        <w:gridCol w:w="907"/>
        <w:gridCol w:w="1134"/>
        <w:gridCol w:w="1191"/>
        <w:gridCol w:w="906"/>
        <w:gridCol w:w="795"/>
        <w:gridCol w:w="850"/>
      </w:tblGrid>
      <w:tr w:rsidR="00415BFD" w:rsidRPr="00222BE7" w:rsidTr="00DC2165">
        <w:trPr>
          <w:cnfStyle w:val="100000000000" w:firstRow="1" w:lastRow="0" w:firstColumn="0" w:lastColumn="0" w:oddVBand="0" w:evenVBand="0" w:oddHBand="0" w:evenHBand="0" w:firstRowFirstColumn="0" w:firstRowLastColumn="0" w:lastRowFirstColumn="0" w:lastRowLastColumn="0"/>
          <w:cantSplit/>
          <w:trHeight w:val="1474"/>
          <w:tblHeader/>
        </w:trPr>
        <w:tc>
          <w:tcPr>
            <w:cnfStyle w:val="001000000000" w:firstRow="0" w:lastRow="0" w:firstColumn="1" w:lastColumn="0" w:oddVBand="0" w:evenVBand="0" w:oddHBand="0" w:evenHBand="0" w:firstRowFirstColumn="0" w:firstRowLastColumn="0" w:lastRowFirstColumn="0" w:lastRowLastColumn="0"/>
            <w:tcW w:w="1474" w:type="dxa"/>
          </w:tcPr>
          <w:p w:rsidR="00415BFD" w:rsidRPr="00222BE7" w:rsidRDefault="00415BFD" w:rsidP="00222BE7">
            <w:pPr>
              <w:pStyle w:val="Tabletext"/>
              <w:rPr>
                <w:rFonts w:cs="Arial"/>
                <w:szCs w:val="18"/>
              </w:rPr>
            </w:pPr>
            <w:r w:rsidRPr="00222BE7">
              <w:rPr>
                <w:rFonts w:cs="Arial"/>
                <w:szCs w:val="18"/>
              </w:rPr>
              <w:t>Study</w:t>
            </w:r>
            <w:r>
              <w:rPr>
                <w:rFonts w:cs="Arial"/>
                <w:szCs w:val="18"/>
              </w:rPr>
              <w:t xml:space="preserve"> arm</w:t>
            </w:r>
          </w:p>
        </w:tc>
        <w:tc>
          <w:tcPr>
            <w:tcW w:w="964" w:type="dxa"/>
          </w:tcPr>
          <w:p w:rsidR="00415BFD" w:rsidRPr="00222BE7" w:rsidRDefault="00415BFD" w:rsidP="00222BE7">
            <w:pPr>
              <w:pStyle w:val="Tabletext"/>
              <w:cnfStyle w:val="100000000000" w:firstRow="1" w:lastRow="0" w:firstColumn="0" w:lastColumn="0" w:oddVBand="0" w:evenVBand="0" w:oddHBand="0" w:evenHBand="0" w:firstRowFirstColumn="0" w:firstRowLastColumn="0" w:lastRowFirstColumn="0" w:lastRowLastColumn="0"/>
              <w:rPr>
                <w:rFonts w:cs="Arial"/>
                <w:szCs w:val="18"/>
              </w:rPr>
            </w:pPr>
            <w:r w:rsidRPr="00222BE7">
              <w:rPr>
                <w:rFonts w:cs="Arial"/>
                <w:szCs w:val="18"/>
              </w:rPr>
              <w:t>Country</w:t>
            </w:r>
          </w:p>
        </w:tc>
        <w:tc>
          <w:tcPr>
            <w:tcW w:w="905" w:type="dxa"/>
          </w:tcPr>
          <w:p w:rsidR="00415BFD" w:rsidRPr="00222BE7" w:rsidRDefault="00415BFD" w:rsidP="00222BE7">
            <w:pPr>
              <w:pStyle w:val="Tabletext"/>
              <w:cnfStyle w:val="100000000000" w:firstRow="1" w:lastRow="0" w:firstColumn="0" w:lastColumn="0" w:oddVBand="0" w:evenVBand="0" w:oddHBand="0" w:evenHBand="0" w:firstRowFirstColumn="0" w:firstRowLastColumn="0" w:lastRowFirstColumn="0" w:lastRowLastColumn="0"/>
              <w:rPr>
                <w:rFonts w:cs="Arial"/>
                <w:szCs w:val="18"/>
              </w:rPr>
            </w:pPr>
            <w:r w:rsidRPr="00222BE7">
              <w:rPr>
                <w:rFonts w:cs="Arial"/>
                <w:szCs w:val="18"/>
              </w:rPr>
              <w:t>Sample size</w:t>
            </w:r>
          </w:p>
        </w:tc>
        <w:tc>
          <w:tcPr>
            <w:tcW w:w="850" w:type="dxa"/>
          </w:tcPr>
          <w:p w:rsidR="00415BFD" w:rsidRPr="00222BE7" w:rsidRDefault="00415BFD" w:rsidP="00222BE7">
            <w:pPr>
              <w:pStyle w:val="Tabletext"/>
              <w:cnfStyle w:val="100000000000" w:firstRow="1" w:lastRow="0" w:firstColumn="0" w:lastColumn="0" w:oddVBand="0" w:evenVBand="0" w:oddHBand="0" w:evenHBand="0" w:firstRowFirstColumn="0" w:firstRowLastColumn="0" w:lastRowFirstColumn="0" w:lastRowLastColumn="0"/>
              <w:rPr>
                <w:rFonts w:cs="Arial"/>
                <w:szCs w:val="18"/>
              </w:rPr>
            </w:pPr>
            <w:r w:rsidRPr="00222BE7">
              <w:rPr>
                <w:rFonts w:cs="Arial"/>
                <w:szCs w:val="18"/>
              </w:rPr>
              <w:t>Age range</w:t>
            </w:r>
          </w:p>
        </w:tc>
        <w:tc>
          <w:tcPr>
            <w:tcW w:w="1020" w:type="dxa"/>
          </w:tcPr>
          <w:p w:rsidR="00415BFD" w:rsidRPr="00222BE7" w:rsidRDefault="00415BFD" w:rsidP="000F375B">
            <w:pPr>
              <w:pStyle w:val="Tabletext"/>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Included in meta-analysis?</w:t>
            </w:r>
          </w:p>
        </w:tc>
        <w:tc>
          <w:tcPr>
            <w:tcW w:w="2154" w:type="dxa"/>
          </w:tcPr>
          <w:p w:rsidR="00415BFD" w:rsidRPr="00222BE7" w:rsidRDefault="00415BFD" w:rsidP="00222BE7">
            <w:pPr>
              <w:pStyle w:val="Tabletext"/>
              <w:cnfStyle w:val="100000000000" w:firstRow="1" w:lastRow="0" w:firstColumn="0" w:lastColumn="0" w:oddVBand="0" w:evenVBand="0" w:oddHBand="0" w:evenHBand="0" w:firstRowFirstColumn="0" w:firstRowLastColumn="0" w:lastRowFirstColumn="0" w:lastRowLastColumn="0"/>
              <w:rPr>
                <w:rFonts w:cs="Arial"/>
                <w:szCs w:val="18"/>
              </w:rPr>
            </w:pPr>
            <w:r w:rsidRPr="00222BE7">
              <w:rPr>
                <w:rFonts w:cs="Arial"/>
                <w:szCs w:val="18"/>
              </w:rPr>
              <w:t>Intervention description</w:t>
            </w:r>
          </w:p>
        </w:tc>
        <w:tc>
          <w:tcPr>
            <w:tcW w:w="1077" w:type="dxa"/>
          </w:tcPr>
          <w:p w:rsidR="00415BFD" w:rsidRPr="00222BE7" w:rsidRDefault="00415BFD" w:rsidP="00222BE7">
            <w:pPr>
              <w:pStyle w:val="Tabletext"/>
              <w:cnfStyle w:val="100000000000" w:firstRow="1" w:lastRow="0" w:firstColumn="0" w:lastColumn="0" w:oddVBand="0" w:evenVBand="0" w:oddHBand="0" w:evenHBand="0" w:firstRowFirstColumn="0" w:firstRowLastColumn="0" w:lastRowFirstColumn="0" w:lastRowLastColumn="0"/>
              <w:rPr>
                <w:rFonts w:cs="Arial"/>
                <w:szCs w:val="18"/>
              </w:rPr>
            </w:pPr>
            <w:r w:rsidRPr="00222BE7">
              <w:rPr>
                <w:rFonts w:cs="Arial"/>
                <w:szCs w:val="18"/>
              </w:rPr>
              <w:t>Chief program facilitator</w:t>
            </w:r>
          </w:p>
        </w:tc>
        <w:tc>
          <w:tcPr>
            <w:tcW w:w="907" w:type="dxa"/>
          </w:tcPr>
          <w:p w:rsidR="00415BFD" w:rsidRPr="00222BE7" w:rsidRDefault="00415BFD" w:rsidP="00F7047B">
            <w:pPr>
              <w:pStyle w:val="Tabletext"/>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Control</w:t>
            </w:r>
            <w:r w:rsidRPr="00222BE7">
              <w:rPr>
                <w:rFonts w:cs="Arial"/>
                <w:szCs w:val="18"/>
              </w:rPr>
              <w:t xml:space="preserve"> </w:t>
            </w:r>
            <w:r>
              <w:rPr>
                <w:rFonts w:cs="Arial"/>
                <w:szCs w:val="18"/>
              </w:rPr>
              <w:t>group</w:t>
            </w:r>
          </w:p>
        </w:tc>
        <w:tc>
          <w:tcPr>
            <w:tcW w:w="1134" w:type="dxa"/>
          </w:tcPr>
          <w:p w:rsidR="00415BFD" w:rsidRPr="00222BE7" w:rsidRDefault="00415BFD" w:rsidP="00833150">
            <w:pPr>
              <w:pStyle w:val="Tabletext"/>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D</w:t>
            </w:r>
            <w:r w:rsidRPr="00222BE7">
              <w:rPr>
                <w:rFonts w:cs="Arial"/>
                <w:szCs w:val="18"/>
              </w:rPr>
              <w:t xml:space="preserve">ata available for </w:t>
            </w:r>
            <w:r>
              <w:rPr>
                <w:rFonts w:cs="Arial"/>
                <w:szCs w:val="18"/>
              </w:rPr>
              <w:t>these follow-up points</w:t>
            </w:r>
          </w:p>
        </w:tc>
        <w:tc>
          <w:tcPr>
            <w:tcW w:w="1191" w:type="dxa"/>
          </w:tcPr>
          <w:p w:rsidR="00415BFD" w:rsidRPr="00222BE7" w:rsidRDefault="00415BFD" w:rsidP="00222BE7">
            <w:pPr>
              <w:pStyle w:val="Tabletext"/>
              <w:cnfStyle w:val="100000000000" w:firstRow="1" w:lastRow="0" w:firstColumn="0" w:lastColumn="0" w:oddVBand="0" w:evenVBand="0" w:oddHBand="0" w:evenHBand="0" w:firstRowFirstColumn="0" w:firstRowLastColumn="0" w:lastRowFirstColumn="0" w:lastRowLastColumn="0"/>
              <w:rPr>
                <w:rFonts w:cs="Arial"/>
                <w:szCs w:val="18"/>
              </w:rPr>
            </w:pPr>
            <w:r w:rsidRPr="00222BE7">
              <w:rPr>
                <w:rFonts w:cs="Arial"/>
                <w:szCs w:val="18"/>
              </w:rPr>
              <w:t>Diagnostic criteria</w:t>
            </w:r>
            <w:r>
              <w:rPr>
                <w:rFonts w:cs="Arial"/>
                <w:szCs w:val="18"/>
              </w:rPr>
              <w:t xml:space="preserve"> </w:t>
            </w:r>
            <w:r w:rsidRPr="00716FFF">
              <w:rPr>
                <w:rFonts w:cs="Arial"/>
                <w:szCs w:val="18"/>
                <w:vertAlign w:val="superscript"/>
              </w:rPr>
              <w:t>a</w:t>
            </w:r>
          </w:p>
        </w:tc>
        <w:tc>
          <w:tcPr>
            <w:tcW w:w="906" w:type="dxa"/>
          </w:tcPr>
          <w:p w:rsidR="00415BFD" w:rsidRPr="00222BE7" w:rsidRDefault="00415BFD" w:rsidP="00FD209C">
            <w:pPr>
              <w:pStyle w:val="Tabletext"/>
              <w:cnfStyle w:val="100000000000" w:firstRow="1" w:lastRow="0" w:firstColumn="0" w:lastColumn="0" w:oddVBand="0" w:evenVBand="0" w:oddHBand="0" w:evenHBand="0" w:firstRowFirstColumn="0" w:firstRowLastColumn="0" w:lastRowFirstColumn="0" w:lastRowLastColumn="0"/>
              <w:rPr>
                <w:rFonts w:cs="Arial"/>
                <w:szCs w:val="18"/>
              </w:rPr>
            </w:pPr>
            <w:r w:rsidRPr="00222BE7">
              <w:rPr>
                <w:rFonts w:cs="Arial"/>
                <w:szCs w:val="18"/>
              </w:rPr>
              <w:t xml:space="preserve">Risk of bias score </w:t>
            </w:r>
            <w:r>
              <w:rPr>
                <w:rFonts w:cs="Arial"/>
                <w:szCs w:val="18"/>
              </w:rPr>
              <w:t xml:space="preserve">  </w:t>
            </w:r>
            <w:r w:rsidRPr="00222BE7">
              <w:rPr>
                <w:rFonts w:cs="Arial"/>
                <w:szCs w:val="18"/>
              </w:rPr>
              <w:t>(</w:t>
            </w:r>
            <w:r>
              <w:rPr>
                <w:rFonts w:cs="Arial"/>
                <w:szCs w:val="18"/>
              </w:rPr>
              <w:t xml:space="preserve"> /</w:t>
            </w:r>
            <w:r w:rsidRPr="00222BE7">
              <w:rPr>
                <w:rFonts w:cs="Arial"/>
                <w:szCs w:val="18"/>
              </w:rPr>
              <w:t>21)</w:t>
            </w:r>
          </w:p>
        </w:tc>
        <w:tc>
          <w:tcPr>
            <w:tcW w:w="795" w:type="dxa"/>
          </w:tcPr>
          <w:p w:rsidR="00415BFD" w:rsidRPr="00222BE7" w:rsidRDefault="00415BFD" w:rsidP="00F56B5B">
            <w:pPr>
              <w:pStyle w:val="Tabletext"/>
              <w:cnfStyle w:val="100000000000" w:firstRow="1" w:lastRow="0" w:firstColumn="0" w:lastColumn="0" w:oddVBand="0" w:evenVBand="0" w:oddHBand="0" w:evenHBand="0" w:firstRowFirstColumn="0" w:firstRowLastColumn="0" w:lastRowFirstColumn="0" w:lastRowLastColumn="0"/>
              <w:rPr>
                <w:rFonts w:cs="Arial"/>
                <w:szCs w:val="18"/>
              </w:rPr>
            </w:pPr>
            <w:r w:rsidRPr="00222BE7">
              <w:rPr>
                <w:rFonts w:cs="Arial"/>
                <w:szCs w:val="18"/>
              </w:rPr>
              <w:t>ITT used?</w:t>
            </w:r>
          </w:p>
        </w:tc>
        <w:tc>
          <w:tcPr>
            <w:tcW w:w="850" w:type="dxa"/>
          </w:tcPr>
          <w:p w:rsidR="00415BFD" w:rsidRPr="00222BE7" w:rsidRDefault="00415BFD" w:rsidP="00222BE7">
            <w:pPr>
              <w:pStyle w:val="Tabletext"/>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Source</w:t>
            </w:r>
          </w:p>
        </w:tc>
      </w:tr>
      <w:tr w:rsidR="00415BFD" w:rsidRPr="00222BE7" w:rsidTr="005A56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4" w:type="dxa"/>
          </w:tcPr>
          <w:p w:rsidR="00415BFD" w:rsidRPr="00222BE7" w:rsidRDefault="00415BFD" w:rsidP="00222BE7">
            <w:pPr>
              <w:pStyle w:val="Tabletext"/>
              <w:rPr>
                <w:rFonts w:cs="Arial"/>
                <w:szCs w:val="18"/>
              </w:rPr>
            </w:pPr>
            <w:r w:rsidRPr="00222BE7">
              <w:rPr>
                <w:rFonts w:cs="Arial"/>
                <w:szCs w:val="18"/>
              </w:rPr>
              <w:t>Bond 2004</w:t>
            </w:r>
          </w:p>
        </w:tc>
        <w:tc>
          <w:tcPr>
            <w:tcW w:w="96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Australia</w:t>
            </w:r>
          </w:p>
        </w:tc>
        <w:tc>
          <w:tcPr>
            <w:tcW w:w="905"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2,678</w:t>
            </w:r>
          </w:p>
        </w:tc>
        <w:tc>
          <w:tcPr>
            <w:tcW w:w="850"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13-14</w:t>
            </w:r>
          </w:p>
        </w:tc>
        <w:tc>
          <w:tcPr>
            <w:tcW w:w="1020"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Yes</w:t>
            </w:r>
          </w:p>
        </w:tc>
        <w:tc>
          <w:tcPr>
            <w:tcW w:w="215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The Gatehouse Project</w:t>
            </w:r>
          </w:p>
        </w:tc>
        <w:tc>
          <w:tcPr>
            <w:tcW w:w="1077"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Teacher</w:t>
            </w:r>
          </w:p>
        </w:tc>
        <w:tc>
          <w:tcPr>
            <w:tcW w:w="907"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NI</w:t>
            </w:r>
          </w:p>
        </w:tc>
        <w:tc>
          <w:tcPr>
            <w:tcW w:w="1134" w:type="dxa"/>
          </w:tcPr>
          <w:p w:rsidR="00415BFD" w:rsidRPr="00222BE7" w:rsidRDefault="00415BFD" w:rsidP="006757FC">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PI</w:t>
            </w:r>
            <w:r w:rsidRPr="00222BE7">
              <w:rPr>
                <w:rFonts w:cs="Arial"/>
                <w:szCs w:val="18"/>
              </w:rPr>
              <w:t xml:space="preserve">; </w:t>
            </w:r>
            <w:r>
              <w:rPr>
                <w:rFonts w:cs="Arial"/>
                <w:szCs w:val="18"/>
              </w:rPr>
              <w:t>1y</w:t>
            </w:r>
            <w:r w:rsidRPr="00222BE7">
              <w:rPr>
                <w:rFonts w:cs="Arial"/>
                <w:szCs w:val="18"/>
              </w:rPr>
              <w:t xml:space="preserve">; </w:t>
            </w:r>
            <w:r>
              <w:rPr>
                <w:rFonts w:cs="Arial"/>
                <w:szCs w:val="18"/>
              </w:rPr>
              <w:t>2y</w:t>
            </w:r>
          </w:p>
        </w:tc>
        <w:tc>
          <w:tcPr>
            <w:tcW w:w="1191"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CIS-R ≥12</w:t>
            </w:r>
          </w:p>
        </w:tc>
        <w:tc>
          <w:tcPr>
            <w:tcW w:w="906"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16</w:t>
            </w:r>
          </w:p>
        </w:tc>
        <w:tc>
          <w:tcPr>
            <w:tcW w:w="795"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Yes</w:t>
            </w:r>
          </w:p>
        </w:tc>
        <w:tc>
          <w:tcPr>
            <w:tcW w:w="850" w:type="dxa"/>
          </w:tcPr>
          <w:p w:rsidR="00415BFD" w:rsidRPr="00222BE7" w:rsidRDefault="00415BFD" w:rsidP="00DE649A">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noProof/>
                <w:szCs w:val="18"/>
              </w:rPr>
              <w:t>[44]</w:t>
            </w:r>
          </w:p>
        </w:tc>
      </w:tr>
      <w:tr w:rsidR="00415BFD" w:rsidRPr="00222BE7" w:rsidTr="005A56E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4" w:type="dxa"/>
          </w:tcPr>
          <w:p w:rsidR="00415BFD" w:rsidRPr="00222BE7" w:rsidRDefault="00415BFD" w:rsidP="00222BE7">
            <w:pPr>
              <w:pStyle w:val="Tabletext"/>
              <w:rPr>
                <w:rFonts w:cs="Arial"/>
                <w:szCs w:val="18"/>
              </w:rPr>
            </w:pPr>
            <w:r w:rsidRPr="00222BE7">
              <w:rPr>
                <w:rFonts w:cs="Arial"/>
                <w:szCs w:val="18"/>
              </w:rPr>
              <w:t>Cardemil  2002a</w:t>
            </w:r>
          </w:p>
        </w:tc>
        <w:tc>
          <w:tcPr>
            <w:tcW w:w="96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USA</w:t>
            </w:r>
          </w:p>
        </w:tc>
        <w:tc>
          <w:tcPr>
            <w:tcW w:w="905"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49</w:t>
            </w:r>
          </w:p>
        </w:tc>
        <w:tc>
          <w:tcPr>
            <w:tcW w:w="850" w:type="dxa"/>
          </w:tcPr>
          <w:p w:rsidR="00415BFD" w:rsidRPr="00222BE7" w:rsidRDefault="00415BFD" w:rsidP="00C45238">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Yr 5-6</w:t>
            </w:r>
          </w:p>
        </w:tc>
        <w:tc>
          <w:tcPr>
            <w:tcW w:w="1020"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Yes</w:t>
            </w:r>
          </w:p>
        </w:tc>
        <w:tc>
          <w:tcPr>
            <w:tcW w:w="215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P</w:t>
            </w:r>
            <w:r>
              <w:rPr>
                <w:rFonts w:cs="Arial"/>
                <w:szCs w:val="18"/>
              </w:rPr>
              <w:t xml:space="preserve">enn </w:t>
            </w:r>
            <w:r w:rsidRPr="00222BE7">
              <w:rPr>
                <w:rFonts w:cs="Arial"/>
                <w:szCs w:val="18"/>
              </w:rPr>
              <w:t>R</w:t>
            </w:r>
            <w:r>
              <w:rPr>
                <w:rFonts w:cs="Arial"/>
                <w:szCs w:val="18"/>
              </w:rPr>
              <w:t xml:space="preserve">esiliency </w:t>
            </w:r>
            <w:r w:rsidRPr="00222BE7">
              <w:rPr>
                <w:rFonts w:cs="Arial"/>
                <w:szCs w:val="18"/>
              </w:rPr>
              <w:t>P</w:t>
            </w:r>
            <w:r>
              <w:rPr>
                <w:rFonts w:cs="Arial"/>
                <w:szCs w:val="18"/>
              </w:rPr>
              <w:t>rogram (PRP)</w:t>
            </w:r>
            <w:r w:rsidRPr="00222BE7">
              <w:rPr>
                <w:rFonts w:cs="Arial"/>
                <w:szCs w:val="18"/>
              </w:rPr>
              <w:t>. Latino sample.</w:t>
            </w:r>
          </w:p>
        </w:tc>
        <w:tc>
          <w:tcPr>
            <w:tcW w:w="1077"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H Prof</w:t>
            </w:r>
          </w:p>
        </w:tc>
        <w:tc>
          <w:tcPr>
            <w:tcW w:w="907"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NI</w:t>
            </w:r>
          </w:p>
        </w:tc>
        <w:tc>
          <w:tcPr>
            <w:tcW w:w="1134" w:type="dxa"/>
          </w:tcPr>
          <w:p w:rsidR="00415BFD" w:rsidRPr="00222BE7" w:rsidRDefault="00415BFD" w:rsidP="006757FC">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PI</w:t>
            </w:r>
            <w:r w:rsidRPr="00222BE7">
              <w:rPr>
                <w:rFonts w:cs="Arial"/>
                <w:szCs w:val="18"/>
              </w:rPr>
              <w:t xml:space="preserve">; </w:t>
            </w:r>
            <w:r>
              <w:rPr>
                <w:rFonts w:cs="Arial"/>
                <w:szCs w:val="18"/>
              </w:rPr>
              <w:t>6m</w:t>
            </w:r>
            <w:r w:rsidRPr="00222BE7">
              <w:rPr>
                <w:rFonts w:cs="Arial"/>
                <w:szCs w:val="18"/>
              </w:rPr>
              <w:t xml:space="preserve">; </w:t>
            </w:r>
            <w:r>
              <w:rPr>
                <w:rFonts w:cs="Arial"/>
                <w:szCs w:val="18"/>
              </w:rPr>
              <w:t>1y</w:t>
            </w:r>
            <w:r w:rsidRPr="00222BE7">
              <w:rPr>
                <w:rFonts w:cs="Arial"/>
                <w:szCs w:val="18"/>
              </w:rPr>
              <w:t xml:space="preserve">; </w:t>
            </w:r>
            <w:r>
              <w:rPr>
                <w:rFonts w:cs="Arial"/>
                <w:szCs w:val="18"/>
              </w:rPr>
              <w:t>2y</w:t>
            </w:r>
          </w:p>
        </w:tc>
        <w:tc>
          <w:tcPr>
            <w:tcW w:w="1191"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CDI ≥20</w:t>
            </w:r>
          </w:p>
        </w:tc>
        <w:tc>
          <w:tcPr>
            <w:tcW w:w="906"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12</w:t>
            </w:r>
          </w:p>
        </w:tc>
        <w:tc>
          <w:tcPr>
            <w:tcW w:w="795"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NR</w:t>
            </w:r>
          </w:p>
        </w:tc>
        <w:tc>
          <w:tcPr>
            <w:tcW w:w="850" w:type="dxa"/>
          </w:tcPr>
          <w:p w:rsidR="00415BFD" w:rsidRPr="00222BE7" w:rsidRDefault="00415BFD" w:rsidP="00DE649A">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Pr>
                <w:rFonts w:cs="Arial"/>
                <w:noProof/>
                <w:szCs w:val="18"/>
              </w:rPr>
              <w:t>[45]</w:t>
            </w:r>
          </w:p>
        </w:tc>
      </w:tr>
      <w:tr w:rsidR="00415BFD" w:rsidRPr="00222BE7" w:rsidTr="005A56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4" w:type="dxa"/>
          </w:tcPr>
          <w:p w:rsidR="00415BFD" w:rsidRPr="00222BE7" w:rsidRDefault="00415BFD" w:rsidP="00222BE7">
            <w:pPr>
              <w:pStyle w:val="Tabletext"/>
              <w:rPr>
                <w:rFonts w:cs="Arial"/>
                <w:szCs w:val="18"/>
              </w:rPr>
            </w:pPr>
            <w:r w:rsidRPr="00222BE7">
              <w:rPr>
                <w:rFonts w:cs="Arial"/>
                <w:szCs w:val="18"/>
              </w:rPr>
              <w:t>Cardemil  2002b</w:t>
            </w:r>
          </w:p>
        </w:tc>
        <w:tc>
          <w:tcPr>
            <w:tcW w:w="96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USA</w:t>
            </w:r>
          </w:p>
        </w:tc>
        <w:tc>
          <w:tcPr>
            <w:tcW w:w="905"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103</w:t>
            </w:r>
          </w:p>
        </w:tc>
        <w:tc>
          <w:tcPr>
            <w:tcW w:w="850" w:type="dxa"/>
          </w:tcPr>
          <w:p w:rsidR="00415BFD" w:rsidRPr="00222BE7" w:rsidRDefault="00415BFD" w:rsidP="00C45238">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Yr 5-6</w:t>
            </w:r>
          </w:p>
        </w:tc>
        <w:tc>
          <w:tcPr>
            <w:tcW w:w="1020"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Yes</w:t>
            </w:r>
          </w:p>
        </w:tc>
        <w:tc>
          <w:tcPr>
            <w:tcW w:w="215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P</w:t>
            </w:r>
            <w:r>
              <w:rPr>
                <w:rFonts w:cs="Arial"/>
                <w:szCs w:val="18"/>
              </w:rPr>
              <w:t xml:space="preserve">enn </w:t>
            </w:r>
            <w:r w:rsidRPr="00222BE7">
              <w:rPr>
                <w:rFonts w:cs="Arial"/>
                <w:szCs w:val="18"/>
              </w:rPr>
              <w:t>R</w:t>
            </w:r>
            <w:r>
              <w:rPr>
                <w:rFonts w:cs="Arial"/>
                <w:szCs w:val="18"/>
              </w:rPr>
              <w:t xml:space="preserve">esiliency </w:t>
            </w:r>
            <w:r w:rsidRPr="00222BE7">
              <w:rPr>
                <w:rFonts w:cs="Arial"/>
                <w:szCs w:val="18"/>
              </w:rPr>
              <w:t>P</w:t>
            </w:r>
            <w:r>
              <w:rPr>
                <w:rFonts w:cs="Arial"/>
                <w:szCs w:val="18"/>
              </w:rPr>
              <w:t>rogram (PRP)</w:t>
            </w:r>
            <w:r w:rsidRPr="00222BE7">
              <w:rPr>
                <w:rFonts w:cs="Arial"/>
                <w:szCs w:val="18"/>
              </w:rPr>
              <w:t>. African American sample.</w:t>
            </w:r>
          </w:p>
        </w:tc>
        <w:tc>
          <w:tcPr>
            <w:tcW w:w="1077"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H Prof</w:t>
            </w:r>
          </w:p>
        </w:tc>
        <w:tc>
          <w:tcPr>
            <w:tcW w:w="907"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NI</w:t>
            </w:r>
          </w:p>
        </w:tc>
        <w:tc>
          <w:tcPr>
            <w:tcW w:w="113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PI</w:t>
            </w:r>
            <w:r w:rsidRPr="00222BE7">
              <w:rPr>
                <w:rFonts w:cs="Arial"/>
                <w:szCs w:val="18"/>
              </w:rPr>
              <w:t xml:space="preserve">; </w:t>
            </w:r>
            <w:r>
              <w:rPr>
                <w:rFonts w:cs="Arial"/>
                <w:szCs w:val="18"/>
              </w:rPr>
              <w:t>6m</w:t>
            </w:r>
            <w:r w:rsidRPr="00222BE7">
              <w:rPr>
                <w:rFonts w:cs="Arial"/>
                <w:szCs w:val="18"/>
              </w:rPr>
              <w:t xml:space="preserve">; </w:t>
            </w:r>
            <w:r>
              <w:rPr>
                <w:rFonts w:cs="Arial"/>
                <w:szCs w:val="18"/>
              </w:rPr>
              <w:t>1y</w:t>
            </w:r>
            <w:r w:rsidRPr="00222BE7">
              <w:rPr>
                <w:rFonts w:cs="Arial"/>
                <w:szCs w:val="18"/>
              </w:rPr>
              <w:t xml:space="preserve">; </w:t>
            </w:r>
            <w:r>
              <w:rPr>
                <w:rFonts w:cs="Arial"/>
                <w:szCs w:val="18"/>
              </w:rPr>
              <w:t>2y</w:t>
            </w:r>
          </w:p>
        </w:tc>
        <w:tc>
          <w:tcPr>
            <w:tcW w:w="1191"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CDI ≥20</w:t>
            </w:r>
          </w:p>
        </w:tc>
        <w:tc>
          <w:tcPr>
            <w:tcW w:w="906"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12</w:t>
            </w:r>
          </w:p>
        </w:tc>
        <w:tc>
          <w:tcPr>
            <w:tcW w:w="795"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NR</w:t>
            </w:r>
          </w:p>
        </w:tc>
        <w:tc>
          <w:tcPr>
            <w:tcW w:w="850" w:type="dxa"/>
          </w:tcPr>
          <w:p w:rsidR="00415BFD" w:rsidRPr="00222BE7" w:rsidRDefault="00415BFD" w:rsidP="00DE649A">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noProof/>
                <w:szCs w:val="18"/>
              </w:rPr>
              <w:t>[45]</w:t>
            </w:r>
          </w:p>
        </w:tc>
      </w:tr>
      <w:tr w:rsidR="00415BFD" w:rsidRPr="00222BE7" w:rsidTr="005A56E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4" w:type="dxa"/>
          </w:tcPr>
          <w:p w:rsidR="00415BFD" w:rsidRPr="00222BE7" w:rsidRDefault="00415BFD" w:rsidP="00222BE7">
            <w:pPr>
              <w:pStyle w:val="Tabletext"/>
              <w:rPr>
                <w:rFonts w:cs="Arial"/>
                <w:szCs w:val="18"/>
              </w:rPr>
            </w:pPr>
            <w:r w:rsidRPr="00222BE7">
              <w:rPr>
                <w:rFonts w:cs="Arial"/>
                <w:szCs w:val="18"/>
              </w:rPr>
              <w:t>Gillham 2012a</w:t>
            </w:r>
          </w:p>
        </w:tc>
        <w:tc>
          <w:tcPr>
            <w:tcW w:w="96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USA</w:t>
            </w:r>
          </w:p>
        </w:tc>
        <w:tc>
          <w:tcPr>
            <w:tcW w:w="905"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408</w:t>
            </w:r>
          </w:p>
        </w:tc>
        <w:tc>
          <w:tcPr>
            <w:tcW w:w="850"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10-15</w:t>
            </w:r>
          </w:p>
        </w:tc>
        <w:tc>
          <w:tcPr>
            <w:tcW w:w="1020"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Yes</w:t>
            </w:r>
          </w:p>
        </w:tc>
        <w:tc>
          <w:tcPr>
            <w:tcW w:w="215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P</w:t>
            </w:r>
            <w:r>
              <w:rPr>
                <w:rFonts w:cs="Arial"/>
                <w:szCs w:val="18"/>
              </w:rPr>
              <w:t xml:space="preserve">enn </w:t>
            </w:r>
            <w:r w:rsidRPr="00222BE7">
              <w:rPr>
                <w:rFonts w:cs="Arial"/>
                <w:szCs w:val="18"/>
              </w:rPr>
              <w:t>R</w:t>
            </w:r>
            <w:r>
              <w:rPr>
                <w:rFonts w:cs="Arial"/>
                <w:szCs w:val="18"/>
              </w:rPr>
              <w:t xml:space="preserve">esiliency </w:t>
            </w:r>
            <w:r w:rsidRPr="00222BE7">
              <w:rPr>
                <w:rFonts w:cs="Arial"/>
                <w:szCs w:val="18"/>
              </w:rPr>
              <w:t>P</w:t>
            </w:r>
            <w:r>
              <w:rPr>
                <w:rFonts w:cs="Arial"/>
                <w:szCs w:val="18"/>
              </w:rPr>
              <w:t>rogram (PRP)</w:t>
            </w:r>
          </w:p>
        </w:tc>
        <w:tc>
          <w:tcPr>
            <w:tcW w:w="1077"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 xml:space="preserve">Teacher + </w:t>
            </w:r>
            <w:r>
              <w:rPr>
                <w:rFonts w:cs="Arial"/>
                <w:szCs w:val="18"/>
              </w:rPr>
              <w:t>H Prof</w:t>
            </w:r>
          </w:p>
        </w:tc>
        <w:tc>
          <w:tcPr>
            <w:tcW w:w="907"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TAU</w:t>
            </w:r>
          </w:p>
        </w:tc>
        <w:tc>
          <w:tcPr>
            <w:tcW w:w="113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6m</w:t>
            </w:r>
          </w:p>
        </w:tc>
        <w:tc>
          <w:tcPr>
            <w:tcW w:w="1191"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DICA-IV</w:t>
            </w:r>
          </w:p>
        </w:tc>
        <w:tc>
          <w:tcPr>
            <w:tcW w:w="906"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16</w:t>
            </w:r>
          </w:p>
        </w:tc>
        <w:tc>
          <w:tcPr>
            <w:tcW w:w="795"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Yes</w:t>
            </w:r>
          </w:p>
        </w:tc>
        <w:tc>
          <w:tcPr>
            <w:tcW w:w="850" w:type="dxa"/>
          </w:tcPr>
          <w:p w:rsidR="00415BFD" w:rsidRPr="00222BE7" w:rsidRDefault="00415BFD" w:rsidP="00DE649A">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Pr>
                <w:rFonts w:cs="Arial"/>
                <w:noProof/>
                <w:szCs w:val="18"/>
              </w:rPr>
              <w:t>[46]</w:t>
            </w:r>
          </w:p>
        </w:tc>
      </w:tr>
      <w:tr w:rsidR="00415BFD" w:rsidRPr="00222BE7" w:rsidTr="005A56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4" w:type="dxa"/>
          </w:tcPr>
          <w:p w:rsidR="00415BFD" w:rsidRPr="00222BE7" w:rsidRDefault="00415BFD" w:rsidP="00222BE7">
            <w:pPr>
              <w:pStyle w:val="Tabletext"/>
              <w:rPr>
                <w:rFonts w:cs="Arial"/>
                <w:szCs w:val="18"/>
              </w:rPr>
            </w:pPr>
            <w:r w:rsidRPr="00222BE7">
              <w:rPr>
                <w:rFonts w:cs="Arial"/>
                <w:szCs w:val="18"/>
              </w:rPr>
              <w:t>Gillham 2012b</w:t>
            </w:r>
          </w:p>
        </w:tc>
        <w:tc>
          <w:tcPr>
            <w:tcW w:w="96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USA</w:t>
            </w:r>
          </w:p>
        </w:tc>
        <w:tc>
          <w:tcPr>
            <w:tcW w:w="905"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408</w:t>
            </w:r>
          </w:p>
        </w:tc>
        <w:tc>
          <w:tcPr>
            <w:tcW w:w="850"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10-15</w:t>
            </w:r>
          </w:p>
        </w:tc>
        <w:tc>
          <w:tcPr>
            <w:tcW w:w="1020"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Yes</w:t>
            </w:r>
          </w:p>
        </w:tc>
        <w:tc>
          <w:tcPr>
            <w:tcW w:w="215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P</w:t>
            </w:r>
            <w:r>
              <w:rPr>
                <w:rFonts w:cs="Arial"/>
                <w:szCs w:val="18"/>
              </w:rPr>
              <w:t xml:space="preserve">enn </w:t>
            </w:r>
            <w:r w:rsidRPr="00222BE7">
              <w:rPr>
                <w:rFonts w:cs="Arial"/>
                <w:szCs w:val="18"/>
              </w:rPr>
              <w:t>R</w:t>
            </w:r>
            <w:r>
              <w:rPr>
                <w:rFonts w:cs="Arial"/>
                <w:szCs w:val="18"/>
              </w:rPr>
              <w:t xml:space="preserve">esiliency </w:t>
            </w:r>
            <w:r w:rsidRPr="00222BE7">
              <w:rPr>
                <w:rFonts w:cs="Arial"/>
                <w:szCs w:val="18"/>
              </w:rPr>
              <w:t>P</w:t>
            </w:r>
            <w:r>
              <w:rPr>
                <w:rFonts w:cs="Arial"/>
                <w:szCs w:val="18"/>
              </w:rPr>
              <w:t>rogram (PRP)</w:t>
            </w:r>
            <w:r w:rsidRPr="00222BE7">
              <w:rPr>
                <w:rFonts w:cs="Arial"/>
                <w:szCs w:val="18"/>
              </w:rPr>
              <w:t>.</w:t>
            </w:r>
          </w:p>
        </w:tc>
        <w:tc>
          <w:tcPr>
            <w:tcW w:w="1077"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 xml:space="preserve">Teacher + </w:t>
            </w:r>
            <w:r>
              <w:rPr>
                <w:rFonts w:cs="Arial"/>
                <w:szCs w:val="18"/>
              </w:rPr>
              <w:t>H Prof</w:t>
            </w:r>
          </w:p>
        </w:tc>
        <w:tc>
          <w:tcPr>
            <w:tcW w:w="907"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TAU</w:t>
            </w:r>
          </w:p>
        </w:tc>
        <w:tc>
          <w:tcPr>
            <w:tcW w:w="113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6m</w:t>
            </w:r>
          </w:p>
        </w:tc>
        <w:tc>
          <w:tcPr>
            <w:tcW w:w="1191"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DICA-IV</w:t>
            </w:r>
          </w:p>
        </w:tc>
        <w:tc>
          <w:tcPr>
            <w:tcW w:w="906"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16</w:t>
            </w:r>
          </w:p>
        </w:tc>
        <w:tc>
          <w:tcPr>
            <w:tcW w:w="795"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Yes</w:t>
            </w:r>
          </w:p>
        </w:tc>
        <w:tc>
          <w:tcPr>
            <w:tcW w:w="850" w:type="dxa"/>
          </w:tcPr>
          <w:p w:rsidR="00415BFD" w:rsidRPr="00222BE7" w:rsidRDefault="00415BFD" w:rsidP="00DE649A">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noProof/>
                <w:szCs w:val="18"/>
              </w:rPr>
              <w:t>[46]</w:t>
            </w:r>
          </w:p>
        </w:tc>
      </w:tr>
      <w:tr w:rsidR="00415BFD" w:rsidRPr="00222BE7" w:rsidTr="005A56E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4" w:type="dxa"/>
          </w:tcPr>
          <w:p w:rsidR="00415BFD" w:rsidRPr="00222BE7" w:rsidRDefault="00415BFD" w:rsidP="00222BE7">
            <w:pPr>
              <w:pStyle w:val="Tabletext"/>
              <w:rPr>
                <w:rFonts w:cs="Arial"/>
                <w:szCs w:val="18"/>
              </w:rPr>
            </w:pPr>
            <w:r w:rsidRPr="00222BE7">
              <w:rPr>
                <w:rFonts w:cs="Arial"/>
                <w:szCs w:val="18"/>
              </w:rPr>
              <w:t>Lowry-Webster 2001</w:t>
            </w:r>
          </w:p>
        </w:tc>
        <w:tc>
          <w:tcPr>
            <w:tcW w:w="96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Australia</w:t>
            </w:r>
          </w:p>
        </w:tc>
        <w:tc>
          <w:tcPr>
            <w:tcW w:w="905"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594</w:t>
            </w:r>
          </w:p>
        </w:tc>
        <w:tc>
          <w:tcPr>
            <w:tcW w:w="850"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10-13</w:t>
            </w:r>
          </w:p>
        </w:tc>
        <w:tc>
          <w:tcPr>
            <w:tcW w:w="1020"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Yes</w:t>
            </w:r>
          </w:p>
        </w:tc>
        <w:tc>
          <w:tcPr>
            <w:tcW w:w="215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FRIENDS for children</w:t>
            </w:r>
          </w:p>
        </w:tc>
        <w:tc>
          <w:tcPr>
            <w:tcW w:w="1077"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Teacher</w:t>
            </w:r>
          </w:p>
        </w:tc>
        <w:tc>
          <w:tcPr>
            <w:tcW w:w="907"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WC</w:t>
            </w:r>
          </w:p>
        </w:tc>
        <w:tc>
          <w:tcPr>
            <w:tcW w:w="113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1y</w:t>
            </w:r>
          </w:p>
        </w:tc>
        <w:tc>
          <w:tcPr>
            <w:tcW w:w="1191"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ADIS-C</w:t>
            </w:r>
          </w:p>
        </w:tc>
        <w:tc>
          <w:tcPr>
            <w:tcW w:w="906"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13</w:t>
            </w:r>
          </w:p>
        </w:tc>
        <w:tc>
          <w:tcPr>
            <w:tcW w:w="795"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No</w:t>
            </w:r>
          </w:p>
        </w:tc>
        <w:tc>
          <w:tcPr>
            <w:tcW w:w="850" w:type="dxa"/>
          </w:tcPr>
          <w:p w:rsidR="00415BFD" w:rsidRPr="00222BE7" w:rsidRDefault="00415BFD" w:rsidP="00DE649A">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Pr>
                <w:rFonts w:cs="Arial"/>
                <w:noProof/>
                <w:szCs w:val="18"/>
              </w:rPr>
              <w:t>[47]</w:t>
            </w:r>
          </w:p>
        </w:tc>
      </w:tr>
      <w:tr w:rsidR="00415BFD" w:rsidRPr="00222BE7" w:rsidTr="005A56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4" w:type="dxa"/>
          </w:tcPr>
          <w:p w:rsidR="00415BFD" w:rsidRPr="00222BE7" w:rsidRDefault="00415BFD" w:rsidP="00222BE7">
            <w:pPr>
              <w:pStyle w:val="Tabletext"/>
              <w:rPr>
                <w:rFonts w:cs="Arial"/>
                <w:szCs w:val="18"/>
              </w:rPr>
            </w:pPr>
            <w:r w:rsidRPr="00222BE7">
              <w:rPr>
                <w:rFonts w:cs="Arial"/>
                <w:szCs w:val="18"/>
              </w:rPr>
              <w:t>Quayle 2001</w:t>
            </w:r>
          </w:p>
        </w:tc>
        <w:tc>
          <w:tcPr>
            <w:tcW w:w="96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Australia</w:t>
            </w:r>
          </w:p>
        </w:tc>
        <w:tc>
          <w:tcPr>
            <w:tcW w:w="905"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47</w:t>
            </w:r>
          </w:p>
        </w:tc>
        <w:tc>
          <w:tcPr>
            <w:tcW w:w="850"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11-12</w:t>
            </w:r>
          </w:p>
        </w:tc>
        <w:tc>
          <w:tcPr>
            <w:tcW w:w="1020"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Yes</w:t>
            </w:r>
          </w:p>
        </w:tc>
        <w:tc>
          <w:tcPr>
            <w:tcW w:w="215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The Optimism Program adapted from the Penn Prevention Program</w:t>
            </w:r>
          </w:p>
        </w:tc>
        <w:tc>
          <w:tcPr>
            <w:tcW w:w="1077"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H Prof</w:t>
            </w:r>
          </w:p>
        </w:tc>
        <w:tc>
          <w:tcPr>
            <w:tcW w:w="907"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WC + TAU</w:t>
            </w:r>
          </w:p>
        </w:tc>
        <w:tc>
          <w:tcPr>
            <w:tcW w:w="113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6m</w:t>
            </w:r>
          </w:p>
        </w:tc>
        <w:tc>
          <w:tcPr>
            <w:tcW w:w="1191"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CDI &gt;13</w:t>
            </w:r>
          </w:p>
        </w:tc>
        <w:tc>
          <w:tcPr>
            <w:tcW w:w="906"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14</w:t>
            </w:r>
          </w:p>
        </w:tc>
        <w:tc>
          <w:tcPr>
            <w:tcW w:w="795"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NR</w:t>
            </w:r>
          </w:p>
        </w:tc>
        <w:tc>
          <w:tcPr>
            <w:tcW w:w="850" w:type="dxa"/>
          </w:tcPr>
          <w:p w:rsidR="00415BFD" w:rsidRPr="00222BE7" w:rsidRDefault="00415BFD" w:rsidP="00DE649A">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noProof/>
                <w:szCs w:val="18"/>
              </w:rPr>
              <w:t>[48]</w:t>
            </w:r>
          </w:p>
        </w:tc>
      </w:tr>
      <w:tr w:rsidR="00415BFD" w:rsidRPr="00222BE7" w:rsidTr="005A56E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4" w:type="dxa"/>
          </w:tcPr>
          <w:p w:rsidR="00415BFD" w:rsidRPr="00222BE7" w:rsidRDefault="00415BFD" w:rsidP="00222BE7">
            <w:pPr>
              <w:pStyle w:val="Tabletext"/>
              <w:rPr>
                <w:rFonts w:cs="Arial"/>
                <w:szCs w:val="18"/>
              </w:rPr>
            </w:pPr>
            <w:r w:rsidRPr="00222BE7">
              <w:rPr>
                <w:rFonts w:cs="Arial"/>
                <w:szCs w:val="18"/>
              </w:rPr>
              <w:t>Rivet 2005</w:t>
            </w:r>
          </w:p>
        </w:tc>
        <w:tc>
          <w:tcPr>
            <w:tcW w:w="96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Mauritius</w:t>
            </w:r>
          </w:p>
        </w:tc>
        <w:tc>
          <w:tcPr>
            <w:tcW w:w="905"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160</w:t>
            </w:r>
          </w:p>
        </w:tc>
        <w:tc>
          <w:tcPr>
            <w:tcW w:w="850"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12-16</w:t>
            </w:r>
          </w:p>
        </w:tc>
        <w:tc>
          <w:tcPr>
            <w:tcW w:w="1020"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Yes</w:t>
            </w:r>
          </w:p>
        </w:tc>
        <w:tc>
          <w:tcPr>
            <w:tcW w:w="215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Resourceful Adolescent Program (RAP-A).</w:t>
            </w:r>
          </w:p>
        </w:tc>
        <w:tc>
          <w:tcPr>
            <w:tcW w:w="1077"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Teacher</w:t>
            </w:r>
          </w:p>
        </w:tc>
        <w:tc>
          <w:tcPr>
            <w:tcW w:w="907"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TAU</w:t>
            </w:r>
          </w:p>
        </w:tc>
        <w:tc>
          <w:tcPr>
            <w:tcW w:w="113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PI</w:t>
            </w:r>
            <w:r w:rsidRPr="00222BE7">
              <w:rPr>
                <w:rFonts w:cs="Arial"/>
                <w:szCs w:val="18"/>
              </w:rPr>
              <w:t xml:space="preserve">; </w:t>
            </w:r>
            <w:r>
              <w:rPr>
                <w:rFonts w:cs="Arial"/>
                <w:szCs w:val="18"/>
              </w:rPr>
              <w:t>6m</w:t>
            </w:r>
          </w:p>
        </w:tc>
        <w:tc>
          <w:tcPr>
            <w:tcW w:w="1191"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NR</w:t>
            </w:r>
          </w:p>
        </w:tc>
        <w:tc>
          <w:tcPr>
            <w:tcW w:w="906"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13</w:t>
            </w:r>
          </w:p>
        </w:tc>
        <w:tc>
          <w:tcPr>
            <w:tcW w:w="795"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NR</w:t>
            </w:r>
          </w:p>
        </w:tc>
        <w:tc>
          <w:tcPr>
            <w:tcW w:w="850" w:type="dxa"/>
          </w:tcPr>
          <w:p w:rsidR="00415BFD" w:rsidRPr="00222BE7" w:rsidRDefault="00415BFD" w:rsidP="00DE649A">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Pr>
                <w:rFonts w:cs="Arial"/>
                <w:noProof/>
                <w:szCs w:val="18"/>
              </w:rPr>
              <w:t>[49]</w:t>
            </w:r>
          </w:p>
        </w:tc>
      </w:tr>
      <w:tr w:rsidR="00415BFD" w:rsidRPr="00222BE7" w:rsidTr="005A56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4" w:type="dxa"/>
          </w:tcPr>
          <w:p w:rsidR="00415BFD" w:rsidRPr="00222BE7" w:rsidRDefault="00415BFD" w:rsidP="00222BE7">
            <w:pPr>
              <w:pStyle w:val="Tabletext"/>
              <w:rPr>
                <w:rFonts w:cs="Arial"/>
                <w:szCs w:val="18"/>
              </w:rPr>
            </w:pPr>
            <w:r w:rsidRPr="00222BE7">
              <w:rPr>
                <w:rFonts w:cs="Arial"/>
                <w:szCs w:val="18"/>
              </w:rPr>
              <w:lastRenderedPageBreak/>
              <w:t>Rooney 2006</w:t>
            </w:r>
          </w:p>
        </w:tc>
        <w:tc>
          <w:tcPr>
            <w:tcW w:w="96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Australia</w:t>
            </w:r>
          </w:p>
        </w:tc>
        <w:tc>
          <w:tcPr>
            <w:tcW w:w="905"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136</w:t>
            </w:r>
          </w:p>
        </w:tc>
        <w:tc>
          <w:tcPr>
            <w:tcW w:w="850"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8-9</w:t>
            </w:r>
          </w:p>
        </w:tc>
        <w:tc>
          <w:tcPr>
            <w:tcW w:w="1020"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Yes</w:t>
            </w:r>
          </w:p>
        </w:tc>
        <w:tc>
          <w:tcPr>
            <w:tcW w:w="215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 xml:space="preserve">Positive Thinking Program (PTP). </w:t>
            </w:r>
          </w:p>
        </w:tc>
        <w:tc>
          <w:tcPr>
            <w:tcW w:w="1077"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H Prof</w:t>
            </w:r>
          </w:p>
        </w:tc>
        <w:tc>
          <w:tcPr>
            <w:tcW w:w="907"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TAU</w:t>
            </w:r>
          </w:p>
        </w:tc>
        <w:tc>
          <w:tcPr>
            <w:tcW w:w="113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PI</w:t>
            </w:r>
            <w:r w:rsidRPr="00222BE7">
              <w:rPr>
                <w:rFonts w:cs="Arial"/>
                <w:szCs w:val="18"/>
              </w:rPr>
              <w:t xml:space="preserve">; </w:t>
            </w:r>
            <w:r>
              <w:rPr>
                <w:rFonts w:cs="Arial"/>
                <w:szCs w:val="18"/>
              </w:rPr>
              <w:t>6m</w:t>
            </w:r>
            <w:r w:rsidRPr="00222BE7">
              <w:rPr>
                <w:rFonts w:cs="Arial"/>
                <w:szCs w:val="18"/>
              </w:rPr>
              <w:t xml:space="preserve">; </w:t>
            </w:r>
            <w:r>
              <w:rPr>
                <w:rFonts w:cs="Arial"/>
                <w:szCs w:val="18"/>
              </w:rPr>
              <w:t>2y</w:t>
            </w:r>
          </w:p>
        </w:tc>
        <w:tc>
          <w:tcPr>
            <w:tcW w:w="1191"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DICA-IV</w:t>
            </w:r>
          </w:p>
        </w:tc>
        <w:tc>
          <w:tcPr>
            <w:tcW w:w="906"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12</w:t>
            </w:r>
          </w:p>
        </w:tc>
        <w:tc>
          <w:tcPr>
            <w:tcW w:w="795"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No</w:t>
            </w:r>
          </w:p>
        </w:tc>
        <w:tc>
          <w:tcPr>
            <w:tcW w:w="850" w:type="dxa"/>
          </w:tcPr>
          <w:p w:rsidR="00415BFD" w:rsidRPr="00222BE7" w:rsidRDefault="00415BFD" w:rsidP="00DE649A">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noProof/>
                <w:szCs w:val="18"/>
              </w:rPr>
              <w:t>[50]</w:t>
            </w:r>
          </w:p>
        </w:tc>
      </w:tr>
      <w:tr w:rsidR="00415BFD" w:rsidRPr="00222BE7" w:rsidTr="005A56E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4" w:type="dxa"/>
          </w:tcPr>
          <w:p w:rsidR="00415BFD" w:rsidRPr="00222BE7" w:rsidRDefault="00415BFD" w:rsidP="00222BE7">
            <w:pPr>
              <w:pStyle w:val="Tabletext"/>
              <w:rPr>
                <w:rFonts w:cs="Arial"/>
                <w:szCs w:val="18"/>
              </w:rPr>
            </w:pPr>
            <w:r w:rsidRPr="00222BE7">
              <w:rPr>
                <w:rFonts w:cs="Arial"/>
                <w:szCs w:val="18"/>
              </w:rPr>
              <w:t>Rooney 2013</w:t>
            </w:r>
          </w:p>
        </w:tc>
        <w:tc>
          <w:tcPr>
            <w:tcW w:w="96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Australia</w:t>
            </w:r>
          </w:p>
        </w:tc>
        <w:tc>
          <w:tcPr>
            <w:tcW w:w="905"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910</w:t>
            </w:r>
          </w:p>
        </w:tc>
        <w:tc>
          <w:tcPr>
            <w:tcW w:w="850"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8-10</w:t>
            </w:r>
          </w:p>
        </w:tc>
        <w:tc>
          <w:tcPr>
            <w:tcW w:w="1020"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Yes</w:t>
            </w:r>
          </w:p>
        </w:tc>
        <w:tc>
          <w:tcPr>
            <w:tcW w:w="215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The Aussie Optimism: Positive Thinking Skills Program (AOP: PTS).</w:t>
            </w:r>
          </w:p>
        </w:tc>
        <w:tc>
          <w:tcPr>
            <w:tcW w:w="1077"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Teacher</w:t>
            </w:r>
          </w:p>
        </w:tc>
        <w:tc>
          <w:tcPr>
            <w:tcW w:w="907"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TAU</w:t>
            </w:r>
          </w:p>
        </w:tc>
        <w:tc>
          <w:tcPr>
            <w:tcW w:w="113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PI</w:t>
            </w:r>
            <w:r w:rsidRPr="00222BE7">
              <w:rPr>
                <w:rFonts w:cs="Arial"/>
                <w:szCs w:val="18"/>
              </w:rPr>
              <w:t xml:space="preserve">; </w:t>
            </w:r>
            <w:r>
              <w:rPr>
                <w:rFonts w:cs="Arial"/>
                <w:szCs w:val="18"/>
              </w:rPr>
              <w:t>6m</w:t>
            </w:r>
            <w:r w:rsidRPr="00222BE7">
              <w:rPr>
                <w:rFonts w:cs="Arial"/>
                <w:szCs w:val="18"/>
              </w:rPr>
              <w:t xml:space="preserve">; </w:t>
            </w:r>
            <w:r>
              <w:rPr>
                <w:rFonts w:cs="Arial"/>
                <w:szCs w:val="18"/>
              </w:rPr>
              <w:t>2y</w:t>
            </w:r>
          </w:p>
        </w:tc>
        <w:tc>
          <w:tcPr>
            <w:tcW w:w="1191"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DICA-IV</w:t>
            </w:r>
          </w:p>
        </w:tc>
        <w:tc>
          <w:tcPr>
            <w:tcW w:w="906"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15</w:t>
            </w:r>
          </w:p>
        </w:tc>
        <w:tc>
          <w:tcPr>
            <w:tcW w:w="795"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NR</w:t>
            </w:r>
          </w:p>
        </w:tc>
        <w:tc>
          <w:tcPr>
            <w:tcW w:w="850" w:type="dxa"/>
          </w:tcPr>
          <w:p w:rsidR="00415BFD" w:rsidRPr="00222BE7" w:rsidRDefault="00415BFD" w:rsidP="00DE649A">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Pr>
                <w:rFonts w:cs="Arial"/>
                <w:noProof/>
                <w:szCs w:val="18"/>
              </w:rPr>
              <w:t>[51]</w:t>
            </w:r>
          </w:p>
        </w:tc>
      </w:tr>
      <w:tr w:rsidR="00415BFD" w:rsidRPr="00222BE7" w:rsidTr="005A56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4" w:type="dxa"/>
          </w:tcPr>
          <w:p w:rsidR="00415BFD" w:rsidRPr="00222BE7" w:rsidRDefault="00415BFD" w:rsidP="00222BE7">
            <w:pPr>
              <w:pStyle w:val="Tabletext"/>
              <w:rPr>
                <w:rFonts w:cs="Arial"/>
                <w:szCs w:val="18"/>
              </w:rPr>
            </w:pPr>
            <w:r w:rsidRPr="00222BE7">
              <w:rPr>
                <w:rFonts w:cs="Arial"/>
                <w:szCs w:val="18"/>
              </w:rPr>
              <w:t>Shatte 1997a</w:t>
            </w:r>
          </w:p>
        </w:tc>
        <w:tc>
          <w:tcPr>
            <w:tcW w:w="96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USA</w:t>
            </w:r>
          </w:p>
        </w:tc>
        <w:tc>
          <w:tcPr>
            <w:tcW w:w="905"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102</w:t>
            </w:r>
          </w:p>
        </w:tc>
        <w:tc>
          <w:tcPr>
            <w:tcW w:w="850"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12-14</w:t>
            </w:r>
          </w:p>
        </w:tc>
        <w:tc>
          <w:tcPr>
            <w:tcW w:w="1020"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Yes</w:t>
            </w:r>
          </w:p>
        </w:tc>
        <w:tc>
          <w:tcPr>
            <w:tcW w:w="215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 xml:space="preserve">Penn Optimism Program (POP). </w:t>
            </w:r>
          </w:p>
        </w:tc>
        <w:tc>
          <w:tcPr>
            <w:tcW w:w="1077"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H Prof</w:t>
            </w:r>
          </w:p>
        </w:tc>
        <w:tc>
          <w:tcPr>
            <w:tcW w:w="907"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NI</w:t>
            </w:r>
          </w:p>
        </w:tc>
        <w:tc>
          <w:tcPr>
            <w:tcW w:w="113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PI</w:t>
            </w:r>
            <w:r w:rsidRPr="00222BE7">
              <w:rPr>
                <w:rFonts w:cs="Arial"/>
                <w:szCs w:val="18"/>
              </w:rPr>
              <w:t xml:space="preserve">; </w:t>
            </w:r>
            <w:r>
              <w:rPr>
                <w:rFonts w:cs="Arial"/>
                <w:szCs w:val="18"/>
              </w:rPr>
              <w:t>6m</w:t>
            </w:r>
            <w:r w:rsidRPr="00222BE7">
              <w:rPr>
                <w:rFonts w:cs="Arial"/>
                <w:szCs w:val="18"/>
              </w:rPr>
              <w:t xml:space="preserve">; </w:t>
            </w:r>
            <w:r>
              <w:rPr>
                <w:rFonts w:cs="Arial"/>
                <w:szCs w:val="18"/>
              </w:rPr>
              <w:t>1y</w:t>
            </w:r>
          </w:p>
        </w:tc>
        <w:tc>
          <w:tcPr>
            <w:tcW w:w="1191"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CDI &gt;12</w:t>
            </w:r>
          </w:p>
        </w:tc>
        <w:tc>
          <w:tcPr>
            <w:tcW w:w="906"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14</w:t>
            </w:r>
          </w:p>
        </w:tc>
        <w:tc>
          <w:tcPr>
            <w:tcW w:w="795"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Yes</w:t>
            </w:r>
          </w:p>
        </w:tc>
        <w:tc>
          <w:tcPr>
            <w:tcW w:w="850" w:type="dxa"/>
          </w:tcPr>
          <w:p w:rsidR="00415BFD" w:rsidRPr="00222BE7" w:rsidRDefault="00415BFD" w:rsidP="00DE649A">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noProof/>
                <w:szCs w:val="18"/>
              </w:rPr>
              <w:t>[52]</w:t>
            </w:r>
          </w:p>
        </w:tc>
      </w:tr>
      <w:tr w:rsidR="00415BFD" w:rsidRPr="00222BE7" w:rsidTr="005A56E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4" w:type="dxa"/>
          </w:tcPr>
          <w:p w:rsidR="00415BFD" w:rsidRPr="00222BE7" w:rsidRDefault="00415BFD" w:rsidP="00222BE7">
            <w:pPr>
              <w:pStyle w:val="Tabletext"/>
              <w:rPr>
                <w:rFonts w:cs="Arial"/>
                <w:szCs w:val="18"/>
              </w:rPr>
            </w:pPr>
            <w:r w:rsidRPr="00222BE7">
              <w:rPr>
                <w:rFonts w:cs="Arial"/>
                <w:szCs w:val="18"/>
              </w:rPr>
              <w:t>Shatte 1997b</w:t>
            </w:r>
          </w:p>
        </w:tc>
        <w:tc>
          <w:tcPr>
            <w:tcW w:w="96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USA</w:t>
            </w:r>
          </w:p>
        </w:tc>
        <w:tc>
          <w:tcPr>
            <w:tcW w:w="905"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97</w:t>
            </w:r>
          </w:p>
        </w:tc>
        <w:tc>
          <w:tcPr>
            <w:tcW w:w="850"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12-14</w:t>
            </w:r>
          </w:p>
        </w:tc>
        <w:tc>
          <w:tcPr>
            <w:tcW w:w="1020"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Yes</w:t>
            </w:r>
          </w:p>
        </w:tc>
        <w:tc>
          <w:tcPr>
            <w:tcW w:w="215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Penn Enhancement Program (PEP)</w:t>
            </w:r>
          </w:p>
        </w:tc>
        <w:tc>
          <w:tcPr>
            <w:tcW w:w="1077"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H Prof</w:t>
            </w:r>
          </w:p>
        </w:tc>
        <w:tc>
          <w:tcPr>
            <w:tcW w:w="907"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NI</w:t>
            </w:r>
          </w:p>
        </w:tc>
        <w:tc>
          <w:tcPr>
            <w:tcW w:w="113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PI</w:t>
            </w:r>
            <w:r w:rsidRPr="00222BE7">
              <w:rPr>
                <w:rFonts w:cs="Arial"/>
                <w:szCs w:val="18"/>
              </w:rPr>
              <w:t xml:space="preserve">; </w:t>
            </w:r>
            <w:r>
              <w:rPr>
                <w:rFonts w:cs="Arial"/>
                <w:szCs w:val="18"/>
              </w:rPr>
              <w:t>6m</w:t>
            </w:r>
            <w:r w:rsidRPr="00222BE7">
              <w:rPr>
                <w:rFonts w:cs="Arial"/>
                <w:szCs w:val="18"/>
              </w:rPr>
              <w:t xml:space="preserve">; </w:t>
            </w:r>
            <w:r>
              <w:rPr>
                <w:rFonts w:cs="Arial"/>
                <w:szCs w:val="18"/>
              </w:rPr>
              <w:t>1y</w:t>
            </w:r>
          </w:p>
        </w:tc>
        <w:tc>
          <w:tcPr>
            <w:tcW w:w="1191"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CDI &gt;12</w:t>
            </w:r>
          </w:p>
        </w:tc>
        <w:tc>
          <w:tcPr>
            <w:tcW w:w="906"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14</w:t>
            </w:r>
          </w:p>
        </w:tc>
        <w:tc>
          <w:tcPr>
            <w:tcW w:w="795"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Yes</w:t>
            </w:r>
          </w:p>
        </w:tc>
        <w:tc>
          <w:tcPr>
            <w:tcW w:w="850" w:type="dxa"/>
          </w:tcPr>
          <w:p w:rsidR="00415BFD" w:rsidRPr="00222BE7" w:rsidRDefault="00415BFD" w:rsidP="00DE649A">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Pr>
                <w:rFonts w:cs="Arial"/>
                <w:noProof/>
                <w:szCs w:val="18"/>
              </w:rPr>
              <w:t>[52]</w:t>
            </w:r>
          </w:p>
        </w:tc>
      </w:tr>
      <w:tr w:rsidR="00415BFD" w:rsidRPr="00222BE7" w:rsidTr="005A56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4" w:type="dxa"/>
          </w:tcPr>
          <w:p w:rsidR="00415BFD" w:rsidRPr="00222BE7" w:rsidRDefault="00415BFD" w:rsidP="00222BE7">
            <w:pPr>
              <w:pStyle w:val="Tabletext"/>
              <w:rPr>
                <w:rFonts w:cs="Arial"/>
                <w:szCs w:val="18"/>
              </w:rPr>
            </w:pPr>
            <w:r w:rsidRPr="00222BE7">
              <w:rPr>
                <w:rFonts w:cs="Arial"/>
                <w:szCs w:val="18"/>
              </w:rPr>
              <w:t>Lock 2003</w:t>
            </w:r>
          </w:p>
        </w:tc>
        <w:tc>
          <w:tcPr>
            <w:tcW w:w="96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Australia</w:t>
            </w:r>
          </w:p>
        </w:tc>
        <w:tc>
          <w:tcPr>
            <w:tcW w:w="905"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977</w:t>
            </w:r>
          </w:p>
        </w:tc>
        <w:tc>
          <w:tcPr>
            <w:tcW w:w="850"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9-16</w:t>
            </w:r>
          </w:p>
        </w:tc>
        <w:tc>
          <w:tcPr>
            <w:tcW w:w="1020" w:type="dxa"/>
          </w:tcPr>
          <w:p w:rsidR="00415BFD" w:rsidRPr="00222BE7" w:rsidRDefault="00415BFD" w:rsidP="00E47A4A">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No</w:t>
            </w:r>
            <w:r>
              <w:rPr>
                <w:rFonts w:cs="Arial"/>
                <w:szCs w:val="18"/>
              </w:rPr>
              <w:t xml:space="preserve"> </w:t>
            </w:r>
            <w:r>
              <w:rPr>
                <w:rFonts w:cs="Arial"/>
                <w:szCs w:val="18"/>
                <w:vertAlign w:val="superscript"/>
              </w:rPr>
              <w:t>b</w:t>
            </w:r>
          </w:p>
        </w:tc>
        <w:tc>
          <w:tcPr>
            <w:tcW w:w="215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FRIENDS</w:t>
            </w:r>
          </w:p>
        </w:tc>
        <w:tc>
          <w:tcPr>
            <w:tcW w:w="1077"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Teacher</w:t>
            </w:r>
          </w:p>
        </w:tc>
        <w:tc>
          <w:tcPr>
            <w:tcW w:w="907"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MC</w:t>
            </w:r>
          </w:p>
        </w:tc>
        <w:tc>
          <w:tcPr>
            <w:tcW w:w="113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PI</w:t>
            </w:r>
            <w:r w:rsidRPr="00222BE7">
              <w:rPr>
                <w:rFonts w:cs="Arial"/>
                <w:szCs w:val="18"/>
              </w:rPr>
              <w:t xml:space="preserve">; </w:t>
            </w:r>
            <w:r>
              <w:rPr>
                <w:rFonts w:cs="Arial"/>
                <w:szCs w:val="18"/>
              </w:rPr>
              <w:t>1y</w:t>
            </w:r>
          </w:p>
        </w:tc>
        <w:tc>
          <w:tcPr>
            <w:tcW w:w="1191"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ADIS-C-IV</w:t>
            </w:r>
          </w:p>
        </w:tc>
        <w:tc>
          <w:tcPr>
            <w:tcW w:w="906"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13</w:t>
            </w:r>
          </w:p>
        </w:tc>
        <w:tc>
          <w:tcPr>
            <w:tcW w:w="795"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NR</w:t>
            </w:r>
          </w:p>
        </w:tc>
        <w:tc>
          <w:tcPr>
            <w:tcW w:w="850" w:type="dxa"/>
          </w:tcPr>
          <w:p w:rsidR="00415BFD" w:rsidRPr="00222BE7" w:rsidRDefault="00415BFD" w:rsidP="00DE649A">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noProof/>
                <w:szCs w:val="18"/>
              </w:rPr>
              <w:t>[29]</w:t>
            </w:r>
          </w:p>
        </w:tc>
      </w:tr>
      <w:tr w:rsidR="00415BFD" w:rsidRPr="00222BE7" w:rsidTr="005A56E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4" w:type="dxa"/>
          </w:tcPr>
          <w:p w:rsidR="00415BFD" w:rsidRPr="00222BE7" w:rsidRDefault="00415BFD" w:rsidP="00222BE7">
            <w:pPr>
              <w:pStyle w:val="Tabletext"/>
              <w:rPr>
                <w:rFonts w:cs="Arial"/>
                <w:szCs w:val="18"/>
              </w:rPr>
            </w:pPr>
            <w:r w:rsidRPr="00222BE7">
              <w:rPr>
                <w:rFonts w:cs="Arial"/>
                <w:szCs w:val="18"/>
              </w:rPr>
              <w:t>Stallard 2012a</w:t>
            </w:r>
          </w:p>
        </w:tc>
        <w:tc>
          <w:tcPr>
            <w:tcW w:w="96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UK</w:t>
            </w:r>
          </w:p>
        </w:tc>
        <w:tc>
          <w:tcPr>
            <w:tcW w:w="905"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1,064</w:t>
            </w:r>
          </w:p>
        </w:tc>
        <w:tc>
          <w:tcPr>
            <w:tcW w:w="850"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Yr 8-11</w:t>
            </w:r>
          </w:p>
        </w:tc>
        <w:tc>
          <w:tcPr>
            <w:tcW w:w="1020" w:type="dxa"/>
          </w:tcPr>
          <w:p w:rsidR="00415BFD" w:rsidRPr="00222BE7" w:rsidRDefault="00415BFD" w:rsidP="00E47A4A">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No</w:t>
            </w:r>
            <w:r>
              <w:rPr>
                <w:rFonts w:cs="Arial"/>
                <w:szCs w:val="18"/>
              </w:rPr>
              <w:t xml:space="preserve"> </w:t>
            </w:r>
            <w:r>
              <w:rPr>
                <w:rFonts w:cs="Arial"/>
                <w:szCs w:val="18"/>
                <w:vertAlign w:val="superscript"/>
              </w:rPr>
              <w:t>c</w:t>
            </w:r>
          </w:p>
        </w:tc>
        <w:tc>
          <w:tcPr>
            <w:tcW w:w="215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Resourceful Adolescent Program (RAP)</w:t>
            </w:r>
          </w:p>
        </w:tc>
        <w:tc>
          <w:tcPr>
            <w:tcW w:w="1077"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Teacher</w:t>
            </w:r>
          </w:p>
        </w:tc>
        <w:tc>
          <w:tcPr>
            <w:tcW w:w="907"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AC</w:t>
            </w:r>
          </w:p>
        </w:tc>
        <w:tc>
          <w:tcPr>
            <w:tcW w:w="1134"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6m</w:t>
            </w:r>
            <w:r w:rsidRPr="00222BE7">
              <w:rPr>
                <w:rFonts w:cs="Arial"/>
                <w:szCs w:val="18"/>
              </w:rPr>
              <w:t xml:space="preserve">; </w:t>
            </w:r>
            <w:r>
              <w:rPr>
                <w:rFonts w:cs="Arial"/>
                <w:szCs w:val="18"/>
              </w:rPr>
              <w:t>1y</w:t>
            </w:r>
          </w:p>
        </w:tc>
        <w:tc>
          <w:tcPr>
            <w:tcW w:w="1191" w:type="dxa"/>
          </w:tcPr>
          <w:p w:rsidR="00415BFD" w:rsidRPr="00222BE7" w:rsidRDefault="00415BFD" w:rsidP="00DC2165">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 xml:space="preserve">SMFQ ≥5 </w:t>
            </w:r>
          </w:p>
        </w:tc>
        <w:tc>
          <w:tcPr>
            <w:tcW w:w="906"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18</w:t>
            </w:r>
          </w:p>
        </w:tc>
        <w:tc>
          <w:tcPr>
            <w:tcW w:w="795" w:type="dxa"/>
          </w:tcPr>
          <w:p w:rsidR="00415BFD" w:rsidRPr="00222BE7" w:rsidRDefault="00415BFD" w:rsidP="00222BE7">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sidRPr="00222BE7">
              <w:rPr>
                <w:rFonts w:cs="Arial"/>
                <w:szCs w:val="18"/>
              </w:rPr>
              <w:t>NR</w:t>
            </w:r>
          </w:p>
        </w:tc>
        <w:tc>
          <w:tcPr>
            <w:tcW w:w="850" w:type="dxa"/>
          </w:tcPr>
          <w:p w:rsidR="00415BFD" w:rsidRPr="00222BE7" w:rsidRDefault="00415BFD" w:rsidP="00DE649A">
            <w:pPr>
              <w:pStyle w:val="Tabletext"/>
              <w:cnfStyle w:val="000000010000" w:firstRow="0" w:lastRow="0" w:firstColumn="0" w:lastColumn="0" w:oddVBand="0" w:evenVBand="0" w:oddHBand="0" w:evenHBand="1" w:firstRowFirstColumn="0" w:firstRowLastColumn="0" w:lastRowFirstColumn="0" w:lastRowLastColumn="0"/>
              <w:rPr>
                <w:rFonts w:cs="Arial"/>
                <w:szCs w:val="18"/>
              </w:rPr>
            </w:pPr>
            <w:r>
              <w:rPr>
                <w:rFonts w:cs="Arial"/>
                <w:noProof/>
                <w:szCs w:val="18"/>
              </w:rPr>
              <w:t>[30]</w:t>
            </w:r>
          </w:p>
        </w:tc>
      </w:tr>
      <w:tr w:rsidR="00415BFD" w:rsidRPr="00222BE7" w:rsidTr="005A56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4" w:type="dxa"/>
          </w:tcPr>
          <w:p w:rsidR="00415BFD" w:rsidRPr="00222BE7" w:rsidRDefault="00415BFD" w:rsidP="00222BE7">
            <w:pPr>
              <w:pStyle w:val="Tabletext"/>
              <w:rPr>
                <w:rFonts w:cs="Arial"/>
                <w:szCs w:val="18"/>
              </w:rPr>
            </w:pPr>
            <w:r w:rsidRPr="00222BE7">
              <w:rPr>
                <w:rFonts w:cs="Arial"/>
                <w:szCs w:val="18"/>
              </w:rPr>
              <w:t>Stallard 2012b</w:t>
            </w:r>
          </w:p>
        </w:tc>
        <w:tc>
          <w:tcPr>
            <w:tcW w:w="96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UK</w:t>
            </w:r>
          </w:p>
        </w:tc>
        <w:tc>
          <w:tcPr>
            <w:tcW w:w="905"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1,064</w:t>
            </w:r>
          </w:p>
        </w:tc>
        <w:tc>
          <w:tcPr>
            <w:tcW w:w="850"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Yr 8-11</w:t>
            </w:r>
          </w:p>
        </w:tc>
        <w:tc>
          <w:tcPr>
            <w:tcW w:w="1020" w:type="dxa"/>
          </w:tcPr>
          <w:p w:rsidR="00415BFD" w:rsidRPr="00222BE7" w:rsidRDefault="00415BFD" w:rsidP="00E47A4A">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No</w:t>
            </w:r>
            <w:r w:rsidRPr="00716FFF">
              <w:rPr>
                <w:rFonts w:cs="Arial"/>
                <w:szCs w:val="18"/>
                <w:vertAlign w:val="superscript"/>
              </w:rPr>
              <w:t xml:space="preserve"> </w:t>
            </w:r>
            <w:r>
              <w:rPr>
                <w:rFonts w:cs="Arial"/>
                <w:szCs w:val="18"/>
                <w:vertAlign w:val="superscript"/>
              </w:rPr>
              <w:t>c</w:t>
            </w:r>
          </w:p>
        </w:tc>
        <w:tc>
          <w:tcPr>
            <w:tcW w:w="215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Resourceful Adolescent Program (RAP)</w:t>
            </w:r>
          </w:p>
        </w:tc>
        <w:tc>
          <w:tcPr>
            <w:tcW w:w="1077"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Teacher</w:t>
            </w:r>
          </w:p>
        </w:tc>
        <w:tc>
          <w:tcPr>
            <w:tcW w:w="907"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TAU</w:t>
            </w:r>
          </w:p>
        </w:tc>
        <w:tc>
          <w:tcPr>
            <w:tcW w:w="1134"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6m</w:t>
            </w:r>
            <w:r w:rsidRPr="00222BE7">
              <w:rPr>
                <w:rFonts w:cs="Arial"/>
                <w:szCs w:val="18"/>
              </w:rPr>
              <w:t xml:space="preserve">; </w:t>
            </w:r>
            <w:r>
              <w:rPr>
                <w:rFonts w:cs="Arial"/>
                <w:szCs w:val="18"/>
              </w:rPr>
              <w:t>1y</w:t>
            </w:r>
          </w:p>
        </w:tc>
        <w:tc>
          <w:tcPr>
            <w:tcW w:w="1191" w:type="dxa"/>
          </w:tcPr>
          <w:p w:rsidR="00415BFD" w:rsidRPr="00222BE7" w:rsidRDefault="00415BFD" w:rsidP="00DC2165">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 xml:space="preserve">SMFQ ≥5 </w:t>
            </w:r>
          </w:p>
        </w:tc>
        <w:tc>
          <w:tcPr>
            <w:tcW w:w="906"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18</w:t>
            </w:r>
          </w:p>
        </w:tc>
        <w:tc>
          <w:tcPr>
            <w:tcW w:w="795" w:type="dxa"/>
          </w:tcPr>
          <w:p w:rsidR="00415BFD" w:rsidRPr="00222BE7" w:rsidRDefault="00415BFD" w:rsidP="00222BE7">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222BE7">
              <w:rPr>
                <w:rFonts w:cs="Arial"/>
                <w:szCs w:val="18"/>
              </w:rPr>
              <w:t>NR</w:t>
            </w:r>
          </w:p>
        </w:tc>
        <w:tc>
          <w:tcPr>
            <w:tcW w:w="850" w:type="dxa"/>
          </w:tcPr>
          <w:p w:rsidR="00415BFD" w:rsidRPr="00222BE7" w:rsidRDefault="00415BFD" w:rsidP="00DE649A">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Pr>
                <w:rFonts w:cs="Arial"/>
                <w:noProof/>
                <w:szCs w:val="18"/>
              </w:rPr>
              <w:t>[30]</w:t>
            </w:r>
          </w:p>
        </w:tc>
      </w:tr>
    </w:tbl>
    <w:p w:rsidR="00415BFD" w:rsidRPr="00C70B7E" w:rsidRDefault="00415BFD" w:rsidP="002233A7">
      <w:pPr>
        <w:pStyle w:val="Tabletext"/>
        <w:rPr>
          <w:i/>
        </w:rPr>
      </w:pPr>
      <w:r w:rsidRPr="00C70B7E">
        <w:rPr>
          <w:b/>
          <w:i/>
        </w:rPr>
        <w:t>Abbreviations:</w:t>
      </w:r>
      <w:r w:rsidRPr="00C70B7E">
        <w:rPr>
          <w:i/>
        </w:rPr>
        <w:t xml:space="preserve"> 1y – 1 year; 2y – 2 years; 6m – 6 months; AC – Attention Control; ADIS-C – Anxiety Disorders Interview Schedule for Children; CDI – Children's Depression Inventory; CIS-R – Clinical Interview Schedule-Revised; DICA-IV – Diagnostic Interview for Children and Adolescents-IV; H Prof – Health Professional; ITT – Intention-to-treat; MC – Matched control; NI – No intervention; NR – Not reported; PI – Post-intervention; SMFQ – Short Mood and Feelings Questionnaire; TAU – Treatment-as-usual; WC – Waitlist control; Yr – Year.</w:t>
      </w:r>
    </w:p>
    <w:p w:rsidR="00415BFD" w:rsidRPr="00C70B7E" w:rsidRDefault="00415BFD" w:rsidP="00DC2165">
      <w:pPr>
        <w:pStyle w:val="Tabletext"/>
        <w:rPr>
          <w:i/>
        </w:rPr>
      </w:pPr>
      <w:r>
        <w:rPr>
          <w:rFonts w:cs="Arial"/>
          <w:i/>
          <w:sz w:val="16"/>
          <w:szCs w:val="18"/>
          <w:vertAlign w:val="superscript"/>
        </w:rPr>
        <w:t>a</w:t>
      </w:r>
      <w:r w:rsidRPr="00C70B7E">
        <w:rPr>
          <w:i/>
        </w:rPr>
        <w:t xml:space="preserve"> </w:t>
      </w:r>
      <w:r>
        <w:rPr>
          <w:i/>
        </w:rPr>
        <w:t xml:space="preserve">Depression symptom rating scales are denoted by an inequality to right of the scale, which indicates the cut-off score used to identify depression cases (e.g., </w:t>
      </w:r>
      <w:r w:rsidRPr="003F540E">
        <w:rPr>
          <w:i/>
        </w:rPr>
        <w:t>CIS-R ≥12</w:t>
      </w:r>
      <w:r>
        <w:rPr>
          <w:i/>
        </w:rPr>
        <w:t>).</w:t>
      </w:r>
    </w:p>
    <w:p w:rsidR="00415BFD" w:rsidRPr="00C70B7E" w:rsidRDefault="00415BFD" w:rsidP="002233A7">
      <w:pPr>
        <w:pStyle w:val="Tabletext"/>
        <w:rPr>
          <w:i/>
        </w:rPr>
      </w:pPr>
      <w:r>
        <w:rPr>
          <w:rFonts w:cs="Arial"/>
          <w:i/>
          <w:sz w:val="16"/>
          <w:szCs w:val="18"/>
          <w:vertAlign w:val="superscript"/>
        </w:rPr>
        <w:t>b</w:t>
      </w:r>
      <w:r w:rsidRPr="00C70B7E">
        <w:rPr>
          <w:i/>
        </w:rPr>
        <w:t xml:space="preserve"> Lock 2003 was excluded from the meta-analysis as an outlier as it reported unreasonably high incidence outcomes in both intervention and control groups.</w:t>
      </w:r>
    </w:p>
    <w:p w:rsidR="00415BFD" w:rsidRDefault="00415BFD" w:rsidP="002E22EC">
      <w:pPr>
        <w:pStyle w:val="Tabletext"/>
      </w:pPr>
      <w:r>
        <w:rPr>
          <w:rFonts w:cs="Arial"/>
          <w:i/>
          <w:sz w:val="16"/>
          <w:szCs w:val="18"/>
          <w:vertAlign w:val="superscript"/>
        </w:rPr>
        <w:t>c</w:t>
      </w:r>
      <w:r w:rsidRPr="00C70B7E">
        <w:rPr>
          <w:i/>
        </w:rPr>
        <w:t xml:space="preserve"> Stallard 2012a &amp; b were excluded from the meta-analysis as outliers. Incidence outcomes were much higher than what would reasonably be expected in a universal sample (e.g., the incidence proportion in the control group is &gt;75%).</w:t>
      </w:r>
      <w:r>
        <w:br w:type="page"/>
      </w:r>
    </w:p>
    <w:p w:rsidR="00415BFD" w:rsidRDefault="00415BFD" w:rsidP="00415BFD">
      <w:pPr>
        <w:pStyle w:val="MyTable"/>
        <w:numPr>
          <w:ilvl w:val="3"/>
          <w:numId w:val="9"/>
        </w:numPr>
        <w:rPr>
          <w:lang w:bidi="ar-SA"/>
        </w:rPr>
      </w:pPr>
      <w:bookmarkStart w:id="33" w:name="_Ref432883546"/>
      <w:bookmarkStart w:id="34" w:name="_Toc452066451"/>
      <w:r>
        <w:rPr>
          <w:lang w:bidi="ar-SA"/>
        </w:rPr>
        <w:lastRenderedPageBreak/>
        <w:t>Study design characteristics of independent RCT study arms identified by meta-review that examine the efficacy of school-based indicated prevention interventions delivered to students with subthreshold depression</w:t>
      </w:r>
      <w:bookmarkEnd w:id="33"/>
      <w:bookmarkEnd w:id="34"/>
    </w:p>
    <w:tbl>
      <w:tblPr>
        <w:tblStyle w:val="MediumShading1-Accent1"/>
        <w:tblW w:w="14227" w:type="dxa"/>
        <w:tblLayout w:type="fixed"/>
        <w:tblLook w:val="04A0" w:firstRow="1" w:lastRow="0" w:firstColumn="1" w:lastColumn="0" w:noHBand="0" w:noVBand="1"/>
      </w:tblPr>
      <w:tblGrid>
        <w:gridCol w:w="1247"/>
        <w:gridCol w:w="964"/>
        <w:gridCol w:w="905"/>
        <w:gridCol w:w="850"/>
        <w:gridCol w:w="1020"/>
        <w:gridCol w:w="2381"/>
        <w:gridCol w:w="1077"/>
        <w:gridCol w:w="907"/>
        <w:gridCol w:w="1134"/>
        <w:gridCol w:w="1191"/>
        <w:gridCol w:w="906"/>
        <w:gridCol w:w="795"/>
        <w:gridCol w:w="850"/>
      </w:tblGrid>
      <w:tr w:rsidR="00415BFD" w:rsidRPr="00AB4B2F" w:rsidTr="00D3321E">
        <w:trPr>
          <w:cnfStyle w:val="100000000000" w:firstRow="1" w:lastRow="0" w:firstColumn="0" w:lastColumn="0" w:oddVBand="0" w:evenVBand="0" w:oddHBand="0" w:evenHBand="0" w:firstRowFirstColumn="0" w:firstRowLastColumn="0" w:lastRowFirstColumn="0" w:lastRowLastColumn="0"/>
          <w:cantSplit/>
          <w:trHeight w:val="1474"/>
          <w:tblHeader/>
        </w:trPr>
        <w:tc>
          <w:tcPr>
            <w:cnfStyle w:val="001000000000" w:firstRow="0" w:lastRow="0" w:firstColumn="1" w:lastColumn="0" w:oddVBand="0" w:evenVBand="0" w:oddHBand="0" w:evenHBand="0" w:firstRowFirstColumn="0" w:firstRowLastColumn="0" w:lastRowFirstColumn="0" w:lastRowLastColumn="0"/>
            <w:tcW w:w="1247" w:type="dxa"/>
          </w:tcPr>
          <w:p w:rsidR="00415BFD" w:rsidRPr="00AB4B2F" w:rsidRDefault="00415BFD" w:rsidP="00AB4B2F">
            <w:pPr>
              <w:pStyle w:val="Tabletext"/>
            </w:pPr>
            <w:r w:rsidRPr="00AB4B2F">
              <w:t>Study</w:t>
            </w:r>
            <w:r>
              <w:t xml:space="preserve"> arm</w:t>
            </w:r>
          </w:p>
        </w:tc>
        <w:tc>
          <w:tcPr>
            <w:tcW w:w="964" w:type="dxa"/>
          </w:tcPr>
          <w:p w:rsidR="00415BFD" w:rsidRPr="00AB4B2F" w:rsidRDefault="00415BFD" w:rsidP="00AB4B2F">
            <w:pPr>
              <w:pStyle w:val="Tabletext"/>
              <w:cnfStyle w:val="100000000000" w:firstRow="1" w:lastRow="0" w:firstColumn="0" w:lastColumn="0" w:oddVBand="0" w:evenVBand="0" w:oddHBand="0" w:evenHBand="0" w:firstRowFirstColumn="0" w:firstRowLastColumn="0" w:lastRowFirstColumn="0" w:lastRowLastColumn="0"/>
            </w:pPr>
            <w:r w:rsidRPr="00AB4B2F">
              <w:t>Country</w:t>
            </w:r>
          </w:p>
        </w:tc>
        <w:tc>
          <w:tcPr>
            <w:tcW w:w="905" w:type="dxa"/>
          </w:tcPr>
          <w:p w:rsidR="00415BFD" w:rsidRPr="00AB4B2F" w:rsidRDefault="00415BFD" w:rsidP="00AB4B2F">
            <w:pPr>
              <w:pStyle w:val="Tabletext"/>
              <w:cnfStyle w:val="100000000000" w:firstRow="1" w:lastRow="0" w:firstColumn="0" w:lastColumn="0" w:oddVBand="0" w:evenVBand="0" w:oddHBand="0" w:evenHBand="0" w:firstRowFirstColumn="0" w:firstRowLastColumn="0" w:lastRowFirstColumn="0" w:lastRowLastColumn="0"/>
            </w:pPr>
            <w:r w:rsidRPr="00AB4B2F">
              <w:t>Sample size</w:t>
            </w:r>
          </w:p>
        </w:tc>
        <w:tc>
          <w:tcPr>
            <w:tcW w:w="850" w:type="dxa"/>
          </w:tcPr>
          <w:p w:rsidR="00415BFD" w:rsidRPr="00AB4B2F" w:rsidRDefault="00415BFD" w:rsidP="00AB4B2F">
            <w:pPr>
              <w:pStyle w:val="Tabletext"/>
              <w:cnfStyle w:val="100000000000" w:firstRow="1" w:lastRow="0" w:firstColumn="0" w:lastColumn="0" w:oddVBand="0" w:evenVBand="0" w:oddHBand="0" w:evenHBand="0" w:firstRowFirstColumn="0" w:firstRowLastColumn="0" w:lastRowFirstColumn="0" w:lastRowLastColumn="0"/>
            </w:pPr>
            <w:r w:rsidRPr="00AB4B2F">
              <w:t>Age range</w:t>
            </w:r>
          </w:p>
        </w:tc>
        <w:tc>
          <w:tcPr>
            <w:tcW w:w="1020" w:type="dxa"/>
          </w:tcPr>
          <w:p w:rsidR="00415BFD" w:rsidRPr="00AB4B2F" w:rsidRDefault="00415BFD" w:rsidP="00D3321E">
            <w:pPr>
              <w:pStyle w:val="Tabletext"/>
              <w:cnfStyle w:val="100000000000" w:firstRow="1" w:lastRow="0" w:firstColumn="0" w:lastColumn="0" w:oddVBand="0" w:evenVBand="0" w:oddHBand="0" w:evenHBand="0" w:firstRowFirstColumn="0" w:firstRowLastColumn="0" w:lastRowFirstColumn="0" w:lastRowLastColumn="0"/>
            </w:pPr>
            <w:r w:rsidRPr="00AB4B2F">
              <w:t xml:space="preserve">Included in </w:t>
            </w:r>
            <w:r>
              <w:t>meta-analysis</w:t>
            </w:r>
            <w:r w:rsidRPr="00AB4B2F">
              <w:t>?</w:t>
            </w:r>
          </w:p>
        </w:tc>
        <w:tc>
          <w:tcPr>
            <w:tcW w:w="2381" w:type="dxa"/>
          </w:tcPr>
          <w:p w:rsidR="00415BFD" w:rsidRPr="00AB4B2F" w:rsidRDefault="00415BFD" w:rsidP="00AB4B2F">
            <w:pPr>
              <w:pStyle w:val="Tabletext"/>
              <w:cnfStyle w:val="100000000000" w:firstRow="1" w:lastRow="0" w:firstColumn="0" w:lastColumn="0" w:oddVBand="0" w:evenVBand="0" w:oddHBand="0" w:evenHBand="0" w:firstRowFirstColumn="0" w:firstRowLastColumn="0" w:lastRowFirstColumn="0" w:lastRowLastColumn="0"/>
            </w:pPr>
            <w:r w:rsidRPr="00AB4B2F">
              <w:t>Intervention description</w:t>
            </w:r>
          </w:p>
        </w:tc>
        <w:tc>
          <w:tcPr>
            <w:tcW w:w="1077" w:type="dxa"/>
          </w:tcPr>
          <w:p w:rsidR="00415BFD" w:rsidRPr="00AB4B2F" w:rsidRDefault="00415BFD" w:rsidP="00AB4B2F">
            <w:pPr>
              <w:pStyle w:val="Tabletext"/>
              <w:cnfStyle w:val="100000000000" w:firstRow="1" w:lastRow="0" w:firstColumn="0" w:lastColumn="0" w:oddVBand="0" w:evenVBand="0" w:oddHBand="0" w:evenHBand="0" w:firstRowFirstColumn="0" w:firstRowLastColumn="0" w:lastRowFirstColumn="0" w:lastRowLastColumn="0"/>
            </w:pPr>
            <w:r w:rsidRPr="00AB4B2F">
              <w:t>Chief program facilitator</w:t>
            </w:r>
          </w:p>
        </w:tc>
        <w:tc>
          <w:tcPr>
            <w:tcW w:w="907" w:type="dxa"/>
          </w:tcPr>
          <w:p w:rsidR="00415BFD" w:rsidRPr="00AB4B2F" w:rsidRDefault="00415BFD" w:rsidP="00AB4B2F">
            <w:pPr>
              <w:pStyle w:val="Tabletext"/>
              <w:cnfStyle w:val="100000000000" w:firstRow="1" w:lastRow="0" w:firstColumn="0" w:lastColumn="0" w:oddVBand="0" w:evenVBand="0" w:oddHBand="0" w:evenHBand="0" w:firstRowFirstColumn="0" w:firstRowLastColumn="0" w:lastRowFirstColumn="0" w:lastRowLastColumn="0"/>
            </w:pPr>
            <w:r w:rsidRPr="00AB4B2F">
              <w:t>Control group</w:t>
            </w:r>
          </w:p>
        </w:tc>
        <w:tc>
          <w:tcPr>
            <w:tcW w:w="1134" w:type="dxa"/>
          </w:tcPr>
          <w:p w:rsidR="00415BFD" w:rsidRPr="00AB4B2F" w:rsidRDefault="00415BFD" w:rsidP="00D3321E">
            <w:pPr>
              <w:pStyle w:val="Tabletext"/>
              <w:cnfStyle w:val="100000000000" w:firstRow="1" w:lastRow="0" w:firstColumn="0" w:lastColumn="0" w:oddVBand="0" w:evenVBand="0" w:oddHBand="0" w:evenHBand="0" w:firstRowFirstColumn="0" w:firstRowLastColumn="0" w:lastRowFirstColumn="0" w:lastRowLastColumn="0"/>
            </w:pPr>
            <w:r w:rsidRPr="00AB4B2F">
              <w:t xml:space="preserve">Data available for these </w:t>
            </w:r>
            <w:r>
              <w:t>follow-up</w:t>
            </w:r>
            <w:r w:rsidRPr="00AB4B2F">
              <w:t xml:space="preserve"> points</w:t>
            </w:r>
          </w:p>
        </w:tc>
        <w:tc>
          <w:tcPr>
            <w:tcW w:w="1191" w:type="dxa"/>
          </w:tcPr>
          <w:p w:rsidR="00415BFD" w:rsidRPr="00AB4B2F" w:rsidRDefault="00415BFD" w:rsidP="00AB4B2F">
            <w:pPr>
              <w:pStyle w:val="Tabletext"/>
              <w:cnfStyle w:val="100000000000" w:firstRow="1" w:lastRow="0" w:firstColumn="0" w:lastColumn="0" w:oddVBand="0" w:evenVBand="0" w:oddHBand="0" w:evenHBand="0" w:firstRowFirstColumn="0" w:firstRowLastColumn="0" w:lastRowFirstColumn="0" w:lastRowLastColumn="0"/>
            </w:pPr>
            <w:r w:rsidRPr="00AB4B2F">
              <w:t>Diagnostic criteria</w:t>
            </w:r>
            <w:r>
              <w:rPr>
                <w:rFonts w:cs="Arial"/>
                <w:szCs w:val="18"/>
              </w:rPr>
              <w:t xml:space="preserve"> </w:t>
            </w:r>
            <w:r w:rsidRPr="00716FFF">
              <w:rPr>
                <w:rFonts w:cs="Arial"/>
                <w:szCs w:val="18"/>
                <w:vertAlign w:val="superscript"/>
              </w:rPr>
              <w:t>a</w:t>
            </w:r>
          </w:p>
        </w:tc>
        <w:tc>
          <w:tcPr>
            <w:tcW w:w="906" w:type="dxa"/>
          </w:tcPr>
          <w:p w:rsidR="00415BFD" w:rsidRPr="00AB4B2F" w:rsidRDefault="00415BFD" w:rsidP="00AB4B2F">
            <w:pPr>
              <w:pStyle w:val="Tabletext"/>
              <w:cnfStyle w:val="100000000000" w:firstRow="1" w:lastRow="0" w:firstColumn="0" w:lastColumn="0" w:oddVBand="0" w:evenVBand="0" w:oddHBand="0" w:evenHBand="0" w:firstRowFirstColumn="0" w:firstRowLastColumn="0" w:lastRowFirstColumn="0" w:lastRowLastColumn="0"/>
            </w:pPr>
            <w:r w:rsidRPr="00AB4B2F">
              <w:t>Risk of bias score   ( /21)</w:t>
            </w:r>
          </w:p>
        </w:tc>
        <w:tc>
          <w:tcPr>
            <w:tcW w:w="795" w:type="dxa"/>
          </w:tcPr>
          <w:p w:rsidR="00415BFD" w:rsidRPr="00AB4B2F" w:rsidRDefault="00415BFD" w:rsidP="00AB4B2F">
            <w:pPr>
              <w:pStyle w:val="Tabletext"/>
              <w:cnfStyle w:val="100000000000" w:firstRow="1" w:lastRow="0" w:firstColumn="0" w:lastColumn="0" w:oddVBand="0" w:evenVBand="0" w:oddHBand="0" w:evenHBand="0" w:firstRowFirstColumn="0" w:firstRowLastColumn="0" w:lastRowFirstColumn="0" w:lastRowLastColumn="0"/>
            </w:pPr>
            <w:r w:rsidRPr="00AB4B2F">
              <w:t>ITT used?</w:t>
            </w:r>
          </w:p>
        </w:tc>
        <w:tc>
          <w:tcPr>
            <w:tcW w:w="850" w:type="dxa"/>
          </w:tcPr>
          <w:p w:rsidR="00415BFD" w:rsidRPr="00AB4B2F" w:rsidRDefault="00415BFD" w:rsidP="00AB4B2F">
            <w:pPr>
              <w:pStyle w:val="Tabletext"/>
              <w:cnfStyle w:val="100000000000" w:firstRow="1" w:lastRow="0" w:firstColumn="0" w:lastColumn="0" w:oddVBand="0" w:evenVBand="0" w:oddHBand="0" w:evenHBand="0" w:firstRowFirstColumn="0" w:firstRowLastColumn="0" w:lastRowFirstColumn="0" w:lastRowLastColumn="0"/>
            </w:pPr>
            <w:r w:rsidRPr="00AB4B2F">
              <w:t>Source</w:t>
            </w:r>
          </w:p>
        </w:tc>
      </w:tr>
      <w:tr w:rsidR="00415BFD" w:rsidRPr="00AB4B2F" w:rsidTr="007B24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7" w:type="dxa"/>
          </w:tcPr>
          <w:p w:rsidR="00415BFD" w:rsidRPr="00AB4B2F" w:rsidRDefault="00415BFD" w:rsidP="00AB4B2F">
            <w:pPr>
              <w:pStyle w:val="Tabletext"/>
            </w:pPr>
            <w:r w:rsidRPr="00AB4B2F">
              <w:t>Arnarson 2009</w:t>
            </w:r>
          </w:p>
        </w:tc>
        <w:tc>
          <w:tcPr>
            <w:tcW w:w="964"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Iceland</w:t>
            </w:r>
          </w:p>
        </w:tc>
        <w:tc>
          <w:tcPr>
            <w:tcW w:w="905"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171</w:t>
            </w:r>
          </w:p>
        </w:tc>
        <w:tc>
          <w:tcPr>
            <w:tcW w:w="850"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14-15</w:t>
            </w:r>
          </w:p>
        </w:tc>
        <w:tc>
          <w:tcPr>
            <w:tcW w:w="1020"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Yes</w:t>
            </w:r>
          </w:p>
        </w:tc>
        <w:tc>
          <w:tcPr>
            <w:tcW w:w="2381" w:type="dxa"/>
          </w:tcPr>
          <w:p w:rsidR="00415BFD" w:rsidRPr="00AB4B2F" w:rsidRDefault="00415BFD" w:rsidP="000E2ABC">
            <w:pPr>
              <w:pStyle w:val="Tabletext"/>
              <w:cnfStyle w:val="000000100000" w:firstRow="0" w:lastRow="0" w:firstColumn="0" w:lastColumn="0" w:oddVBand="0" w:evenVBand="0" w:oddHBand="1" w:evenHBand="0" w:firstRowFirstColumn="0" w:firstRowLastColumn="0" w:lastRowFirstColumn="0" w:lastRowLastColumn="0"/>
            </w:pPr>
            <w:r w:rsidRPr="00AB4B2F">
              <w:t xml:space="preserve">Psychological prevention </w:t>
            </w:r>
            <w:r>
              <w:t>with</w:t>
            </w:r>
            <w:r w:rsidRPr="00AB4B2F">
              <w:t xml:space="preserve"> student manuals, handouts, posters, videos and a relaxation tape</w:t>
            </w:r>
          </w:p>
        </w:tc>
        <w:tc>
          <w:tcPr>
            <w:tcW w:w="1077"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H Prof</w:t>
            </w:r>
          </w:p>
        </w:tc>
        <w:tc>
          <w:tcPr>
            <w:tcW w:w="907"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TAU</w:t>
            </w:r>
          </w:p>
        </w:tc>
        <w:tc>
          <w:tcPr>
            <w:tcW w:w="1134"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PI; 6m; 1y</w:t>
            </w:r>
          </w:p>
        </w:tc>
        <w:tc>
          <w:tcPr>
            <w:tcW w:w="1191"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CAS</w:t>
            </w:r>
          </w:p>
        </w:tc>
        <w:tc>
          <w:tcPr>
            <w:tcW w:w="906"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16</w:t>
            </w:r>
          </w:p>
        </w:tc>
        <w:tc>
          <w:tcPr>
            <w:tcW w:w="795"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Yes</w:t>
            </w:r>
          </w:p>
        </w:tc>
        <w:tc>
          <w:tcPr>
            <w:tcW w:w="850" w:type="dxa"/>
          </w:tcPr>
          <w:p w:rsidR="00415BFD" w:rsidRPr="00AB4B2F" w:rsidRDefault="00415BFD" w:rsidP="00DE649A">
            <w:pPr>
              <w:pStyle w:val="Tabletext"/>
              <w:cnfStyle w:val="000000100000" w:firstRow="0" w:lastRow="0" w:firstColumn="0" w:lastColumn="0" w:oddVBand="0" w:evenVBand="0" w:oddHBand="1" w:evenHBand="0" w:firstRowFirstColumn="0" w:firstRowLastColumn="0" w:lastRowFirstColumn="0" w:lastRowLastColumn="0"/>
            </w:pPr>
            <w:r>
              <w:rPr>
                <w:noProof/>
              </w:rPr>
              <w:t>[53]</w:t>
            </w:r>
          </w:p>
        </w:tc>
      </w:tr>
      <w:tr w:rsidR="00415BFD" w:rsidRPr="00AB4B2F" w:rsidTr="007B246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7" w:type="dxa"/>
          </w:tcPr>
          <w:p w:rsidR="00415BFD" w:rsidRPr="00AB4B2F" w:rsidRDefault="00415BFD" w:rsidP="00AB4B2F">
            <w:pPr>
              <w:pStyle w:val="Tabletext"/>
            </w:pPr>
            <w:r w:rsidRPr="00AB4B2F">
              <w:t>Clarke 1995</w:t>
            </w:r>
          </w:p>
        </w:tc>
        <w:tc>
          <w:tcPr>
            <w:tcW w:w="964"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US</w:t>
            </w:r>
          </w:p>
        </w:tc>
        <w:tc>
          <w:tcPr>
            <w:tcW w:w="905"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150</w:t>
            </w:r>
          </w:p>
        </w:tc>
        <w:tc>
          <w:tcPr>
            <w:tcW w:w="850"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NR</w:t>
            </w:r>
          </w:p>
        </w:tc>
        <w:tc>
          <w:tcPr>
            <w:tcW w:w="1020"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Yes</w:t>
            </w:r>
          </w:p>
        </w:tc>
        <w:tc>
          <w:tcPr>
            <w:tcW w:w="2381"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Coping With Stress (CWS)</w:t>
            </w:r>
          </w:p>
        </w:tc>
        <w:tc>
          <w:tcPr>
            <w:tcW w:w="1077"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H Prof</w:t>
            </w:r>
          </w:p>
        </w:tc>
        <w:tc>
          <w:tcPr>
            <w:tcW w:w="907"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TAU</w:t>
            </w:r>
          </w:p>
        </w:tc>
        <w:tc>
          <w:tcPr>
            <w:tcW w:w="1134"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PI; 6m; 1y</w:t>
            </w:r>
          </w:p>
        </w:tc>
        <w:tc>
          <w:tcPr>
            <w:tcW w:w="1191"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K-SADS</w:t>
            </w:r>
          </w:p>
        </w:tc>
        <w:tc>
          <w:tcPr>
            <w:tcW w:w="906"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14</w:t>
            </w:r>
          </w:p>
        </w:tc>
        <w:tc>
          <w:tcPr>
            <w:tcW w:w="795"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Yes</w:t>
            </w:r>
          </w:p>
        </w:tc>
        <w:tc>
          <w:tcPr>
            <w:tcW w:w="850" w:type="dxa"/>
          </w:tcPr>
          <w:p w:rsidR="00415BFD" w:rsidRPr="00AB4B2F" w:rsidRDefault="00415BFD" w:rsidP="00DE649A">
            <w:pPr>
              <w:pStyle w:val="Tabletext"/>
              <w:cnfStyle w:val="000000010000" w:firstRow="0" w:lastRow="0" w:firstColumn="0" w:lastColumn="0" w:oddVBand="0" w:evenVBand="0" w:oddHBand="0" w:evenHBand="1" w:firstRowFirstColumn="0" w:firstRowLastColumn="0" w:lastRowFirstColumn="0" w:lastRowLastColumn="0"/>
            </w:pPr>
            <w:r>
              <w:rPr>
                <w:noProof/>
              </w:rPr>
              <w:t>[54]</w:t>
            </w:r>
          </w:p>
        </w:tc>
      </w:tr>
      <w:tr w:rsidR="00415BFD" w:rsidRPr="00AB4B2F" w:rsidTr="007B24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7" w:type="dxa"/>
          </w:tcPr>
          <w:p w:rsidR="00415BFD" w:rsidRPr="00AB4B2F" w:rsidRDefault="00415BFD" w:rsidP="00AB4B2F">
            <w:pPr>
              <w:pStyle w:val="Tabletext"/>
            </w:pPr>
            <w:r w:rsidRPr="00AB4B2F">
              <w:t>Gillham 1995b(i)</w:t>
            </w:r>
          </w:p>
        </w:tc>
        <w:tc>
          <w:tcPr>
            <w:tcW w:w="964"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US</w:t>
            </w:r>
          </w:p>
        </w:tc>
        <w:tc>
          <w:tcPr>
            <w:tcW w:w="905"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108</w:t>
            </w:r>
          </w:p>
        </w:tc>
        <w:tc>
          <w:tcPr>
            <w:tcW w:w="850"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Yr 5-6</w:t>
            </w:r>
          </w:p>
        </w:tc>
        <w:tc>
          <w:tcPr>
            <w:tcW w:w="1020"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Yes</w:t>
            </w:r>
          </w:p>
        </w:tc>
        <w:tc>
          <w:tcPr>
            <w:tcW w:w="2381"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 xml:space="preserve">Cognitive and social problem-solving group </w:t>
            </w:r>
          </w:p>
        </w:tc>
        <w:tc>
          <w:tcPr>
            <w:tcW w:w="1077"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H Prof</w:t>
            </w:r>
          </w:p>
        </w:tc>
        <w:tc>
          <w:tcPr>
            <w:tcW w:w="907"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WC</w:t>
            </w:r>
          </w:p>
        </w:tc>
        <w:tc>
          <w:tcPr>
            <w:tcW w:w="1134"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PI; 6m</w:t>
            </w:r>
          </w:p>
        </w:tc>
        <w:tc>
          <w:tcPr>
            <w:tcW w:w="1191" w:type="dxa"/>
          </w:tcPr>
          <w:p w:rsidR="00415BFD" w:rsidRPr="00AB4B2F" w:rsidRDefault="00415BFD" w:rsidP="004A722C">
            <w:pPr>
              <w:pStyle w:val="Tabletext"/>
              <w:cnfStyle w:val="000000100000" w:firstRow="0" w:lastRow="0" w:firstColumn="0" w:lastColumn="0" w:oddVBand="0" w:evenVBand="0" w:oddHBand="1" w:evenHBand="0" w:firstRowFirstColumn="0" w:firstRowLastColumn="0" w:lastRowFirstColumn="0" w:lastRowLastColumn="0"/>
            </w:pPr>
            <w:r w:rsidRPr="00AB4B2F">
              <w:t>CDI ≥15</w:t>
            </w:r>
          </w:p>
        </w:tc>
        <w:tc>
          <w:tcPr>
            <w:tcW w:w="906"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12</w:t>
            </w:r>
          </w:p>
        </w:tc>
        <w:tc>
          <w:tcPr>
            <w:tcW w:w="795"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NR</w:t>
            </w:r>
          </w:p>
        </w:tc>
        <w:tc>
          <w:tcPr>
            <w:tcW w:w="850" w:type="dxa"/>
          </w:tcPr>
          <w:p w:rsidR="00415BFD" w:rsidRPr="00AB4B2F" w:rsidRDefault="00415BFD" w:rsidP="00DE649A">
            <w:pPr>
              <w:pStyle w:val="Tabletext"/>
              <w:cnfStyle w:val="000000100000" w:firstRow="0" w:lastRow="0" w:firstColumn="0" w:lastColumn="0" w:oddVBand="0" w:evenVBand="0" w:oddHBand="1" w:evenHBand="0" w:firstRowFirstColumn="0" w:firstRowLastColumn="0" w:lastRowFirstColumn="0" w:lastRowLastColumn="0"/>
            </w:pPr>
            <w:r>
              <w:rPr>
                <w:noProof/>
              </w:rPr>
              <w:t>[55]</w:t>
            </w:r>
          </w:p>
        </w:tc>
      </w:tr>
      <w:tr w:rsidR="00415BFD" w:rsidRPr="00AB4B2F" w:rsidTr="007B246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7" w:type="dxa"/>
          </w:tcPr>
          <w:p w:rsidR="00415BFD" w:rsidRPr="00AB4B2F" w:rsidRDefault="00415BFD" w:rsidP="00AB4B2F">
            <w:pPr>
              <w:pStyle w:val="Tabletext"/>
            </w:pPr>
            <w:r w:rsidRPr="00AB4B2F">
              <w:t>Manassis 2010</w:t>
            </w:r>
          </w:p>
        </w:tc>
        <w:tc>
          <w:tcPr>
            <w:tcW w:w="964"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Canada</w:t>
            </w:r>
          </w:p>
        </w:tc>
        <w:tc>
          <w:tcPr>
            <w:tcW w:w="905"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148</w:t>
            </w:r>
          </w:p>
        </w:tc>
        <w:tc>
          <w:tcPr>
            <w:tcW w:w="850"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Yr 3-5</w:t>
            </w:r>
          </w:p>
        </w:tc>
        <w:tc>
          <w:tcPr>
            <w:tcW w:w="1020"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Yes</w:t>
            </w:r>
          </w:p>
        </w:tc>
        <w:tc>
          <w:tcPr>
            <w:tcW w:w="2381" w:type="dxa"/>
          </w:tcPr>
          <w:p w:rsidR="00415BFD" w:rsidRPr="00AB4B2F" w:rsidRDefault="00415BFD" w:rsidP="00BA3C07">
            <w:pPr>
              <w:pStyle w:val="Tabletext"/>
              <w:cnfStyle w:val="000000010000" w:firstRow="0" w:lastRow="0" w:firstColumn="0" w:lastColumn="0" w:oddVBand="0" w:evenVBand="0" w:oddHBand="0" w:evenHBand="1" w:firstRowFirstColumn="0" w:firstRowLastColumn="0" w:lastRowFirstColumn="0" w:lastRowLastColumn="0"/>
            </w:pPr>
            <w:r w:rsidRPr="00AB4B2F">
              <w:t>The Feelings Club: a manualised CBT</w:t>
            </w:r>
            <w:r>
              <w:t>-based</w:t>
            </w:r>
            <w:r w:rsidRPr="00AB4B2F">
              <w:t xml:space="preserve"> program </w:t>
            </w:r>
          </w:p>
        </w:tc>
        <w:tc>
          <w:tcPr>
            <w:tcW w:w="1077"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H Prof</w:t>
            </w:r>
          </w:p>
        </w:tc>
        <w:tc>
          <w:tcPr>
            <w:tcW w:w="907"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AC</w:t>
            </w:r>
          </w:p>
        </w:tc>
        <w:tc>
          <w:tcPr>
            <w:tcW w:w="1134"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PI; 1y</w:t>
            </w:r>
          </w:p>
        </w:tc>
        <w:tc>
          <w:tcPr>
            <w:tcW w:w="1191"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ADIS-C</w:t>
            </w:r>
          </w:p>
        </w:tc>
        <w:tc>
          <w:tcPr>
            <w:tcW w:w="906"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16</w:t>
            </w:r>
          </w:p>
        </w:tc>
        <w:tc>
          <w:tcPr>
            <w:tcW w:w="795"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NR</w:t>
            </w:r>
          </w:p>
        </w:tc>
        <w:tc>
          <w:tcPr>
            <w:tcW w:w="850" w:type="dxa"/>
          </w:tcPr>
          <w:p w:rsidR="00415BFD" w:rsidRPr="00AB4B2F" w:rsidRDefault="00415BFD" w:rsidP="00DE649A">
            <w:pPr>
              <w:pStyle w:val="Tabletext"/>
              <w:cnfStyle w:val="000000010000" w:firstRow="0" w:lastRow="0" w:firstColumn="0" w:lastColumn="0" w:oddVBand="0" w:evenVBand="0" w:oddHBand="0" w:evenHBand="1" w:firstRowFirstColumn="0" w:firstRowLastColumn="0" w:lastRowFirstColumn="0" w:lastRowLastColumn="0"/>
            </w:pPr>
            <w:r>
              <w:rPr>
                <w:noProof/>
              </w:rPr>
              <w:t>[56]</w:t>
            </w:r>
          </w:p>
        </w:tc>
      </w:tr>
      <w:tr w:rsidR="00415BFD" w:rsidRPr="00AB4B2F" w:rsidTr="007B24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7" w:type="dxa"/>
          </w:tcPr>
          <w:p w:rsidR="00415BFD" w:rsidRPr="00AB4B2F" w:rsidRDefault="00415BFD" w:rsidP="00AB4B2F">
            <w:pPr>
              <w:pStyle w:val="Tabletext"/>
            </w:pPr>
            <w:r w:rsidRPr="00AB4B2F">
              <w:t>Rohde 2013a</w:t>
            </w:r>
          </w:p>
        </w:tc>
        <w:tc>
          <w:tcPr>
            <w:tcW w:w="964"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US</w:t>
            </w:r>
          </w:p>
        </w:tc>
        <w:tc>
          <w:tcPr>
            <w:tcW w:w="905"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378</w:t>
            </w:r>
          </w:p>
        </w:tc>
        <w:tc>
          <w:tcPr>
            <w:tcW w:w="850"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13-19</w:t>
            </w:r>
          </w:p>
        </w:tc>
        <w:tc>
          <w:tcPr>
            <w:tcW w:w="1020"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Yes</w:t>
            </w:r>
          </w:p>
        </w:tc>
        <w:tc>
          <w:tcPr>
            <w:tcW w:w="2381"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Bibliotherapy: students given "Feeling Good" book by David Burns</w:t>
            </w:r>
          </w:p>
        </w:tc>
        <w:tc>
          <w:tcPr>
            <w:tcW w:w="1077"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H Prof</w:t>
            </w:r>
          </w:p>
        </w:tc>
        <w:tc>
          <w:tcPr>
            <w:tcW w:w="907" w:type="dxa"/>
          </w:tcPr>
          <w:p w:rsidR="00415BFD" w:rsidRPr="00AB4B2F" w:rsidRDefault="00415BFD" w:rsidP="000E2ABC">
            <w:pPr>
              <w:pStyle w:val="Tabletext"/>
              <w:cnfStyle w:val="000000100000" w:firstRow="0" w:lastRow="0" w:firstColumn="0" w:lastColumn="0" w:oddVBand="0" w:evenVBand="0" w:oddHBand="1" w:evenHBand="0" w:firstRowFirstColumn="0" w:firstRowLastColumn="0" w:lastRowFirstColumn="0" w:lastRowLastColumn="0"/>
            </w:pPr>
            <w:r w:rsidRPr="00AB4B2F">
              <w:t>TAU</w:t>
            </w:r>
          </w:p>
        </w:tc>
        <w:tc>
          <w:tcPr>
            <w:tcW w:w="1134"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6m</w:t>
            </w:r>
          </w:p>
        </w:tc>
        <w:tc>
          <w:tcPr>
            <w:tcW w:w="1191"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K-SADS</w:t>
            </w:r>
          </w:p>
        </w:tc>
        <w:tc>
          <w:tcPr>
            <w:tcW w:w="906"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16</w:t>
            </w:r>
          </w:p>
        </w:tc>
        <w:tc>
          <w:tcPr>
            <w:tcW w:w="795"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Yes</w:t>
            </w:r>
          </w:p>
        </w:tc>
        <w:tc>
          <w:tcPr>
            <w:tcW w:w="850" w:type="dxa"/>
          </w:tcPr>
          <w:p w:rsidR="00415BFD" w:rsidRPr="00AB4B2F" w:rsidRDefault="00415BFD" w:rsidP="00DE649A">
            <w:pPr>
              <w:pStyle w:val="Tabletext"/>
              <w:cnfStyle w:val="000000100000" w:firstRow="0" w:lastRow="0" w:firstColumn="0" w:lastColumn="0" w:oddVBand="0" w:evenVBand="0" w:oddHBand="1" w:evenHBand="0" w:firstRowFirstColumn="0" w:firstRowLastColumn="0" w:lastRowFirstColumn="0" w:lastRowLastColumn="0"/>
            </w:pPr>
            <w:r>
              <w:rPr>
                <w:noProof/>
              </w:rPr>
              <w:t>[57]</w:t>
            </w:r>
          </w:p>
        </w:tc>
      </w:tr>
      <w:tr w:rsidR="00415BFD" w:rsidRPr="00AB4B2F" w:rsidTr="007B246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7" w:type="dxa"/>
          </w:tcPr>
          <w:p w:rsidR="00415BFD" w:rsidRPr="00AB4B2F" w:rsidRDefault="00415BFD" w:rsidP="00AB4B2F">
            <w:pPr>
              <w:pStyle w:val="Tabletext"/>
            </w:pPr>
            <w:r w:rsidRPr="00AB4B2F">
              <w:t>Rohde 2013b</w:t>
            </w:r>
          </w:p>
        </w:tc>
        <w:tc>
          <w:tcPr>
            <w:tcW w:w="964"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US</w:t>
            </w:r>
          </w:p>
        </w:tc>
        <w:tc>
          <w:tcPr>
            <w:tcW w:w="905"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378</w:t>
            </w:r>
          </w:p>
        </w:tc>
        <w:tc>
          <w:tcPr>
            <w:tcW w:w="850"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13-19</w:t>
            </w:r>
          </w:p>
        </w:tc>
        <w:tc>
          <w:tcPr>
            <w:tcW w:w="1020"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Yes</w:t>
            </w:r>
          </w:p>
        </w:tc>
        <w:tc>
          <w:tcPr>
            <w:tcW w:w="2381"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CBT-based group therapy delivered at school after regular school hours in single sex classes</w:t>
            </w:r>
          </w:p>
        </w:tc>
        <w:tc>
          <w:tcPr>
            <w:tcW w:w="1077"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H Prof</w:t>
            </w:r>
          </w:p>
        </w:tc>
        <w:tc>
          <w:tcPr>
            <w:tcW w:w="907" w:type="dxa"/>
          </w:tcPr>
          <w:p w:rsidR="00415BFD" w:rsidRPr="00AB4B2F" w:rsidRDefault="00415BFD" w:rsidP="000E2ABC">
            <w:pPr>
              <w:pStyle w:val="Tabletext"/>
              <w:cnfStyle w:val="000000010000" w:firstRow="0" w:lastRow="0" w:firstColumn="0" w:lastColumn="0" w:oddVBand="0" w:evenVBand="0" w:oddHBand="0" w:evenHBand="1" w:firstRowFirstColumn="0" w:firstRowLastColumn="0" w:lastRowFirstColumn="0" w:lastRowLastColumn="0"/>
            </w:pPr>
            <w:r w:rsidRPr="00AB4B2F">
              <w:t>TAU</w:t>
            </w:r>
          </w:p>
        </w:tc>
        <w:tc>
          <w:tcPr>
            <w:tcW w:w="1134"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6m</w:t>
            </w:r>
          </w:p>
        </w:tc>
        <w:tc>
          <w:tcPr>
            <w:tcW w:w="1191"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K-SADS</w:t>
            </w:r>
          </w:p>
        </w:tc>
        <w:tc>
          <w:tcPr>
            <w:tcW w:w="906"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14</w:t>
            </w:r>
          </w:p>
        </w:tc>
        <w:tc>
          <w:tcPr>
            <w:tcW w:w="795"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Yes</w:t>
            </w:r>
          </w:p>
        </w:tc>
        <w:tc>
          <w:tcPr>
            <w:tcW w:w="850" w:type="dxa"/>
          </w:tcPr>
          <w:p w:rsidR="00415BFD" w:rsidRPr="00AB4B2F" w:rsidRDefault="00415BFD" w:rsidP="00DE649A">
            <w:pPr>
              <w:pStyle w:val="Tabletext"/>
              <w:cnfStyle w:val="000000010000" w:firstRow="0" w:lastRow="0" w:firstColumn="0" w:lastColumn="0" w:oddVBand="0" w:evenVBand="0" w:oddHBand="0" w:evenHBand="1" w:firstRowFirstColumn="0" w:firstRowLastColumn="0" w:lastRowFirstColumn="0" w:lastRowLastColumn="0"/>
            </w:pPr>
            <w:r>
              <w:rPr>
                <w:noProof/>
              </w:rPr>
              <w:t>[57]</w:t>
            </w:r>
          </w:p>
        </w:tc>
      </w:tr>
      <w:tr w:rsidR="00415BFD" w:rsidRPr="00AB4B2F" w:rsidTr="007B24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7" w:type="dxa"/>
          </w:tcPr>
          <w:p w:rsidR="00415BFD" w:rsidRPr="00AB4B2F" w:rsidRDefault="00415BFD" w:rsidP="00AB4B2F">
            <w:pPr>
              <w:pStyle w:val="Tabletext"/>
            </w:pPr>
            <w:r w:rsidRPr="00AB4B2F">
              <w:lastRenderedPageBreak/>
              <w:t>Sheffield 2006b</w:t>
            </w:r>
          </w:p>
        </w:tc>
        <w:tc>
          <w:tcPr>
            <w:tcW w:w="964"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Australia</w:t>
            </w:r>
          </w:p>
        </w:tc>
        <w:tc>
          <w:tcPr>
            <w:tcW w:w="905"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739</w:t>
            </w:r>
          </w:p>
        </w:tc>
        <w:tc>
          <w:tcPr>
            <w:tcW w:w="850"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NR</w:t>
            </w:r>
          </w:p>
        </w:tc>
        <w:tc>
          <w:tcPr>
            <w:tcW w:w="1020"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Yes</w:t>
            </w:r>
          </w:p>
        </w:tc>
        <w:tc>
          <w:tcPr>
            <w:tcW w:w="2381"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CBT-based program that teaches interpersonal skills (e.g. assertion, conflict resolution, negotiation)</w:t>
            </w:r>
          </w:p>
        </w:tc>
        <w:tc>
          <w:tcPr>
            <w:tcW w:w="1077"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H Prof</w:t>
            </w:r>
          </w:p>
        </w:tc>
        <w:tc>
          <w:tcPr>
            <w:tcW w:w="907"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TAU</w:t>
            </w:r>
          </w:p>
        </w:tc>
        <w:tc>
          <w:tcPr>
            <w:tcW w:w="1134"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1y</w:t>
            </w:r>
          </w:p>
        </w:tc>
        <w:tc>
          <w:tcPr>
            <w:tcW w:w="1191"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ADIS-C</w:t>
            </w:r>
          </w:p>
        </w:tc>
        <w:tc>
          <w:tcPr>
            <w:tcW w:w="906"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15</w:t>
            </w:r>
          </w:p>
        </w:tc>
        <w:tc>
          <w:tcPr>
            <w:tcW w:w="795"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NR</w:t>
            </w:r>
          </w:p>
        </w:tc>
        <w:tc>
          <w:tcPr>
            <w:tcW w:w="850" w:type="dxa"/>
          </w:tcPr>
          <w:p w:rsidR="00415BFD" w:rsidRPr="00AB4B2F" w:rsidRDefault="00415BFD" w:rsidP="00DE649A">
            <w:pPr>
              <w:pStyle w:val="Tabletext"/>
              <w:cnfStyle w:val="000000100000" w:firstRow="0" w:lastRow="0" w:firstColumn="0" w:lastColumn="0" w:oddVBand="0" w:evenVBand="0" w:oddHBand="1" w:evenHBand="0" w:firstRowFirstColumn="0" w:firstRowLastColumn="0" w:lastRowFirstColumn="0" w:lastRowLastColumn="0"/>
            </w:pPr>
            <w:r>
              <w:rPr>
                <w:noProof/>
              </w:rPr>
              <w:t>[58]</w:t>
            </w:r>
          </w:p>
        </w:tc>
      </w:tr>
      <w:tr w:rsidR="00415BFD" w:rsidRPr="00AB4B2F" w:rsidTr="007B246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7" w:type="dxa"/>
          </w:tcPr>
          <w:p w:rsidR="00415BFD" w:rsidRPr="00AB4B2F" w:rsidRDefault="00415BFD" w:rsidP="00AB4B2F">
            <w:pPr>
              <w:pStyle w:val="Tabletext"/>
            </w:pPr>
            <w:r w:rsidRPr="00AB4B2F">
              <w:t>Stice 2008a</w:t>
            </w:r>
          </w:p>
        </w:tc>
        <w:tc>
          <w:tcPr>
            <w:tcW w:w="964"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US</w:t>
            </w:r>
          </w:p>
        </w:tc>
        <w:tc>
          <w:tcPr>
            <w:tcW w:w="905"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341</w:t>
            </w:r>
          </w:p>
        </w:tc>
        <w:tc>
          <w:tcPr>
            <w:tcW w:w="850"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14-19</w:t>
            </w:r>
          </w:p>
        </w:tc>
        <w:tc>
          <w:tcPr>
            <w:tcW w:w="1020"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Yes</w:t>
            </w:r>
          </w:p>
        </w:tc>
        <w:tc>
          <w:tcPr>
            <w:tcW w:w="2381" w:type="dxa"/>
          </w:tcPr>
          <w:p w:rsidR="00415BFD" w:rsidRPr="00AB4B2F" w:rsidRDefault="00415BFD" w:rsidP="004B2425">
            <w:pPr>
              <w:pStyle w:val="Tabletext"/>
              <w:cnfStyle w:val="000000010000" w:firstRow="0" w:lastRow="0" w:firstColumn="0" w:lastColumn="0" w:oddVBand="0" w:evenVBand="0" w:oddHBand="0" w:evenHBand="1" w:firstRowFirstColumn="0" w:firstRowLastColumn="0" w:lastRowFirstColumn="0" w:lastRowLastColumn="0"/>
            </w:pPr>
            <w:r w:rsidRPr="00AB4B2F">
              <w:t xml:space="preserve">CBT-based program </w:t>
            </w:r>
            <w:r>
              <w:t>with</w:t>
            </w:r>
            <w:r w:rsidRPr="00AB4B2F">
              <w:t xml:space="preserve"> applied and interactive learning, homework tasks to apply skills in daily life</w:t>
            </w:r>
          </w:p>
        </w:tc>
        <w:tc>
          <w:tcPr>
            <w:tcW w:w="1077"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H Prof</w:t>
            </w:r>
          </w:p>
        </w:tc>
        <w:tc>
          <w:tcPr>
            <w:tcW w:w="907"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NI</w:t>
            </w:r>
          </w:p>
        </w:tc>
        <w:tc>
          <w:tcPr>
            <w:tcW w:w="1134"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6m; 2y</w:t>
            </w:r>
          </w:p>
        </w:tc>
        <w:tc>
          <w:tcPr>
            <w:tcW w:w="1191"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K-SADS</w:t>
            </w:r>
          </w:p>
        </w:tc>
        <w:tc>
          <w:tcPr>
            <w:tcW w:w="906"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17</w:t>
            </w:r>
          </w:p>
        </w:tc>
        <w:tc>
          <w:tcPr>
            <w:tcW w:w="795"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Yes</w:t>
            </w:r>
          </w:p>
        </w:tc>
        <w:tc>
          <w:tcPr>
            <w:tcW w:w="850" w:type="dxa"/>
          </w:tcPr>
          <w:p w:rsidR="00415BFD" w:rsidRPr="00AB4B2F" w:rsidRDefault="00415BFD" w:rsidP="00DE649A">
            <w:pPr>
              <w:pStyle w:val="Tabletext"/>
              <w:cnfStyle w:val="000000010000" w:firstRow="0" w:lastRow="0" w:firstColumn="0" w:lastColumn="0" w:oddVBand="0" w:evenVBand="0" w:oddHBand="0" w:evenHBand="1" w:firstRowFirstColumn="0" w:firstRowLastColumn="0" w:lastRowFirstColumn="0" w:lastRowLastColumn="0"/>
            </w:pPr>
            <w:r>
              <w:rPr>
                <w:noProof/>
              </w:rPr>
              <w:t>[59]</w:t>
            </w:r>
          </w:p>
        </w:tc>
      </w:tr>
      <w:tr w:rsidR="00415BFD" w:rsidRPr="00AB4B2F" w:rsidTr="007B24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7" w:type="dxa"/>
          </w:tcPr>
          <w:p w:rsidR="00415BFD" w:rsidRPr="00AB4B2F" w:rsidRDefault="00415BFD" w:rsidP="00AB4B2F">
            <w:pPr>
              <w:pStyle w:val="Tabletext"/>
            </w:pPr>
            <w:r w:rsidRPr="00AB4B2F">
              <w:t>Stice 2008b</w:t>
            </w:r>
          </w:p>
        </w:tc>
        <w:tc>
          <w:tcPr>
            <w:tcW w:w="964"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US</w:t>
            </w:r>
          </w:p>
        </w:tc>
        <w:tc>
          <w:tcPr>
            <w:tcW w:w="905"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341</w:t>
            </w:r>
          </w:p>
        </w:tc>
        <w:tc>
          <w:tcPr>
            <w:tcW w:w="850"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14-19</w:t>
            </w:r>
          </w:p>
        </w:tc>
        <w:tc>
          <w:tcPr>
            <w:tcW w:w="1020"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Yes</w:t>
            </w:r>
          </w:p>
        </w:tc>
        <w:tc>
          <w:tcPr>
            <w:tcW w:w="2381" w:type="dxa"/>
          </w:tcPr>
          <w:p w:rsidR="00415BFD" w:rsidRPr="00AB4B2F" w:rsidRDefault="00415BFD" w:rsidP="004B2425">
            <w:pPr>
              <w:pStyle w:val="Tabletext"/>
              <w:cnfStyle w:val="000000100000" w:firstRow="0" w:lastRow="0" w:firstColumn="0" w:lastColumn="0" w:oddVBand="0" w:evenVBand="0" w:oddHBand="1" w:evenHBand="0" w:firstRowFirstColumn="0" w:firstRowLastColumn="0" w:lastRowFirstColumn="0" w:lastRowLastColumn="0"/>
            </w:pPr>
            <w:r w:rsidRPr="00AB4B2F">
              <w:t>Supportive-expressive program that sought to establish rapport, provide support, help identify and express feelings; but did not focus on speci</w:t>
            </w:r>
            <w:r>
              <w:t>f</w:t>
            </w:r>
            <w:r w:rsidRPr="00AB4B2F">
              <w:t>ic skills.</w:t>
            </w:r>
          </w:p>
        </w:tc>
        <w:tc>
          <w:tcPr>
            <w:tcW w:w="1077"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H Prof</w:t>
            </w:r>
          </w:p>
        </w:tc>
        <w:tc>
          <w:tcPr>
            <w:tcW w:w="907"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NI</w:t>
            </w:r>
          </w:p>
        </w:tc>
        <w:tc>
          <w:tcPr>
            <w:tcW w:w="1134"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6m; 2y</w:t>
            </w:r>
          </w:p>
        </w:tc>
        <w:tc>
          <w:tcPr>
            <w:tcW w:w="1191"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K-SADS</w:t>
            </w:r>
          </w:p>
        </w:tc>
        <w:tc>
          <w:tcPr>
            <w:tcW w:w="906"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17</w:t>
            </w:r>
          </w:p>
        </w:tc>
        <w:tc>
          <w:tcPr>
            <w:tcW w:w="795"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Yes</w:t>
            </w:r>
          </w:p>
        </w:tc>
        <w:tc>
          <w:tcPr>
            <w:tcW w:w="850" w:type="dxa"/>
          </w:tcPr>
          <w:p w:rsidR="00415BFD" w:rsidRPr="00AB4B2F" w:rsidRDefault="00415BFD" w:rsidP="00DE649A">
            <w:pPr>
              <w:pStyle w:val="Tabletext"/>
              <w:cnfStyle w:val="000000100000" w:firstRow="0" w:lastRow="0" w:firstColumn="0" w:lastColumn="0" w:oddVBand="0" w:evenVBand="0" w:oddHBand="1" w:evenHBand="0" w:firstRowFirstColumn="0" w:firstRowLastColumn="0" w:lastRowFirstColumn="0" w:lastRowLastColumn="0"/>
            </w:pPr>
            <w:r>
              <w:rPr>
                <w:noProof/>
              </w:rPr>
              <w:t>[59]</w:t>
            </w:r>
          </w:p>
        </w:tc>
      </w:tr>
      <w:tr w:rsidR="00415BFD" w:rsidRPr="00AB4B2F" w:rsidTr="007B246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7" w:type="dxa"/>
          </w:tcPr>
          <w:p w:rsidR="00415BFD" w:rsidRPr="00AB4B2F" w:rsidRDefault="00415BFD" w:rsidP="00AB4B2F">
            <w:pPr>
              <w:pStyle w:val="Tabletext"/>
            </w:pPr>
            <w:r w:rsidRPr="00AB4B2F">
              <w:t>Stice 2008c</w:t>
            </w:r>
          </w:p>
        </w:tc>
        <w:tc>
          <w:tcPr>
            <w:tcW w:w="964"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US</w:t>
            </w:r>
          </w:p>
        </w:tc>
        <w:tc>
          <w:tcPr>
            <w:tcW w:w="905"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341</w:t>
            </w:r>
          </w:p>
        </w:tc>
        <w:tc>
          <w:tcPr>
            <w:tcW w:w="850"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14-19</w:t>
            </w:r>
          </w:p>
        </w:tc>
        <w:tc>
          <w:tcPr>
            <w:tcW w:w="1020"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Yes</w:t>
            </w:r>
          </w:p>
        </w:tc>
        <w:tc>
          <w:tcPr>
            <w:tcW w:w="2381"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Bibliotherapy: students given "Feeling Good" book by David Burns</w:t>
            </w:r>
          </w:p>
        </w:tc>
        <w:tc>
          <w:tcPr>
            <w:tcW w:w="1077"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H Prof</w:t>
            </w:r>
          </w:p>
        </w:tc>
        <w:tc>
          <w:tcPr>
            <w:tcW w:w="907"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NI</w:t>
            </w:r>
          </w:p>
        </w:tc>
        <w:tc>
          <w:tcPr>
            <w:tcW w:w="1134"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6m; 2y</w:t>
            </w:r>
          </w:p>
        </w:tc>
        <w:tc>
          <w:tcPr>
            <w:tcW w:w="1191"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K-SADS</w:t>
            </w:r>
          </w:p>
        </w:tc>
        <w:tc>
          <w:tcPr>
            <w:tcW w:w="906"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17</w:t>
            </w:r>
          </w:p>
        </w:tc>
        <w:tc>
          <w:tcPr>
            <w:tcW w:w="795" w:type="dxa"/>
          </w:tcPr>
          <w:p w:rsidR="00415BFD" w:rsidRPr="00AB4B2F" w:rsidRDefault="00415BFD" w:rsidP="00AB4B2F">
            <w:pPr>
              <w:pStyle w:val="Tabletext"/>
              <w:cnfStyle w:val="000000010000" w:firstRow="0" w:lastRow="0" w:firstColumn="0" w:lastColumn="0" w:oddVBand="0" w:evenVBand="0" w:oddHBand="0" w:evenHBand="1" w:firstRowFirstColumn="0" w:firstRowLastColumn="0" w:lastRowFirstColumn="0" w:lastRowLastColumn="0"/>
            </w:pPr>
            <w:r w:rsidRPr="00AB4B2F">
              <w:t>Yes</w:t>
            </w:r>
          </w:p>
        </w:tc>
        <w:tc>
          <w:tcPr>
            <w:tcW w:w="850" w:type="dxa"/>
          </w:tcPr>
          <w:p w:rsidR="00415BFD" w:rsidRPr="00AB4B2F" w:rsidRDefault="00415BFD" w:rsidP="00DE649A">
            <w:pPr>
              <w:pStyle w:val="Tabletext"/>
              <w:cnfStyle w:val="000000010000" w:firstRow="0" w:lastRow="0" w:firstColumn="0" w:lastColumn="0" w:oddVBand="0" w:evenVBand="0" w:oddHBand="0" w:evenHBand="1" w:firstRowFirstColumn="0" w:firstRowLastColumn="0" w:lastRowFirstColumn="0" w:lastRowLastColumn="0"/>
            </w:pPr>
            <w:r>
              <w:rPr>
                <w:noProof/>
              </w:rPr>
              <w:t>[59]</w:t>
            </w:r>
          </w:p>
        </w:tc>
      </w:tr>
      <w:tr w:rsidR="00415BFD" w:rsidRPr="00AB4B2F" w:rsidTr="007B246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47" w:type="dxa"/>
          </w:tcPr>
          <w:p w:rsidR="00415BFD" w:rsidRPr="00AB4B2F" w:rsidRDefault="00415BFD" w:rsidP="00AB4B2F">
            <w:pPr>
              <w:pStyle w:val="Tabletext"/>
            </w:pPr>
            <w:r w:rsidRPr="00AB4B2F">
              <w:t>Young  2006</w:t>
            </w:r>
          </w:p>
        </w:tc>
        <w:tc>
          <w:tcPr>
            <w:tcW w:w="964"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US</w:t>
            </w:r>
          </w:p>
        </w:tc>
        <w:tc>
          <w:tcPr>
            <w:tcW w:w="905"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41</w:t>
            </w:r>
          </w:p>
        </w:tc>
        <w:tc>
          <w:tcPr>
            <w:tcW w:w="850"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11-16</w:t>
            </w:r>
          </w:p>
        </w:tc>
        <w:tc>
          <w:tcPr>
            <w:tcW w:w="1020"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Yes</w:t>
            </w:r>
          </w:p>
        </w:tc>
        <w:tc>
          <w:tcPr>
            <w:tcW w:w="2381"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Teen Talk: program based on Interpersonal Psychotherapy Adolescent Skills Training (IPT-AST)</w:t>
            </w:r>
          </w:p>
        </w:tc>
        <w:tc>
          <w:tcPr>
            <w:tcW w:w="1077"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H Prof</w:t>
            </w:r>
          </w:p>
        </w:tc>
        <w:tc>
          <w:tcPr>
            <w:tcW w:w="907"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TAU</w:t>
            </w:r>
          </w:p>
        </w:tc>
        <w:tc>
          <w:tcPr>
            <w:tcW w:w="1134"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PI; 6m</w:t>
            </w:r>
          </w:p>
        </w:tc>
        <w:tc>
          <w:tcPr>
            <w:tcW w:w="1191"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K-SADS-PL</w:t>
            </w:r>
          </w:p>
        </w:tc>
        <w:tc>
          <w:tcPr>
            <w:tcW w:w="906"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19</w:t>
            </w:r>
          </w:p>
        </w:tc>
        <w:tc>
          <w:tcPr>
            <w:tcW w:w="795" w:type="dxa"/>
          </w:tcPr>
          <w:p w:rsidR="00415BFD" w:rsidRPr="00AB4B2F" w:rsidRDefault="00415BFD" w:rsidP="00AB4B2F">
            <w:pPr>
              <w:pStyle w:val="Tabletext"/>
              <w:cnfStyle w:val="000000100000" w:firstRow="0" w:lastRow="0" w:firstColumn="0" w:lastColumn="0" w:oddVBand="0" w:evenVBand="0" w:oddHBand="1" w:evenHBand="0" w:firstRowFirstColumn="0" w:firstRowLastColumn="0" w:lastRowFirstColumn="0" w:lastRowLastColumn="0"/>
            </w:pPr>
            <w:r w:rsidRPr="00AB4B2F">
              <w:t>Yes</w:t>
            </w:r>
          </w:p>
        </w:tc>
        <w:tc>
          <w:tcPr>
            <w:tcW w:w="850" w:type="dxa"/>
          </w:tcPr>
          <w:p w:rsidR="00415BFD" w:rsidRPr="00AB4B2F" w:rsidRDefault="00415BFD" w:rsidP="00DE649A">
            <w:pPr>
              <w:pStyle w:val="Tabletext"/>
              <w:cnfStyle w:val="000000100000" w:firstRow="0" w:lastRow="0" w:firstColumn="0" w:lastColumn="0" w:oddVBand="0" w:evenVBand="0" w:oddHBand="1" w:evenHBand="0" w:firstRowFirstColumn="0" w:firstRowLastColumn="0" w:lastRowFirstColumn="0" w:lastRowLastColumn="0"/>
            </w:pPr>
            <w:r>
              <w:rPr>
                <w:noProof/>
              </w:rPr>
              <w:t>[60]</w:t>
            </w:r>
          </w:p>
        </w:tc>
      </w:tr>
    </w:tbl>
    <w:p w:rsidR="00415BFD" w:rsidRDefault="00415BFD" w:rsidP="00D3321E">
      <w:pPr>
        <w:pStyle w:val="Tabletext"/>
        <w:rPr>
          <w:i/>
        </w:rPr>
      </w:pPr>
      <w:r w:rsidRPr="00575D94">
        <w:rPr>
          <w:b/>
          <w:i/>
        </w:rPr>
        <w:t>Abbreviations:</w:t>
      </w:r>
      <w:r w:rsidRPr="00244153">
        <w:rPr>
          <w:i/>
        </w:rPr>
        <w:t xml:space="preserve"> 1y – 1 year; 2y – 2 years; 6m – 6 months; AC – Attention Control; ADIS-C – Anxiety Disorders Interview Schedule for Children; CAS – Child Assessment Schedule; CDI – Children's Depression Inventory; H Prof – Health Professional; ITT – Intention-to-treat; K-SADS – Kiddie Schedule for Affective Disorders and Schizophrenia; K-SADS-PL – Kiddie SADS Present and Lifetime Version; NI – No intervention; NR – Not reported; PI – Post-intervention; TAU – Treatment-as-usual; Yr – Year.</w:t>
      </w:r>
    </w:p>
    <w:p w:rsidR="00415BFD" w:rsidRDefault="00415BFD" w:rsidP="00D3321E">
      <w:pPr>
        <w:pStyle w:val="Tabletext"/>
      </w:pPr>
      <w:r>
        <w:rPr>
          <w:rFonts w:cs="Arial"/>
          <w:i/>
          <w:sz w:val="16"/>
          <w:szCs w:val="18"/>
          <w:vertAlign w:val="superscript"/>
        </w:rPr>
        <w:t>a</w:t>
      </w:r>
      <w:r w:rsidRPr="00C70B7E">
        <w:rPr>
          <w:i/>
        </w:rPr>
        <w:t xml:space="preserve"> </w:t>
      </w:r>
      <w:r>
        <w:rPr>
          <w:i/>
        </w:rPr>
        <w:t xml:space="preserve">Depression symptom rating scales are denoted by an inequality to right of the scale, which indicates the cut-off score used to identify depression cases (e.g., </w:t>
      </w:r>
      <w:r w:rsidRPr="0078335D">
        <w:rPr>
          <w:i/>
        </w:rPr>
        <w:t>CDI ≥15</w:t>
      </w:r>
      <w:r>
        <w:rPr>
          <w:i/>
        </w:rPr>
        <w:t>).</w:t>
      </w:r>
    </w:p>
    <w:p w:rsidR="00415BFD" w:rsidRDefault="00415BFD" w:rsidP="001B1CC9">
      <w:pPr>
        <w:rPr>
          <w:lang w:bidi="ar-SA"/>
        </w:rPr>
        <w:sectPr w:rsidR="00415BFD" w:rsidSect="001B1CC9">
          <w:footnotePr>
            <w:numFmt w:val="chicago"/>
            <w:numStart w:val="2"/>
          </w:footnotePr>
          <w:pgSz w:w="16838" w:h="11906" w:orient="landscape"/>
          <w:pgMar w:top="1440" w:right="1440" w:bottom="1440" w:left="1440" w:header="510" w:footer="567" w:gutter="0"/>
          <w:cols w:space="708"/>
          <w:titlePg/>
          <w:docGrid w:linePitch="360"/>
        </w:sectPr>
      </w:pPr>
    </w:p>
    <w:p w:rsidR="00415BFD" w:rsidRDefault="00415BFD" w:rsidP="006231F1">
      <w:pPr>
        <w:pStyle w:val="Heading3"/>
      </w:pPr>
      <w:bookmarkStart w:id="35" w:name="_Ref450826576"/>
      <w:bookmarkStart w:id="36" w:name="_Toc452066390"/>
      <w:r>
        <w:lastRenderedPageBreak/>
        <w:t>Intervention effect sizes for universal psychological intervention</w:t>
      </w:r>
      <w:bookmarkEnd w:id="35"/>
      <w:bookmarkEnd w:id="36"/>
    </w:p>
    <w:p w:rsidR="00415BFD" w:rsidRDefault="00415BFD" w:rsidP="006231F1">
      <w:r>
        <w:t xml:space="preserve">We calculated effect sizes (expressed as a risk ratio) for universal prevention in schools, across four consecutive follow-up points using available data from the RCT study arms listed in </w:t>
      </w:r>
      <w:r>
        <w:fldChar w:fldCharType="begin"/>
      </w:r>
      <w:r>
        <w:instrText xml:space="preserve"> REF _Ref432884016 \r \h </w:instrText>
      </w:r>
      <w:r>
        <w:fldChar w:fldCharType="separate"/>
      </w:r>
      <w:r>
        <w:t>Table 5</w:t>
      </w:r>
      <w:r>
        <w:fldChar w:fldCharType="end"/>
      </w:r>
      <w:r>
        <w:t xml:space="preserve"> (see column titled ‘Data available for these follow-up points’). The pooled effect sizes were:</w:t>
      </w:r>
    </w:p>
    <w:p w:rsidR="00415BFD" w:rsidRDefault="00415BFD" w:rsidP="006231F1"/>
    <w:p w:rsidR="00415BFD" w:rsidRPr="00844EEE" w:rsidRDefault="00415BFD" w:rsidP="00196191">
      <w:pPr>
        <w:pStyle w:val="Explanatorytextmargins"/>
      </w:pPr>
      <w:r w:rsidRPr="00844EEE">
        <w:t xml:space="preserve">Post-treatment. </w:t>
      </w:r>
      <w:r w:rsidRPr="00844EEE">
        <w:tab/>
        <w:t>RR = 0.81 (95% CI: 0.48 - 1.38) based on 8 study arms [44,45,49-52].</w:t>
      </w:r>
    </w:p>
    <w:p w:rsidR="00415BFD" w:rsidRPr="00844EEE" w:rsidRDefault="00415BFD" w:rsidP="00196191">
      <w:pPr>
        <w:pStyle w:val="Explanatorytextmargins"/>
      </w:pPr>
      <w:r w:rsidRPr="00844EEE">
        <w:t>6 months follow-up.      RR = 0.59 (95% CI: 0.43 - 0.80) based on 10 study arms [45,46,48-52].</w:t>
      </w:r>
    </w:p>
    <w:p w:rsidR="00415BFD" w:rsidRPr="00844EEE" w:rsidRDefault="00415BFD" w:rsidP="00196191">
      <w:pPr>
        <w:pStyle w:val="Explanatorytextmargins"/>
      </w:pPr>
      <w:r w:rsidRPr="00844EEE">
        <w:t>1 year follow-up.             RR = 0.99 (95% CI: 0.77 - 1.27) based on 6 study arms [44,45,47,52].</w:t>
      </w:r>
    </w:p>
    <w:p w:rsidR="00415BFD" w:rsidRPr="00844EEE" w:rsidRDefault="00415BFD" w:rsidP="00196191">
      <w:pPr>
        <w:pStyle w:val="Explanatorytextmargins"/>
      </w:pPr>
      <w:r w:rsidRPr="00844EEE">
        <w:t>2 years follow-up.           RR = 1.03 (95% CI: 0.81 - 1.31) based on 5 study arms [44,45,50,51].</w:t>
      </w:r>
    </w:p>
    <w:p w:rsidR="00415BFD" w:rsidRDefault="00415BFD" w:rsidP="006231F1"/>
    <w:p w:rsidR="00415BFD" w:rsidRDefault="00415BFD" w:rsidP="00F7113D">
      <w:pPr>
        <w:rPr>
          <w:lang w:bidi="ar-SA"/>
        </w:rPr>
      </w:pPr>
      <w:r>
        <w:t xml:space="preserve">The inclusion criteria for our baseline decision-analytic model (see section </w:t>
      </w:r>
      <w:r>
        <w:fldChar w:fldCharType="begin"/>
      </w:r>
      <w:r>
        <w:instrText xml:space="preserve"> REF _Ref451338590 \r \h </w:instrText>
      </w:r>
      <w:r>
        <w:fldChar w:fldCharType="separate"/>
      </w:r>
      <w:r>
        <w:t>1.2</w:t>
      </w:r>
      <w:r>
        <w:fldChar w:fldCharType="end"/>
      </w:r>
      <w:r>
        <w:t xml:space="preserve">) encompassed intervention effect sizes that reached a 5% level of significance. From the results above, we found that only the intervention effect size at 6 months follow-up was statistically significant. As such, the impact of universal prevention interventions on the incidence of depression in the population would only apply to the period between 6-months to 1-year; with a null effect size (RR = 1.0) being applied to all remaining time points in the model time horizon (i.e., between 0-6 months and between 1-10 years). </w:t>
      </w:r>
      <w:r>
        <w:rPr>
          <w:lang w:bidi="ar-SA"/>
        </w:rPr>
        <w:t>Forest plots of the pooled intervention effect sizes are provided below in Figures 1 to 4.</w:t>
      </w:r>
    </w:p>
    <w:p w:rsidR="00415BFD" w:rsidRDefault="00415BFD" w:rsidP="00F7113D">
      <w:pPr>
        <w:rPr>
          <w:lang w:bidi="ar-SA"/>
        </w:rPr>
      </w:pPr>
    </w:p>
    <w:p w:rsidR="00415BFD" w:rsidRDefault="00415BFD" w:rsidP="00F7113D">
      <w:pPr>
        <w:rPr>
          <w:lang w:bidi="ar-SA"/>
        </w:rPr>
      </w:pPr>
    </w:p>
    <w:p w:rsidR="00415BFD" w:rsidRPr="000652FB" w:rsidRDefault="00415BFD" w:rsidP="00415BFD">
      <w:pPr>
        <w:pStyle w:val="MyFigure"/>
        <w:numPr>
          <w:ilvl w:val="4"/>
          <w:numId w:val="9"/>
        </w:numPr>
      </w:pPr>
      <w:bookmarkStart w:id="37" w:name="_Ref451338886"/>
      <w:bookmarkStart w:id="38" w:name="_Toc452066427"/>
      <w:r>
        <w:t>Forest plot of independent study arms used to calculate the effect size of universal psychological intervention at post-intervention</w:t>
      </w:r>
      <w:bookmarkEnd w:id="37"/>
      <w:bookmarkEnd w:id="38"/>
    </w:p>
    <w:p w:rsidR="00415BFD" w:rsidRDefault="00415BFD" w:rsidP="008E6C5D">
      <w:pPr>
        <w:jc w:val="center"/>
        <w:rPr>
          <w:lang w:bidi="ar-SA"/>
        </w:rPr>
      </w:pPr>
      <w:r>
        <w:rPr>
          <w:noProof/>
          <w:lang w:eastAsia="en-AU" w:bidi="ar-SA"/>
        </w:rPr>
        <w:drawing>
          <wp:inline distT="0" distB="0" distL="0" distR="0" wp14:anchorId="5B035494" wp14:editId="29D09B0B">
            <wp:extent cx="4644000" cy="2957266"/>
            <wp:effectExtent l="19050" t="1905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4000" cy="2957266"/>
                    </a:xfrm>
                    <a:prstGeom prst="rect">
                      <a:avLst/>
                    </a:prstGeom>
                    <a:noFill/>
                    <a:ln>
                      <a:solidFill>
                        <a:schemeClr val="tx1">
                          <a:lumMod val="50000"/>
                          <a:lumOff val="50000"/>
                        </a:schemeClr>
                      </a:solidFill>
                    </a:ln>
                  </pic:spPr>
                </pic:pic>
              </a:graphicData>
            </a:graphic>
          </wp:inline>
        </w:drawing>
      </w:r>
      <w:r>
        <w:rPr>
          <w:lang w:bidi="ar-SA"/>
        </w:rPr>
        <w:br w:type="page"/>
      </w:r>
    </w:p>
    <w:p w:rsidR="00415BFD" w:rsidRDefault="00415BFD" w:rsidP="00415BFD">
      <w:pPr>
        <w:pStyle w:val="MyFigure"/>
        <w:numPr>
          <w:ilvl w:val="4"/>
          <w:numId w:val="9"/>
        </w:numPr>
      </w:pPr>
      <w:bookmarkStart w:id="39" w:name="_Toc452066428"/>
      <w:r>
        <w:lastRenderedPageBreak/>
        <w:t>Forest plot of independent study arms used to calculate the effect size of universal psychological intervention at 6 months follow-up</w:t>
      </w:r>
      <w:bookmarkEnd w:id="39"/>
    </w:p>
    <w:p w:rsidR="00415BFD" w:rsidRDefault="00415BFD" w:rsidP="000652FB">
      <w:pPr>
        <w:jc w:val="center"/>
        <w:rPr>
          <w:lang w:bidi="ar-SA"/>
        </w:rPr>
      </w:pPr>
      <w:r>
        <w:rPr>
          <w:noProof/>
          <w:lang w:eastAsia="en-AU" w:bidi="ar-SA"/>
        </w:rPr>
        <w:drawing>
          <wp:inline distT="0" distB="0" distL="0" distR="0" wp14:anchorId="42D8B057" wp14:editId="0DF1CE0E">
            <wp:extent cx="5004000" cy="3714546"/>
            <wp:effectExtent l="19050" t="19050" r="635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4000" cy="3714546"/>
                    </a:xfrm>
                    <a:prstGeom prst="rect">
                      <a:avLst/>
                    </a:prstGeom>
                    <a:noFill/>
                    <a:ln>
                      <a:solidFill>
                        <a:schemeClr val="tx1">
                          <a:lumMod val="50000"/>
                          <a:lumOff val="50000"/>
                        </a:schemeClr>
                      </a:solidFill>
                    </a:ln>
                  </pic:spPr>
                </pic:pic>
              </a:graphicData>
            </a:graphic>
          </wp:inline>
        </w:drawing>
      </w:r>
    </w:p>
    <w:p w:rsidR="00415BFD" w:rsidRDefault="00415BFD" w:rsidP="00F7113D">
      <w:pPr>
        <w:rPr>
          <w:lang w:eastAsia="en-AU"/>
        </w:rPr>
      </w:pPr>
    </w:p>
    <w:p w:rsidR="00415BFD" w:rsidRDefault="00415BFD" w:rsidP="00F7113D">
      <w:pPr>
        <w:rPr>
          <w:lang w:eastAsia="en-AU"/>
        </w:rPr>
      </w:pPr>
    </w:p>
    <w:p w:rsidR="00415BFD" w:rsidRDefault="00415BFD" w:rsidP="00415BFD">
      <w:pPr>
        <w:pStyle w:val="MyFigure"/>
        <w:numPr>
          <w:ilvl w:val="4"/>
          <w:numId w:val="9"/>
        </w:numPr>
      </w:pPr>
      <w:bookmarkStart w:id="40" w:name="_Toc452066429"/>
      <w:r>
        <w:t>Forest plot of independent study arms used to calculate the effect size of universal psychological intervention at 1 year follow-up</w:t>
      </w:r>
      <w:bookmarkEnd w:id="40"/>
    </w:p>
    <w:p w:rsidR="00415BFD" w:rsidRDefault="00415BFD" w:rsidP="000652FB">
      <w:pPr>
        <w:jc w:val="center"/>
        <w:rPr>
          <w:lang w:bidi="ar-SA"/>
        </w:rPr>
      </w:pPr>
      <w:r>
        <w:rPr>
          <w:noProof/>
          <w:lang w:eastAsia="en-AU" w:bidi="ar-SA"/>
        </w:rPr>
        <w:drawing>
          <wp:inline distT="0" distB="0" distL="0" distR="0" wp14:anchorId="107A9767" wp14:editId="4A0EF341">
            <wp:extent cx="5004000" cy="2999311"/>
            <wp:effectExtent l="19050" t="1905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4000" cy="2999311"/>
                    </a:xfrm>
                    <a:prstGeom prst="rect">
                      <a:avLst/>
                    </a:prstGeom>
                    <a:noFill/>
                    <a:ln>
                      <a:solidFill>
                        <a:schemeClr val="tx1">
                          <a:lumMod val="50000"/>
                          <a:lumOff val="50000"/>
                        </a:schemeClr>
                      </a:solidFill>
                    </a:ln>
                  </pic:spPr>
                </pic:pic>
              </a:graphicData>
            </a:graphic>
          </wp:inline>
        </w:drawing>
      </w:r>
    </w:p>
    <w:p w:rsidR="00415BFD" w:rsidRDefault="00415BFD" w:rsidP="00C62C3E">
      <w:pPr>
        <w:rPr>
          <w:lang w:bidi="ar-SA"/>
        </w:rPr>
      </w:pPr>
    </w:p>
    <w:p w:rsidR="00415BFD" w:rsidRDefault="00415BFD">
      <w:pPr>
        <w:spacing w:line="240" w:lineRule="auto"/>
        <w:jc w:val="left"/>
        <w:rPr>
          <w:lang w:bidi="ar-SA"/>
        </w:rPr>
      </w:pPr>
      <w:r>
        <w:rPr>
          <w:lang w:bidi="ar-SA"/>
        </w:rPr>
        <w:br w:type="page"/>
      </w:r>
    </w:p>
    <w:p w:rsidR="00415BFD" w:rsidRDefault="00415BFD" w:rsidP="00415BFD">
      <w:pPr>
        <w:pStyle w:val="MyFigure"/>
        <w:numPr>
          <w:ilvl w:val="4"/>
          <w:numId w:val="9"/>
        </w:numPr>
      </w:pPr>
      <w:bookmarkStart w:id="41" w:name="_Toc452066430"/>
      <w:r>
        <w:lastRenderedPageBreak/>
        <w:t>Forest plot of independent study arms used to calculate the effect size of universal psychological intervention at 2 years follow-up</w:t>
      </w:r>
      <w:bookmarkEnd w:id="41"/>
    </w:p>
    <w:p w:rsidR="00415BFD" w:rsidRDefault="00415BFD" w:rsidP="000652FB">
      <w:pPr>
        <w:jc w:val="center"/>
        <w:rPr>
          <w:lang w:bidi="ar-SA"/>
        </w:rPr>
      </w:pPr>
      <w:r>
        <w:rPr>
          <w:noProof/>
          <w:lang w:eastAsia="en-AU" w:bidi="ar-SA"/>
        </w:rPr>
        <w:drawing>
          <wp:inline distT="0" distB="0" distL="0" distR="0" wp14:anchorId="3A96DE3A" wp14:editId="48D83A33">
            <wp:extent cx="4968000" cy="2977733"/>
            <wp:effectExtent l="19050" t="1905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8000" cy="2977733"/>
                    </a:xfrm>
                    <a:prstGeom prst="rect">
                      <a:avLst/>
                    </a:prstGeom>
                    <a:noFill/>
                    <a:ln>
                      <a:solidFill>
                        <a:schemeClr val="tx1">
                          <a:lumMod val="50000"/>
                          <a:lumOff val="50000"/>
                        </a:schemeClr>
                      </a:solidFill>
                    </a:ln>
                  </pic:spPr>
                </pic:pic>
              </a:graphicData>
            </a:graphic>
          </wp:inline>
        </w:drawing>
      </w:r>
    </w:p>
    <w:p w:rsidR="00415BFD" w:rsidRDefault="00415BFD" w:rsidP="00F7113D">
      <w:pPr>
        <w:rPr>
          <w:lang w:bidi="ar-SA"/>
        </w:rPr>
      </w:pPr>
    </w:p>
    <w:p w:rsidR="00415BFD" w:rsidRDefault="00415BFD" w:rsidP="00F7113D">
      <w:pPr>
        <w:rPr>
          <w:lang w:bidi="ar-SA"/>
        </w:rPr>
      </w:pPr>
    </w:p>
    <w:p w:rsidR="00415BFD" w:rsidRDefault="00415BFD" w:rsidP="00C25A62">
      <w:pPr>
        <w:pStyle w:val="Heading3"/>
      </w:pPr>
      <w:bookmarkStart w:id="42" w:name="_Ref451271661"/>
      <w:bookmarkStart w:id="43" w:name="_Toc452066391"/>
      <w:r>
        <w:t>Intervention effect sizes for indicated psychological intervention</w:t>
      </w:r>
      <w:bookmarkEnd w:id="42"/>
      <w:bookmarkEnd w:id="43"/>
    </w:p>
    <w:p w:rsidR="00415BFD" w:rsidRDefault="00415BFD" w:rsidP="00C25A62">
      <w:r>
        <w:t xml:space="preserve">We calculated effect sizes (expressed as a risk ratio) for indicated prevention in schools, across four consecutive follow-up points using available data from RCT studies listed in </w:t>
      </w:r>
      <w:r>
        <w:fldChar w:fldCharType="begin"/>
      </w:r>
      <w:r>
        <w:instrText xml:space="preserve"> REF _Ref432883546 \n \h </w:instrText>
      </w:r>
      <w:r>
        <w:fldChar w:fldCharType="separate"/>
      </w:r>
      <w:r>
        <w:t>Table 6</w:t>
      </w:r>
      <w:r>
        <w:fldChar w:fldCharType="end"/>
      </w:r>
      <w:r>
        <w:t xml:space="preserve"> (see column titled ‘Data available for these follow-up points’). The pooled effect sizes were:</w:t>
      </w:r>
    </w:p>
    <w:p w:rsidR="00415BFD" w:rsidRDefault="00415BFD" w:rsidP="00C25A62"/>
    <w:p w:rsidR="00415BFD" w:rsidRPr="00844EEE" w:rsidRDefault="00415BFD" w:rsidP="00196191">
      <w:pPr>
        <w:pStyle w:val="Explanatorytextmargins"/>
      </w:pPr>
      <w:r w:rsidRPr="00844EEE">
        <w:t xml:space="preserve">Post-treatment. </w:t>
      </w:r>
      <w:r w:rsidRPr="00844EEE">
        <w:tab/>
        <w:t xml:space="preserve">          RR = 0.32 (95% CI: 0.14 - 0.73) based on 5 study arms </w:t>
      </w:r>
      <w:r>
        <w:rPr>
          <w:noProof/>
        </w:rPr>
        <w:t>[53-56,60]</w:t>
      </w:r>
      <w:r w:rsidRPr="00844EEE">
        <w:t>.</w:t>
      </w:r>
    </w:p>
    <w:p w:rsidR="00415BFD" w:rsidRPr="00844EEE" w:rsidRDefault="00415BFD" w:rsidP="00196191">
      <w:pPr>
        <w:pStyle w:val="Explanatorytextmargins"/>
      </w:pPr>
      <w:r w:rsidRPr="00844EEE">
        <w:t xml:space="preserve">6 months follow-up. </w:t>
      </w:r>
      <w:r w:rsidRPr="00844EEE">
        <w:tab/>
        <w:t xml:space="preserve">          RR = 0.34 (95% CI: 0.20 - 0.59) based on 7 study arms </w:t>
      </w:r>
      <w:r>
        <w:rPr>
          <w:noProof/>
        </w:rPr>
        <w:t>[53-55,57,59,60]</w:t>
      </w:r>
      <w:r w:rsidRPr="00844EEE">
        <w:t>.</w:t>
      </w:r>
    </w:p>
    <w:p w:rsidR="00415BFD" w:rsidRPr="00844EEE" w:rsidRDefault="00415BFD" w:rsidP="00196191">
      <w:pPr>
        <w:pStyle w:val="Explanatorytextmargins"/>
      </w:pPr>
      <w:r w:rsidRPr="00844EEE">
        <w:t xml:space="preserve">1 year follow-up. </w:t>
      </w:r>
      <w:r w:rsidRPr="00844EEE">
        <w:tab/>
        <w:t xml:space="preserve">          RR = 0.71 (95% CI: 0.35 - 1.43) based on 4 study arms </w:t>
      </w:r>
      <w:r>
        <w:rPr>
          <w:noProof/>
        </w:rPr>
        <w:t>[53,54,56,58]</w:t>
      </w:r>
      <w:r w:rsidRPr="00844EEE">
        <w:t>.</w:t>
      </w:r>
    </w:p>
    <w:p w:rsidR="00415BFD" w:rsidRPr="00844EEE" w:rsidRDefault="00415BFD" w:rsidP="00196191">
      <w:pPr>
        <w:pStyle w:val="Explanatorytextmargins"/>
      </w:pPr>
      <w:r w:rsidRPr="00844EEE">
        <w:t xml:space="preserve">2 years follow-up. </w:t>
      </w:r>
      <w:r w:rsidRPr="00844EEE">
        <w:tab/>
        <w:t xml:space="preserve">          RR = 0.74 (95% CI: 0.41 - 1.36) based on 2 study arms </w:t>
      </w:r>
      <w:r>
        <w:rPr>
          <w:noProof/>
        </w:rPr>
        <w:t>[59]</w:t>
      </w:r>
      <w:r w:rsidRPr="00844EEE">
        <w:t>.</w:t>
      </w:r>
    </w:p>
    <w:p w:rsidR="00415BFD" w:rsidRDefault="00415BFD" w:rsidP="00C25A62"/>
    <w:p w:rsidR="00415BFD" w:rsidRDefault="00415BFD" w:rsidP="00B05AF3">
      <w:pPr>
        <w:tabs>
          <w:tab w:val="left" w:pos="3261"/>
        </w:tabs>
        <w:rPr>
          <w:b/>
          <w:lang w:eastAsia="en-AU" w:bidi="ar-SA"/>
        </w:rPr>
      </w:pPr>
      <w:r>
        <w:t xml:space="preserve">As stated previously, the inclusion criteria for our baseline decision-analytic model encompassed intervention effect sizes that reached a 5% level of significance. From the results above, we found that intervention effect sizes at post-treatment and 6 months follow-up were statistically significant. As such, the impact of indicated prevention interventions on the incidence of depression in the population would only apply to the period between 0-months to 1-year; with a null effect size (RR = 1.0) being applied to all remaining time points in the model time horizon (i.e., between 1-10 years). </w:t>
      </w:r>
      <w:r>
        <w:rPr>
          <w:lang w:bidi="ar-SA"/>
        </w:rPr>
        <w:t>Forest plots of the pooled intervention effect sizes are provided below in Figures 5 to 8.</w:t>
      </w:r>
      <w:r>
        <w:br w:type="page"/>
      </w:r>
    </w:p>
    <w:p w:rsidR="00415BFD" w:rsidRPr="000652FB" w:rsidRDefault="00415BFD" w:rsidP="00415BFD">
      <w:pPr>
        <w:pStyle w:val="MyFigure"/>
        <w:numPr>
          <w:ilvl w:val="4"/>
          <w:numId w:val="9"/>
        </w:numPr>
      </w:pPr>
      <w:bookmarkStart w:id="44" w:name="_Toc452066431"/>
      <w:r>
        <w:lastRenderedPageBreak/>
        <w:t>Forest plot of independent study arms used to calculate the effect size of indicated psychological intervention at post-intervention</w:t>
      </w:r>
      <w:bookmarkEnd w:id="44"/>
    </w:p>
    <w:p w:rsidR="00415BFD" w:rsidRDefault="00415BFD" w:rsidP="003C470F">
      <w:pPr>
        <w:jc w:val="center"/>
        <w:rPr>
          <w:lang w:bidi="ar-SA"/>
        </w:rPr>
      </w:pPr>
      <w:r>
        <w:rPr>
          <w:noProof/>
          <w:lang w:eastAsia="en-AU" w:bidi="ar-SA"/>
        </w:rPr>
        <w:drawing>
          <wp:inline distT="0" distB="0" distL="0" distR="0" wp14:anchorId="2A3D9C48" wp14:editId="18A14343">
            <wp:extent cx="4968000" cy="2977734"/>
            <wp:effectExtent l="19050" t="1905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8000" cy="2977734"/>
                    </a:xfrm>
                    <a:prstGeom prst="rect">
                      <a:avLst/>
                    </a:prstGeom>
                    <a:noFill/>
                    <a:ln>
                      <a:solidFill>
                        <a:schemeClr val="tx1">
                          <a:lumMod val="50000"/>
                          <a:lumOff val="50000"/>
                        </a:schemeClr>
                      </a:solidFill>
                    </a:ln>
                  </pic:spPr>
                </pic:pic>
              </a:graphicData>
            </a:graphic>
          </wp:inline>
        </w:drawing>
      </w:r>
    </w:p>
    <w:p w:rsidR="00415BFD" w:rsidRDefault="00415BFD" w:rsidP="003C470F">
      <w:pPr>
        <w:rPr>
          <w:lang w:bidi="ar-SA"/>
        </w:rPr>
      </w:pPr>
    </w:p>
    <w:p w:rsidR="00415BFD" w:rsidRDefault="00415BFD" w:rsidP="003C470F">
      <w:pPr>
        <w:rPr>
          <w:lang w:bidi="ar-SA"/>
        </w:rPr>
      </w:pPr>
    </w:p>
    <w:p w:rsidR="00415BFD" w:rsidRDefault="00415BFD" w:rsidP="00415BFD">
      <w:pPr>
        <w:pStyle w:val="MyFigure"/>
        <w:numPr>
          <w:ilvl w:val="4"/>
          <w:numId w:val="9"/>
        </w:numPr>
      </w:pPr>
      <w:bookmarkStart w:id="45" w:name="_Toc452066432"/>
      <w:r>
        <w:t>Forest plot of independent study arms used to calculate the effect size of indicated psychological intervention at 6-9 months follow-up</w:t>
      </w:r>
      <w:bookmarkEnd w:id="45"/>
    </w:p>
    <w:p w:rsidR="00415BFD" w:rsidRDefault="00415BFD" w:rsidP="003C470F">
      <w:pPr>
        <w:jc w:val="center"/>
        <w:rPr>
          <w:lang w:bidi="ar-SA"/>
        </w:rPr>
      </w:pPr>
      <w:r>
        <w:rPr>
          <w:noProof/>
          <w:lang w:eastAsia="en-AU" w:bidi="ar-SA"/>
        </w:rPr>
        <w:drawing>
          <wp:inline distT="0" distB="0" distL="0" distR="0" wp14:anchorId="7D9E114A" wp14:editId="340A4DAD">
            <wp:extent cx="5004000" cy="2999311"/>
            <wp:effectExtent l="19050" t="1905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4000" cy="2999311"/>
                    </a:xfrm>
                    <a:prstGeom prst="rect">
                      <a:avLst/>
                    </a:prstGeom>
                    <a:noFill/>
                    <a:ln>
                      <a:solidFill>
                        <a:schemeClr val="tx1">
                          <a:lumMod val="50000"/>
                          <a:lumOff val="50000"/>
                        </a:schemeClr>
                      </a:solidFill>
                    </a:ln>
                  </pic:spPr>
                </pic:pic>
              </a:graphicData>
            </a:graphic>
          </wp:inline>
        </w:drawing>
      </w:r>
    </w:p>
    <w:p w:rsidR="00415BFD" w:rsidRDefault="00415BFD">
      <w:pPr>
        <w:spacing w:line="240" w:lineRule="auto"/>
        <w:jc w:val="left"/>
        <w:rPr>
          <w:b/>
          <w:lang w:eastAsia="en-AU" w:bidi="ar-SA"/>
        </w:rPr>
      </w:pPr>
      <w:r>
        <w:br w:type="page"/>
      </w:r>
    </w:p>
    <w:p w:rsidR="00415BFD" w:rsidRDefault="00415BFD" w:rsidP="00415BFD">
      <w:pPr>
        <w:pStyle w:val="MyFigure"/>
        <w:numPr>
          <w:ilvl w:val="4"/>
          <w:numId w:val="9"/>
        </w:numPr>
      </w:pPr>
      <w:bookmarkStart w:id="46" w:name="_Toc452066433"/>
      <w:r>
        <w:lastRenderedPageBreak/>
        <w:t>Forest plot of independent study arms used to calculate the effect size of indicated psychological intervention at 12 months follow-up</w:t>
      </w:r>
      <w:bookmarkEnd w:id="46"/>
    </w:p>
    <w:p w:rsidR="00415BFD" w:rsidRDefault="00415BFD" w:rsidP="003C470F">
      <w:pPr>
        <w:jc w:val="center"/>
        <w:rPr>
          <w:lang w:bidi="ar-SA"/>
        </w:rPr>
      </w:pPr>
      <w:r>
        <w:rPr>
          <w:noProof/>
          <w:lang w:eastAsia="en-AU" w:bidi="ar-SA"/>
        </w:rPr>
        <w:drawing>
          <wp:inline distT="0" distB="0" distL="0" distR="0" wp14:anchorId="0A52C130" wp14:editId="23CA1206">
            <wp:extent cx="5004000" cy="2999311"/>
            <wp:effectExtent l="19050" t="1905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4000" cy="2999311"/>
                    </a:xfrm>
                    <a:prstGeom prst="rect">
                      <a:avLst/>
                    </a:prstGeom>
                    <a:noFill/>
                    <a:ln>
                      <a:solidFill>
                        <a:schemeClr val="tx1">
                          <a:lumMod val="50000"/>
                          <a:lumOff val="50000"/>
                        </a:schemeClr>
                      </a:solidFill>
                    </a:ln>
                  </pic:spPr>
                </pic:pic>
              </a:graphicData>
            </a:graphic>
          </wp:inline>
        </w:drawing>
      </w:r>
    </w:p>
    <w:p w:rsidR="00415BFD" w:rsidRDefault="00415BFD" w:rsidP="003C470F">
      <w:pPr>
        <w:rPr>
          <w:lang w:bidi="ar-SA"/>
        </w:rPr>
      </w:pPr>
    </w:p>
    <w:p w:rsidR="00415BFD" w:rsidRDefault="00415BFD" w:rsidP="003C470F">
      <w:pPr>
        <w:rPr>
          <w:lang w:bidi="ar-SA"/>
        </w:rPr>
      </w:pPr>
    </w:p>
    <w:p w:rsidR="00415BFD" w:rsidRDefault="00415BFD" w:rsidP="00415BFD">
      <w:pPr>
        <w:pStyle w:val="MyFigure"/>
        <w:numPr>
          <w:ilvl w:val="4"/>
          <w:numId w:val="9"/>
        </w:numPr>
      </w:pPr>
      <w:bookmarkStart w:id="47" w:name="_Toc452066434"/>
      <w:r>
        <w:t>Forest plot of independent study arms used to calculate the effect size of indicated psychological intervention at 18-24 months follow-up</w:t>
      </w:r>
      <w:bookmarkEnd w:id="47"/>
    </w:p>
    <w:p w:rsidR="00415BFD" w:rsidRDefault="00415BFD" w:rsidP="003C470F">
      <w:pPr>
        <w:jc w:val="center"/>
        <w:rPr>
          <w:lang w:bidi="ar-SA"/>
        </w:rPr>
      </w:pPr>
      <w:r>
        <w:rPr>
          <w:noProof/>
          <w:lang w:eastAsia="en-AU" w:bidi="ar-SA"/>
        </w:rPr>
        <w:drawing>
          <wp:inline distT="0" distB="0" distL="0" distR="0" wp14:anchorId="1A2243E1" wp14:editId="2F92BE18">
            <wp:extent cx="5004000" cy="2999311"/>
            <wp:effectExtent l="19050" t="1905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4000" cy="2999311"/>
                    </a:xfrm>
                    <a:prstGeom prst="rect">
                      <a:avLst/>
                    </a:prstGeom>
                    <a:noFill/>
                    <a:ln>
                      <a:solidFill>
                        <a:schemeClr val="tx1">
                          <a:lumMod val="50000"/>
                          <a:lumOff val="50000"/>
                        </a:schemeClr>
                      </a:solidFill>
                    </a:ln>
                  </pic:spPr>
                </pic:pic>
              </a:graphicData>
            </a:graphic>
          </wp:inline>
        </w:drawing>
      </w:r>
    </w:p>
    <w:p w:rsidR="00415BFD" w:rsidRDefault="00415BFD" w:rsidP="003C470F">
      <w:pPr>
        <w:rPr>
          <w:lang w:bidi="ar-SA"/>
        </w:rPr>
      </w:pPr>
    </w:p>
    <w:p w:rsidR="00415BFD" w:rsidRDefault="00415BFD" w:rsidP="00C62C3E">
      <w:pPr>
        <w:rPr>
          <w:lang w:bidi="ar-SA"/>
        </w:rPr>
      </w:pPr>
    </w:p>
    <w:p w:rsidR="00415BFD" w:rsidRDefault="00415BFD" w:rsidP="00C62C3E">
      <w:pPr>
        <w:rPr>
          <w:lang w:bidi="ar-SA"/>
        </w:rPr>
      </w:pPr>
    </w:p>
    <w:p w:rsidR="00415BFD" w:rsidRDefault="00415BFD">
      <w:pPr>
        <w:spacing w:line="240" w:lineRule="auto"/>
        <w:jc w:val="left"/>
        <w:rPr>
          <w:rFonts w:eastAsia="MS PGothic"/>
          <w:bCs/>
          <w:i/>
          <w:szCs w:val="20"/>
          <w:lang w:bidi="ar-SA"/>
        </w:rPr>
      </w:pPr>
      <w:r>
        <w:br w:type="page"/>
      </w:r>
    </w:p>
    <w:p w:rsidR="00415BFD" w:rsidRDefault="00415BFD" w:rsidP="009B41D5">
      <w:pPr>
        <w:pStyle w:val="Heading3"/>
      </w:pPr>
      <w:bookmarkStart w:id="48" w:name="_Ref450826636"/>
      <w:bookmarkStart w:id="49" w:name="_Ref450826642"/>
      <w:bookmarkStart w:id="50" w:name="_Toc452066392"/>
      <w:r>
        <w:lastRenderedPageBreak/>
        <w:t>Intervention effect sizes for indicated bibliotherapy intervention</w:t>
      </w:r>
      <w:bookmarkEnd w:id="48"/>
      <w:bookmarkEnd w:id="49"/>
      <w:bookmarkEnd w:id="50"/>
    </w:p>
    <w:p w:rsidR="00415BFD" w:rsidRDefault="00415BFD" w:rsidP="009110AA">
      <w:pPr>
        <w:rPr>
          <w:lang w:bidi="ar-SA"/>
        </w:rPr>
      </w:pPr>
      <w:r>
        <w:rPr>
          <w:lang w:bidi="ar-SA"/>
        </w:rPr>
        <w:t xml:space="preserve">We were only able to find two </w:t>
      </w:r>
      <w:r>
        <w:t xml:space="preserve">independent study arms </w:t>
      </w:r>
      <w:r>
        <w:rPr>
          <w:lang w:bidi="ar-SA"/>
        </w:rPr>
        <w:t xml:space="preserve">providing data on the efficacy of indicated bibliotherapy intervention. The forest plot of these studies is shown below. We did not model the cost-effectiveness of bibliotherapy in the baseline analysis as the effect size for indicated bibliotherapy did not reach statistical significance. Indeed, there is a high risk that the intervention does not work. The cost-effectiveness of bibliotherapy was, however, modelled in a subsequent sensitivity analysis (see section </w:t>
      </w:r>
      <w:r>
        <w:rPr>
          <w:lang w:bidi="ar-SA"/>
        </w:rPr>
        <w:fldChar w:fldCharType="begin"/>
      </w:r>
      <w:r>
        <w:rPr>
          <w:lang w:bidi="ar-SA"/>
        </w:rPr>
        <w:instrText xml:space="preserve"> REF _Ref451441875 \r \h </w:instrText>
      </w:r>
      <w:r>
        <w:rPr>
          <w:lang w:bidi="ar-SA"/>
        </w:rPr>
      </w:r>
      <w:r>
        <w:rPr>
          <w:lang w:bidi="ar-SA"/>
        </w:rPr>
        <w:fldChar w:fldCharType="separate"/>
      </w:r>
      <w:r>
        <w:rPr>
          <w:lang w:bidi="ar-SA"/>
        </w:rPr>
        <w:t>6.5</w:t>
      </w:r>
      <w:r>
        <w:rPr>
          <w:lang w:bidi="ar-SA"/>
        </w:rPr>
        <w:fldChar w:fldCharType="end"/>
      </w:r>
      <w:r>
        <w:rPr>
          <w:lang w:bidi="ar-SA"/>
        </w:rPr>
        <w:t>).</w:t>
      </w:r>
    </w:p>
    <w:p w:rsidR="00415BFD" w:rsidRDefault="00415BFD" w:rsidP="009110AA">
      <w:pPr>
        <w:rPr>
          <w:lang w:bidi="ar-SA"/>
        </w:rPr>
      </w:pPr>
    </w:p>
    <w:p w:rsidR="00415BFD" w:rsidRDefault="00415BFD" w:rsidP="00415BFD">
      <w:pPr>
        <w:pStyle w:val="MyFigure"/>
        <w:numPr>
          <w:ilvl w:val="4"/>
          <w:numId w:val="9"/>
        </w:numPr>
      </w:pPr>
      <w:bookmarkStart w:id="51" w:name="_Toc452066435"/>
      <w:r>
        <w:t>Forest plot of independent study arms used to calculate the effect size of indicated bibliotherapy intervention at 6-9 months follow-up</w:t>
      </w:r>
      <w:bookmarkEnd w:id="51"/>
    </w:p>
    <w:p w:rsidR="00415BFD" w:rsidRDefault="00415BFD" w:rsidP="00CD7EFA">
      <w:pPr>
        <w:jc w:val="center"/>
        <w:rPr>
          <w:lang w:bidi="ar-SA"/>
        </w:rPr>
      </w:pPr>
      <w:r>
        <w:rPr>
          <w:noProof/>
          <w:lang w:eastAsia="en-AU" w:bidi="ar-SA"/>
        </w:rPr>
        <w:drawing>
          <wp:inline distT="0" distB="0" distL="0" distR="0" wp14:anchorId="2B9370C4" wp14:editId="5259E512">
            <wp:extent cx="5004000" cy="3004117"/>
            <wp:effectExtent l="19050" t="1905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4000" cy="3004117"/>
                    </a:xfrm>
                    <a:prstGeom prst="rect">
                      <a:avLst/>
                    </a:prstGeom>
                    <a:noFill/>
                    <a:ln>
                      <a:solidFill>
                        <a:schemeClr val="tx1">
                          <a:lumMod val="50000"/>
                          <a:lumOff val="50000"/>
                        </a:schemeClr>
                      </a:solidFill>
                    </a:ln>
                  </pic:spPr>
                </pic:pic>
              </a:graphicData>
            </a:graphic>
          </wp:inline>
        </w:drawing>
      </w:r>
    </w:p>
    <w:p w:rsidR="00415BFD" w:rsidRDefault="00415BFD" w:rsidP="00D2006C">
      <w:pPr>
        <w:rPr>
          <w:lang w:bidi="ar-SA"/>
        </w:rPr>
      </w:pPr>
    </w:p>
    <w:p w:rsidR="00415BFD" w:rsidRDefault="00415BFD" w:rsidP="00D2006C">
      <w:pPr>
        <w:rPr>
          <w:lang w:bidi="ar-SA"/>
        </w:rPr>
      </w:pPr>
    </w:p>
    <w:p w:rsidR="00415BFD" w:rsidRDefault="00415BFD" w:rsidP="001B3518">
      <w:pPr>
        <w:pStyle w:val="Heading3"/>
      </w:pPr>
      <w:bookmarkStart w:id="52" w:name="_Ref451271670"/>
      <w:bookmarkStart w:id="53" w:name="_Toc452066393"/>
      <w:r>
        <w:t>Intervention effect sizes for universal and indicated prevention interventions delivered via the internet</w:t>
      </w:r>
      <w:bookmarkEnd w:id="52"/>
      <w:bookmarkEnd w:id="53"/>
    </w:p>
    <w:p w:rsidR="00415BFD" w:rsidRDefault="00415BFD" w:rsidP="005175EA">
      <w:r>
        <w:rPr>
          <w:lang w:bidi="ar-SA"/>
        </w:rPr>
        <w:t xml:space="preserve">One of the aims of our study was to compare the cost-effectiveness of prevention interventions delivered using either face-to-face or internet-based modalities. While conducting the meta-review, however, we excluded 2 studies which examined the efficacy of internet-delivered (universal) psychological interventions </w:t>
      </w:r>
      <w:r>
        <w:rPr>
          <w:noProof/>
          <w:lang w:bidi="ar-SA"/>
        </w:rPr>
        <w:t>[11,12]</w:t>
      </w:r>
      <w:r>
        <w:rPr>
          <w:lang w:bidi="ar-SA"/>
        </w:rPr>
        <w:t xml:space="preserve">. These 2 studies were the only RCTs for which we had data on likely intervention pathways for internet-delivered (universal) psychological prevention in schools. That being said, they did not fit the inclusion criteria for our model (refer to section </w:t>
      </w:r>
      <w:r>
        <w:rPr>
          <w:lang w:bidi="ar-SA"/>
        </w:rPr>
        <w:fldChar w:fldCharType="begin"/>
      </w:r>
      <w:r>
        <w:rPr>
          <w:lang w:bidi="ar-SA"/>
        </w:rPr>
        <w:instrText xml:space="preserve"> REF _Ref451339891 \n \h </w:instrText>
      </w:r>
      <w:r>
        <w:rPr>
          <w:lang w:bidi="ar-SA"/>
        </w:rPr>
      </w:r>
      <w:r>
        <w:rPr>
          <w:lang w:bidi="ar-SA"/>
        </w:rPr>
        <w:fldChar w:fldCharType="separate"/>
      </w:r>
      <w:r>
        <w:rPr>
          <w:lang w:bidi="ar-SA"/>
        </w:rPr>
        <w:t>1.2</w:t>
      </w:r>
      <w:r>
        <w:rPr>
          <w:lang w:bidi="ar-SA"/>
        </w:rPr>
        <w:fldChar w:fldCharType="end"/>
      </w:r>
      <w:r>
        <w:rPr>
          <w:lang w:bidi="ar-SA"/>
        </w:rPr>
        <w:t xml:space="preserve">) which sought studies reporting intervention outcomes in terms of discrete numbers of incident depression cases (these 2 studies reported </w:t>
      </w:r>
      <w:r>
        <w:t xml:space="preserve">changes to mean scores on a depression rating scale). The content of internet-delivered intervention modules for universal prevention involved comparable psychotherapeutic content as contained in their face-to-face counterparts. Furthermore, </w:t>
      </w:r>
      <w:r w:rsidRPr="005102D1">
        <w:t>previous studies</w:t>
      </w:r>
      <w:r>
        <w:t xml:space="preserve"> have demonstrated that internet-based treatment interventions have comparable intervention efficacy to face-to-face </w:t>
      </w:r>
      <w:r>
        <w:lastRenderedPageBreak/>
        <w:t xml:space="preserve">psychological treatments </w:t>
      </w:r>
      <w:r>
        <w:rPr>
          <w:noProof/>
        </w:rPr>
        <w:t>[6,61,62]</w:t>
      </w:r>
      <w:r>
        <w:t xml:space="preserve">. Given the paucity of data, we opted to model intervention effect sizes for internet-delivered prevention (both universal and indicated) by assuming that the effect size of internet-delivered prevention interventions is equal to some proportion of the effect size of face-to-face interventions. Given the heroic nature of this assumption, we excluded the modelling of internet-delivered prevention from the baseline analysis – choosing instead to model these in separate sensitivity analyses (see section </w:t>
      </w:r>
      <w:r>
        <w:fldChar w:fldCharType="begin"/>
      </w:r>
      <w:r>
        <w:instrText xml:space="preserve"> REF _Ref451441911 \r \h </w:instrText>
      </w:r>
      <w:r>
        <w:fldChar w:fldCharType="separate"/>
      </w:r>
      <w:r>
        <w:t>6.10</w:t>
      </w:r>
      <w:r>
        <w:fldChar w:fldCharType="end"/>
      </w:r>
      <w:r>
        <w:t xml:space="preserve">). For convenience, we have detailed the parameters for the cost analysis of internet-delivered prevention interventions (see sections </w:t>
      </w:r>
      <w:r>
        <w:fldChar w:fldCharType="begin"/>
      </w:r>
      <w:r>
        <w:instrText xml:space="preserve"> REF _Ref451182615 \n \h </w:instrText>
      </w:r>
      <w:r>
        <w:fldChar w:fldCharType="separate"/>
      </w:r>
      <w:r>
        <w:t>5.3</w:t>
      </w:r>
      <w:r>
        <w:fldChar w:fldCharType="end"/>
      </w:r>
      <w:r>
        <w:t xml:space="preserve"> and </w:t>
      </w:r>
      <w:r>
        <w:fldChar w:fldCharType="begin"/>
      </w:r>
      <w:r>
        <w:instrText xml:space="preserve"> REF _Ref451292463 \n \h </w:instrText>
      </w:r>
      <w:r>
        <w:fldChar w:fldCharType="separate"/>
      </w:r>
      <w:r>
        <w:t>5.5</w:t>
      </w:r>
      <w:r>
        <w:fldChar w:fldCharType="end"/>
      </w:r>
      <w:r>
        <w:t xml:space="preserve">) alongside the cost parameters of face-to-face delivery (see section </w:t>
      </w:r>
      <w:r>
        <w:fldChar w:fldCharType="begin"/>
      </w:r>
      <w:r>
        <w:instrText xml:space="preserve"> REF _Ref451179133 \n \h </w:instrText>
      </w:r>
      <w:r>
        <w:fldChar w:fldCharType="separate"/>
      </w:r>
      <w:r>
        <w:t>5.2</w:t>
      </w:r>
      <w:r>
        <w:fldChar w:fldCharType="end"/>
      </w:r>
      <w:r>
        <w:t xml:space="preserve"> and </w:t>
      </w:r>
      <w:r>
        <w:fldChar w:fldCharType="begin"/>
      </w:r>
      <w:r>
        <w:instrText xml:space="preserve"> REF _Ref451283357 \n \h </w:instrText>
      </w:r>
      <w:r>
        <w:fldChar w:fldCharType="separate"/>
      </w:r>
      <w:r>
        <w:t>5.4</w:t>
      </w:r>
      <w:r>
        <w:fldChar w:fldCharType="end"/>
      </w:r>
      <w:r>
        <w:t>) We modelled the cost-effectiveness of internet-delivered prevention interventions (universal and indicated) by assuming that effect sizes were equal to either 100% or 50% of the total effect size for face-to-face interventions.</w:t>
      </w:r>
    </w:p>
    <w:p w:rsidR="00415BFD" w:rsidRDefault="00415BFD" w:rsidP="00D2006C">
      <w:pPr>
        <w:rPr>
          <w:lang w:bidi="ar-SA"/>
        </w:rPr>
      </w:pPr>
    </w:p>
    <w:p w:rsidR="00415BFD" w:rsidRDefault="00415BFD" w:rsidP="00D2006C">
      <w:pPr>
        <w:rPr>
          <w:lang w:bidi="ar-SA"/>
        </w:rPr>
      </w:pPr>
    </w:p>
    <w:p w:rsidR="00415BFD" w:rsidRDefault="00415BFD">
      <w:pPr>
        <w:spacing w:line="240" w:lineRule="auto"/>
        <w:jc w:val="left"/>
        <w:rPr>
          <w:lang w:bidi="ar-SA"/>
        </w:rPr>
      </w:pPr>
      <w:r>
        <w:rPr>
          <w:lang w:bidi="ar-SA"/>
        </w:rPr>
        <w:br w:type="page"/>
      </w:r>
    </w:p>
    <w:p w:rsidR="00415BFD" w:rsidRDefault="00415BFD" w:rsidP="004F3091">
      <w:pPr>
        <w:pStyle w:val="Heading1"/>
      </w:pPr>
      <w:bookmarkStart w:id="54" w:name="_Ref450750844"/>
      <w:bookmarkStart w:id="55" w:name="_Ref450770704"/>
      <w:bookmarkStart w:id="56" w:name="_Toc452066394"/>
      <w:r>
        <w:lastRenderedPageBreak/>
        <w:t>Identification of the eligible population</w:t>
      </w:r>
      <w:bookmarkEnd w:id="54"/>
      <w:bookmarkEnd w:id="55"/>
      <w:bookmarkEnd w:id="56"/>
    </w:p>
    <w:p w:rsidR="00415BFD" w:rsidRDefault="00415BFD" w:rsidP="004F3091">
      <w:pPr>
        <w:pStyle w:val="Heading3"/>
      </w:pPr>
      <w:bookmarkStart w:id="57" w:name="_Toc452066395"/>
      <w:r>
        <w:t>Overview</w:t>
      </w:r>
      <w:bookmarkEnd w:id="57"/>
    </w:p>
    <w:p w:rsidR="00415BFD" w:rsidRDefault="00415BFD" w:rsidP="004F3091">
      <w:pPr>
        <w:rPr>
          <w:lang w:bidi="ar-SA"/>
        </w:rPr>
      </w:pPr>
      <w:r>
        <w:rPr>
          <w:lang w:bidi="ar-SA"/>
        </w:rPr>
        <w:t xml:space="preserve">This section provides further detail on the calculation of the eligible population for universal and indicated prevention interventions. In the case of universal prevention, the eligible population for face-to-face and internet-based delivery was identical. Likewise, the eligible population for indicated prevention was identical regardless of whether the intervention was delivered face-to-face, via the internet or through bibliotherapy. The section starts by providing qualitative descriptions of the intervention pathways for both indicated and universal prevention. Flow charts illustrating these descriptions are also presented, alongside a breakdown of the eligible population by age and sex. Several meta-analyses were conducted to generate pooled parameters to be used in the calculation of the eligible population for both universal and indicated prevention. </w:t>
      </w:r>
      <w:r>
        <w:t xml:space="preserve">Extracted data were meta-analysed using the ‘inverse variance heterogeneity’ (IVhet) model – which calculates an estimator </w:t>
      </w:r>
      <w:r w:rsidRPr="00322A7E">
        <w:t>under the fixed effect model assumption with a quasi-likelihood based variance structure</w:t>
      </w:r>
      <w:r>
        <w:t xml:space="preserve"> </w:t>
      </w:r>
      <w:r>
        <w:rPr>
          <w:noProof/>
        </w:rPr>
        <w:t>[63]</w:t>
      </w:r>
      <w:r>
        <w:t xml:space="preserve">. All meta-analyses were conducted using MetaXL 3.0, an Excel add-in developed by </w:t>
      </w:r>
      <w:r w:rsidRPr="00BA6E30">
        <w:t>EpiGear International Pty Ltd</w:t>
      </w:r>
      <w:r>
        <w:t xml:space="preserve"> </w:t>
      </w:r>
      <w:r>
        <w:rPr>
          <w:noProof/>
        </w:rPr>
        <w:t>[64]</w:t>
      </w:r>
      <w:r>
        <w:t>.</w:t>
      </w:r>
    </w:p>
    <w:p w:rsidR="00415BFD" w:rsidRPr="00241838" w:rsidRDefault="00415BFD" w:rsidP="004F3091">
      <w:pPr>
        <w:tabs>
          <w:tab w:val="left" w:pos="3150"/>
        </w:tabs>
        <w:rPr>
          <w:lang w:bidi="ar-SA"/>
        </w:rPr>
      </w:pPr>
      <w:r>
        <w:rPr>
          <w:lang w:bidi="ar-SA"/>
        </w:rPr>
        <w:tab/>
      </w:r>
    </w:p>
    <w:p w:rsidR="00415BFD" w:rsidRDefault="00415BFD" w:rsidP="004F3091">
      <w:pPr>
        <w:pStyle w:val="Heading3"/>
      </w:pPr>
      <w:bookmarkStart w:id="58" w:name="_Ref450772294"/>
      <w:bookmarkStart w:id="59" w:name="_Ref451178342"/>
      <w:bookmarkStart w:id="60" w:name="_Toc452066396"/>
      <w:r>
        <w:t>Eligible population for universal prevention</w:t>
      </w:r>
      <w:bookmarkEnd w:id="58"/>
      <w:bookmarkEnd w:id="59"/>
      <w:bookmarkEnd w:id="60"/>
    </w:p>
    <w:p w:rsidR="00415BFD" w:rsidRDefault="00415BFD" w:rsidP="004F3091">
      <w:pPr>
        <w:rPr>
          <w:lang w:bidi="ar-SA"/>
        </w:rPr>
      </w:pPr>
      <w:r>
        <w:rPr>
          <w:lang w:bidi="ar-SA"/>
        </w:rPr>
        <w:t xml:space="preserve">The eligible population for universal prevention includes all youth aged 11-17 year in the Australian population regardless of underlying risk factors. As part of this process, we accounted for the likelihood of attrition as reported for intervention pathways described in meta-analysed RCT studies (see </w:t>
      </w:r>
      <w:r>
        <w:rPr>
          <w:lang w:bidi="ar-SA"/>
        </w:rPr>
        <w:fldChar w:fldCharType="begin"/>
      </w:r>
      <w:r>
        <w:rPr>
          <w:lang w:bidi="ar-SA"/>
        </w:rPr>
        <w:instrText xml:space="preserve"> REF _Ref451343900 \n \h </w:instrText>
      </w:r>
      <w:r>
        <w:rPr>
          <w:lang w:bidi="ar-SA"/>
        </w:rPr>
      </w:r>
      <w:r>
        <w:rPr>
          <w:lang w:bidi="ar-SA"/>
        </w:rPr>
        <w:fldChar w:fldCharType="separate"/>
      </w:r>
      <w:r>
        <w:rPr>
          <w:lang w:bidi="ar-SA"/>
        </w:rPr>
        <w:t>Table 1</w:t>
      </w:r>
      <w:r>
        <w:rPr>
          <w:lang w:bidi="ar-SA"/>
        </w:rPr>
        <w:fldChar w:fldCharType="end"/>
      </w:r>
      <w:r>
        <w:rPr>
          <w:lang w:bidi="ar-SA"/>
        </w:rPr>
        <w:t xml:space="preserve">). Steps to identify the eligible population are shown in </w:t>
      </w:r>
      <w:r>
        <w:t xml:space="preserve">shown in </w:t>
      </w:r>
      <w:r>
        <w:fldChar w:fldCharType="begin"/>
      </w:r>
      <w:r>
        <w:instrText xml:space="preserve"> REF _Ref432841276 \n \h </w:instrText>
      </w:r>
      <w:r>
        <w:fldChar w:fldCharType="separate"/>
      </w:r>
      <w:r>
        <w:t>Figure 11</w:t>
      </w:r>
      <w:r>
        <w:fldChar w:fldCharType="end"/>
      </w:r>
      <w:r>
        <w:t>, which include</w:t>
      </w:r>
      <w:r>
        <w:rPr>
          <w:lang w:bidi="ar-SA"/>
        </w:rPr>
        <w:t>:</w:t>
      </w:r>
    </w:p>
    <w:p w:rsidR="00415BFD" w:rsidRDefault="00415BFD" w:rsidP="004F3091">
      <w:pPr>
        <w:rPr>
          <w:lang w:bidi="ar-SA"/>
        </w:rPr>
      </w:pPr>
    </w:p>
    <w:p w:rsidR="00415BFD" w:rsidRPr="003B62C4" w:rsidRDefault="00415BFD" w:rsidP="003B62C4">
      <w:pPr>
        <w:pStyle w:val="Explanatorytextmargins"/>
      </w:pPr>
      <w:r w:rsidRPr="00A941DC">
        <w:rPr>
          <w:u w:val="single"/>
        </w:rPr>
        <w:t>Step 1 – 2013 Australian population.</w:t>
      </w:r>
      <w:r w:rsidRPr="003B62C4">
        <w:t xml:space="preserve"> Start with the 2013 Australian population aged 11-17 years. This was N = 1,982,563 based on data obtained from the Australian Bureau of Statistics [9].</w:t>
      </w:r>
    </w:p>
    <w:p w:rsidR="00415BFD" w:rsidRPr="003B62C4" w:rsidRDefault="00415BFD" w:rsidP="003B62C4">
      <w:pPr>
        <w:pStyle w:val="Explanatorytextmargins"/>
      </w:pPr>
      <w:r>
        <w:rPr>
          <w:u w:val="single"/>
        </w:rPr>
        <w:t xml:space="preserve">Step 2 – </w:t>
      </w:r>
      <w:r w:rsidRPr="00A941DC">
        <w:rPr>
          <w:u w:val="single"/>
        </w:rPr>
        <w:t>School participation rate.</w:t>
      </w:r>
      <w:r w:rsidRPr="003B62C4">
        <w:t xml:space="preserve"> Not all schools will realistically participate in the population delivery of universal prevention. In the absence of hard data, the previous cost-effectiveness study by Mihalopoulos et al. [5] assumed a 60% school participation rate. By comparison, ~66% of secondary schools participated in the MindMatters program, while 17.1% (600/3500) of invited schools participated in Climate Schools Australia (both of which involve mental health initiatives in schools). We obtained feedback from a Technical Advisory Panel (TAP) of prevention experts who noted that the estimate of 66% was likely an overestimate. Given we did not anticipate the school participation rate to affect the resulting cost-effectiveness ratios, we assumed that 100% of schools would participate in the baseline analysis and tested the effect of assuming 50% in a univariate sensitivity analysis (see </w:t>
      </w:r>
      <w:r w:rsidRPr="003B62C4">
        <w:fldChar w:fldCharType="begin"/>
      </w:r>
      <w:r w:rsidRPr="003B62C4">
        <w:instrText xml:space="preserve"> REF _Ref451342889 \n \h  \* MERGEFORMAT </w:instrText>
      </w:r>
      <w:r w:rsidRPr="003B62C4">
        <w:fldChar w:fldCharType="separate"/>
      </w:r>
      <w:r>
        <w:t>Table 1</w:t>
      </w:r>
      <w:r w:rsidRPr="003B62C4">
        <w:fldChar w:fldCharType="end"/>
      </w:r>
      <w:r w:rsidRPr="003B62C4">
        <w:t xml:space="preserve"> for a more detailed rationale).</w:t>
      </w:r>
    </w:p>
    <w:p w:rsidR="00415BFD" w:rsidRPr="003B62C4" w:rsidRDefault="00415BFD" w:rsidP="003B62C4">
      <w:pPr>
        <w:pStyle w:val="Explanatorytextmargins"/>
      </w:pPr>
      <w:r w:rsidRPr="00A941DC">
        <w:rPr>
          <w:u w:val="single"/>
        </w:rPr>
        <w:t>Step 3 – Student participation rate.</w:t>
      </w:r>
      <w:r w:rsidRPr="003B62C4">
        <w:t xml:space="preserve"> Not all students will participate in the universal prevention intervention. Six RCT studies identified in the previous meta-review of intervention efficacy (included in </w:t>
      </w:r>
      <w:r w:rsidRPr="003B62C4">
        <w:fldChar w:fldCharType="begin"/>
      </w:r>
      <w:r w:rsidRPr="003B62C4">
        <w:instrText xml:space="preserve"> REF _Ref432884016 \n \h  \* MERGEFORMAT </w:instrText>
      </w:r>
      <w:r w:rsidRPr="003B62C4">
        <w:fldChar w:fldCharType="separate"/>
      </w:r>
      <w:r>
        <w:t>Table 5</w:t>
      </w:r>
      <w:r w:rsidRPr="003B62C4">
        <w:fldChar w:fldCharType="end"/>
      </w:r>
      <w:r w:rsidRPr="003B62C4">
        <w:t xml:space="preserve">) contained data on the proportion of students who obtain parental consent to participate in the universal prevention intervention (see </w:t>
      </w:r>
      <w:r w:rsidRPr="003B62C4">
        <w:fldChar w:fldCharType="begin"/>
      </w:r>
      <w:r w:rsidRPr="003B62C4">
        <w:instrText xml:space="preserve"> REF _Ref432840815 \n \h  \* MERGEFORMAT </w:instrText>
      </w:r>
      <w:r w:rsidRPr="003B62C4">
        <w:fldChar w:fldCharType="separate"/>
      </w:r>
      <w:r>
        <w:t>Figure 10</w:t>
      </w:r>
      <w:r w:rsidRPr="003B62C4">
        <w:fldChar w:fldCharType="end"/>
      </w:r>
      <w:r w:rsidRPr="003B62C4">
        <w:t>). We meta-analysed data from these studies to calculate the pooled proportion of students who agree to participate in the universal psychological intervention. Based on this, we found that 78.6% (95% CI: 63.5 - 91.9) of students agree to participate in the intervention [29,44,46-48,51].</w:t>
      </w:r>
    </w:p>
    <w:p w:rsidR="00415BFD" w:rsidRPr="003B62C4" w:rsidRDefault="00415BFD" w:rsidP="003B62C4">
      <w:pPr>
        <w:pStyle w:val="Explanatorytextmargins"/>
      </w:pPr>
      <w:r w:rsidRPr="002E17B7">
        <w:rPr>
          <w:u w:val="single"/>
        </w:rPr>
        <w:lastRenderedPageBreak/>
        <w:t>Final estimate.</w:t>
      </w:r>
      <w:r w:rsidRPr="003B62C4">
        <w:t xml:space="preserve"> We calculated the eligible population to be N = 1,558,171 which is 78.6% of the </w:t>
      </w:r>
      <w:r>
        <w:t>initial 2013</w:t>
      </w:r>
      <w:r w:rsidRPr="003B62C4">
        <w:t xml:space="preserve"> </w:t>
      </w:r>
      <w:r>
        <w:t>Australian population</w:t>
      </w:r>
      <w:r w:rsidRPr="003B62C4">
        <w:t xml:space="preserve">. </w:t>
      </w:r>
      <w:r w:rsidRPr="00844EEE">
        <w:t xml:space="preserve">That is, after accounting for attrition, </w:t>
      </w:r>
      <w:r w:rsidRPr="003B62C4">
        <w:t xml:space="preserve">we expect 78.6% of the </w:t>
      </w:r>
      <w:r>
        <w:t xml:space="preserve">2013 </w:t>
      </w:r>
      <w:r w:rsidRPr="003B62C4">
        <w:t xml:space="preserve">Australian population aged 11-17 years to participate in universal prevention </w:t>
      </w:r>
      <w:r>
        <w:t>(see</w:t>
      </w:r>
      <w:r w:rsidRPr="003B62C4">
        <w:t xml:space="preserve"> </w:t>
      </w:r>
      <w:r w:rsidRPr="003B62C4">
        <w:fldChar w:fldCharType="begin"/>
      </w:r>
      <w:r w:rsidRPr="003B62C4">
        <w:instrText xml:space="preserve"> REF _Ref432841276 \n \h  \* MERGEFORMAT </w:instrText>
      </w:r>
      <w:r w:rsidRPr="003B62C4">
        <w:fldChar w:fldCharType="separate"/>
      </w:r>
      <w:r>
        <w:t>Figure 11</w:t>
      </w:r>
      <w:r w:rsidRPr="003B62C4">
        <w:fldChar w:fldCharType="end"/>
      </w:r>
      <w:r>
        <w:t xml:space="preserve"> and</w:t>
      </w:r>
      <w:r w:rsidRPr="003B62C4">
        <w:t xml:space="preserve"> </w:t>
      </w:r>
      <w:r w:rsidRPr="003B62C4">
        <w:fldChar w:fldCharType="begin"/>
      </w:r>
      <w:r w:rsidRPr="003B62C4">
        <w:instrText xml:space="preserve"> REF _Ref432840991 \n \h  \* MERGEFORMAT </w:instrText>
      </w:r>
      <w:r w:rsidRPr="003B62C4">
        <w:fldChar w:fldCharType="separate"/>
      </w:r>
      <w:r>
        <w:t>Table 7</w:t>
      </w:r>
      <w:r w:rsidRPr="003B62C4">
        <w:fldChar w:fldCharType="end"/>
      </w:r>
      <w:r>
        <w:t>)</w:t>
      </w:r>
      <w:r w:rsidRPr="003B62C4">
        <w:t>.</w:t>
      </w:r>
    </w:p>
    <w:p w:rsidR="00415BFD" w:rsidRDefault="00415BFD" w:rsidP="004F3091">
      <w:pPr>
        <w:rPr>
          <w:lang w:eastAsia="en-AU"/>
        </w:rPr>
      </w:pPr>
    </w:p>
    <w:p w:rsidR="00415BFD" w:rsidRPr="00EE0A34" w:rsidRDefault="00415BFD" w:rsidP="004F3091">
      <w:pPr>
        <w:rPr>
          <w:lang w:eastAsia="en-AU"/>
        </w:rPr>
      </w:pPr>
    </w:p>
    <w:p w:rsidR="00415BFD" w:rsidRDefault="00415BFD" w:rsidP="00415BFD">
      <w:pPr>
        <w:pStyle w:val="MyFigure"/>
        <w:numPr>
          <w:ilvl w:val="4"/>
          <w:numId w:val="9"/>
        </w:numPr>
      </w:pPr>
      <w:bookmarkStart w:id="61" w:name="_Ref450855287"/>
      <w:bookmarkStart w:id="62" w:name="_Ref450855316"/>
      <w:bookmarkStart w:id="63" w:name="_Toc452066436"/>
      <w:bookmarkStart w:id="64" w:name="_Ref432840815"/>
      <w:r>
        <w:t>Forest plot of studies used to calculate the proportion of students who agree to participate in universal prevention</w:t>
      </w:r>
      <w:bookmarkEnd w:id="61"/>
      <w:bookmarkEnd w:id="62"/>
      <w:bookmarkEnd w:id="63"/>
    </w:p>
    <w:p w:rsidR="00415BFD" w:rsidRDefault="00415BFD" w:rsidP="004F3091">
      <w:pPr>
        <w:jc w:val="center"/>
        <w:rPr>
          <w:lang w:bidi="ar-SA"/>
        </w:rPr>
      </w:pPr>
      <w:r>
        <w:rPr>
          <w:noProof/>
          <w:lang w:eastAsia="en-AU" w:bidi="ar-SA"/>
        </w:rPr>
        <w:drawing>
          <wp:inline distT="0" distB="0" distL="0" distR="0" wp14:anchorId="5DB5C385" wp14:editId="23301242">
            <wp:extent cx="4546080" cy="2772000"/>
            <wp:effectExtent l="19050" t="19050" r="26035" b="285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46080" cy="2772000"/>
                    </a:xfrm>
                    <a:prstGeom prst="rect">
                      <a:avLst/>
                    </a:prstGeom>
                    <a:noFill/>
                    <a:ln>
                      <a:solidFill>
                        <a:schemeClr val="tx1"/>
                      </a:solidFill>
                    </a:ln>
                    <a:extLst/>
                  </pic:spPr>
                </pic:pic>
              </a:graphicData>
            </a:graphic>
          </wp:inline>
        </w:drawing>
      </w:r>
    </w:p>
    <w:p w:rsidR="00415BFD" w:rsidRDefault="00415BFD" w:rsidP="004F3091"/>
    <w:p w:rsidR="00415BFD" w:rsidRDefault="00415BFD" w:rsidP="004F3091"/>
    <w:p w:rsidR="00415BFD" w:rsidRPr="00E073D5" w:rsidRDefault="00415BFD" w:rsidP="00415BFD">
      <w:pPr>
        <w:pStyle w:val="MyFigure"/>
        <w:numPr>
          <w:ilvl w:val="4"/>
          <w:numId w:val="9"/>
        </w:numPr>
      </w:pPr>
      <w:bookmarkStart w:id="65" w:name="_Ref432841276"/>
      <w:bookmarkStart w:id="66" w:name="_Toc452066437"/>
      <w:r>
        <w:t xml:space="preserve">Flow chart of </w:t>
      </w:r>
      <w:r w:rsidRPr="00C31264">
        <w:t>process</w:t>
      </w:r>
      <w:r>
        <w:t xml:space="preserve"> used to calculate the eligible population for universal prevention</w:t>
      </w:r>
      <w:bookmarkEnd w:id="65"/>
      <w:bookmarkEnd w:id="66"/>
    </w:p>
    <w:p w:rsidR="00415BFD" w:rsidRDefault="00415BFD" w:rsidP="004F3091">
      <w:pPr>
        <w:jc w:val="center"/>
        <w:rPr>
          <w:lang w:bidi="ar-SA"/>
        </w:rPr>
      </w:pPr>
      <w:r>
        <w:rPr>
          <w:noProof/>
          <w:lang w:eastAsia="en-AU" w:bidi="ar-SA"/>
        </w:rPr>
        <w:drawing>
          <wp:inline distT="0" distB="0" distL="0" distR="0" wp14:anchorId="1943C612" wp14:editId="4042737E">
            <wp:extent cx="5501087" cy="2700000"/>
            <wp:effectExtent l="0" t="0" r="4445"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501087" cy="2700000"/>
                    </a:xfrm>
                    <a:prstGeom prst="rect">
                      <a:avLst/>
                    </a:prstGeom>
                  </pic:spPr>
                </pic:pic>
              </a:graphicData>
            </a:graphic>
          </wp:inline>
        </w:drawing>
      </w:r>
      <w:bookmarkEnd w:id="64"/>
      <w:r>
        <w:rPr>
          <w:lang w:bidi="ar-SA"/>
        </w:rPr>
        <w:br w:type="page"/>
      </w:r>
    </w:p>
    <w:p w:rsidR="00415BFD" w:rsidRDefault="00415BFD" w:rsidP="00415BFD">
      <w:pPr>
        <w:pStyle w:val="MyTable"/>
        <w:numPr>
          <w:ilvl w:val="3"/>
          <w:numId w:val="9"/>
        </w:numPr>
      </w:pPr>
      <w:bookmarkStart w:id="67" w:name="_Ref432840991"/>
      <w:bookmarkStart w:id="68" w:name="_Toc452066452"/>
      <w:r>
        <w:lastRenderedPageBreak/>
        <w:t>Table outlining the age-sex breakdown of the eligible population for universal prevention</w:t>
      </w:r>
      <w:bookmarkEnd w:id="67"/>
      <w:bookmarkEnd w:id="68"/>
    </w:p>
    <w:tbl>
      <w:tblPr>
        <w:tblW w:w="7820" w:type="dxa"/>
        <w:jc w:val="center"/>
        <w:tblLook w:val="04A0" w:firstRow="1" w:lastRow="0" w:firstColumn="1" w:lastColumn="0" w:noHBand="0" w:noVBand="1"/>
      </w:tblPr>
      <w:tblGrid>
        <w:gridCol w:w="1060"/>
        <w:gridCol w:w="1213"/>
        <w:gridCol w:w="987"/>
        <w:gridCol w:w="1279"/>
        <w:gridCol w:w="1041"/>
        <w:gridCol w:w="1120"/>
        <w:gridCol w:w="1120"/>
      </w:tblGrid>
      <w:tr w:rsidR="00415BFD" w:rsidRPr="000B6614" w:rsidTr="00B97BBD">
        <w:trPr>
          <w:trHeight w:val="1020"/>
          <w:jc w:val="center"/>
        </w:trPr>
        <w:tc>
          <w:tcPr>
            <w:tcW w:w="1060" w:type="dxa"/>
            <w:tcBorders>
              <w:top w:val="single" w:sz="4" w:space="0" w:color="auto"/>
              <w:left w:val="single" w:sz="4" w:space="0" w:color="auto"/>
              <w:bottom w:val="single" w:sz="4" w:space="0" w:color="auto"/>
              <w:right w:val="nil"/>
            </w:tcBorders>
            <w:shd w:val="clear" w:color="000000" w:fill="EBF1DE"/>
            <w:vAlign w:val="center"/>
            <w:hideMark/>
          </w:tcPr>
          <w:p w:rsidR="00415BFD" w:rsidRPr="000B6614" w:rsidRDefault="00415BFD" w:rsidP="00F045C1">
            <w:pPr>
              <w:spacing w:line="240" w:lineRule="auto"/>
              <w:jc w:val="center"/>
              <w:rPr>
                <w:rFonts w:ascii="Calibri" w:eastAsia="Times New Roman" w:hAnsi="Calibri"/>
                <w:b/>
                <w:bCs/>
                <w:color w:val="000000"/>
                <w:sz w:val="18"/>
                <w:lang w:eastAsia="en-AU" w:bidi="ar-SA"/>
              </w:rPr>
            </w:pPr>
          </w:p>
        </w:tc>
        <w:tc>
          <w:tcPr>
            <w:tcW w:w="2200"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rsidR="00415BFD" w:rsidRDefault="00415BFD" w:rsidP="00F045C1">
            <w:pPr>
              <w:spacing w:line="240" w:lineRule="auto"/>
              <w:jc w:val="center"/>
              <w:rPr>
                <w:rFonts w:ascii="Calibri" w:eastAsia="Times New Roman" w:hAnsi="Calibri"/>
                <w:b/>
                <w:bCs/>
                <w:color w:val="000000"/>
                <w:sz w:val="18"/>
                <w:lang w:eastAsia="en-AU" w:bidi="ar-SA"/>
              </w:rPr>
            </w:pPr>
            <w:r>
              <w:rPr>
                <w:rFonts w:ascii="Calibri" w:eastAsia="Times New Roman" w:hAnsi="Calibri"/>
                <w:b/>
                <w:bCs/>
                <w:color w:val="000000"/>
                <w:sz w:val="18"/>
                <w:lang w:eastAsia="en-AU" w:bidi="ar-SA"/>
              </w:rPr>
              <w:t xml:space="preserve">Step 1 – </w:t>
            </w:r>
          </w:p>
          <w:p w:rsidR="00415BFD" w:rsidRPr="000B6614" w:rsidRDefault="00415BFD" w:rsidP="00CB14FF">
            <w:pPr>
              <w:spacing w:line="240" w:lineRule="auto"/>
              <w:jc w:val="center"/>
              <w:rPr>
                <w:rFonts w:ascii="Calibri" w:eastAsia="Times New Roman" w:hAnsi="Calibri"/>
                <w:b/>
                <w:bCs/>
                <w:color w:val="000000"/>
                <w:sz w:val="18"/>
                <w:lang w:eastAsia="en-AU" w:bidi="ar-SA"/>
              </w:rPr>
            </w:pPr>
            <w:r w:rsidRPr="000B6614">
              <w:rPr>
                <w:rFonts w:ascii="Calibri" w:eastAsia="Times New Roman" w:hAnsi="Calibri"/>
                <w:b/>
                <w:bCs/>
                <w:color w:val="000000"/>
                <w:sz w:val="18"/>
                <w:lang w:eastAsia="en-AU" w:bidi="ar-SA"/>
              </w:rPr>
              <w:t xml:space="preserve">2013 Australian </w:t>
            </w:r>
            <w:r>
              <w:rPr>
                <w:rFonts w:ascii="Calibri" w:eastAsia="Times New Roman" w:hAnsi="Calibri"/>
                <w:b/>
                <w:bCs/>
                <w:color w:val="000000"/>
                <w:sz w:val="18"/>
                <w:lang w:eastAsia="en-AU" w:bidi="ar-SA"/>
              </w:rPr>
              <w:t>p</w:t>
            </w:r>
            <w:r w:rsidRPr="000B6614">
              <w:rPr>
                <w:rFonts w:ascii="Calibri" w:eastAsia="Times New Roman" w:hAnsi="Calibri"/>
                <w:b/>
                <w:bCs/>
                <w:color w:val="000000"/>
                <w:sz w:val="18"/>
                <w:lang w:eastAsia="en-AU" w:bidi="ar-SA"/>
              </w:rPr>
              <w:t>opulation</w:t>
            </w:r>
          </w:p>
        </w:tc>
        <w:tc>
          <w:tcPr>
            <w:tcW w:w="2320" w:type="dxa"/>
            <w:gridSpan w:val="2"/>
            <w:tcBorders>
              <w:top w:val="single" w:sz="4" w:space="0" w:color="auto"/>
              <w:left w:val="nil"/>
              <w:bottom w:val="single" w:sz="4" w:space="0" w:color="auto"/>
              <w:right w:val="single" w:sz="4" w:space="0" w:color="000000"/>
            </w:tcBorders>
            <w:shd w:val="clear" w:color="000000" w:fill="EBF1DE"/>
            <w:vAlign w:val="center"/>
            <w:hideMark/>
          </w:tcPr>
          <w:p w:rsidR="00415BFD" w:rsidRDefault="00415BFD" w:rsidP="00E0033B">
            <w:pPr>
              <w:spacing w:line="240" w:lineRule="auto"/>
              <w:jc w:val="center"/>
              <w:rPr>
                <w:rFonts w:ascii="Calibri" w:eastAsia="Times New Roman" w:hAnsi="Calibri"/>
                <w:b/>
                <w:bCs/>
                <w:color w:val="000000"/>
                <w:sz w:val="18"/>
                <w:lang w:eastAsia="en-AU" w:bidi="ar-SA"/>
              </w:rPr>
            </w:pPr>
            <w:r>
              <w:rPr>
                <w:rFonts w:ascii="Calibri" w:eastAsia="Times New Roman" w:hAnsi="Calibri"/>
                <w:b/>
                <w:bCs/>
                <w:color w:val="000000"/>
                <w:sz w:val="18"/>
                <w:lang w:eastAsia="en-AU" w:bidi="ar-SA"/>
              </w:rPr>
              <w:t xml:space="preserve">Step 2 – </w:t>
            </w:r>
          </w:p>
          <w:p w:rsidR="00415BFD" w:rsidRPr="000B6614" w:rsidRDefault="00415BFD" w:rsidP="00F045C1">
            <w:pPr>
              <w:spacing w:line="240" w:lineRule="auto"/>
              <w:jc w:val="center"/>
              <w:rPr>
                <w:rFonts w:ascii="Calibri" w:eastAsia="Times New Roman" w:hAnsi="Calibri"/>
                <w:b/>
                <w:bCs/>
                <w:color w:val="000000"/>
                <w:sz w:val="18"/>
                <w:lang w:eastAsia="en-AU" w:bidi="ar-SA"/>
              </w:rPr>
            </w:pPr>
            <w:r>
              <w:rPr>
                <w:rFonts w:ascii="Calibri" w:eastAsia="Times New Roman" w:hAnsi="Calibri"/>
                <w:b/>
                <w:bCs/>
                <w:color w:val="000000"/>
                <w:sz w:val="18"/>
                <w:lang w:eastAsia="en-AU" w:bidi="ar-SA"/>
              </w:rPr>
              <w:t>Total students</w:t>
            </w:r>
            <w:r w:rsidRPr="000B6614">
              <w:rPr>
                <w:rFonts w:ascii="Calibri" w:eastAsia="Times New Roman" w:hAnsi="Calibri"/>
                <w:b/>
                <w:bCs/>
                <w:color w:val="000000"/>
                <w:sz w:val="18"/>
                <w:lang w:eastAsia="en-AU" w:bidi="ar-SA"/>
              </w:rPr>
              <w:t xml:space="preserve"> in participating schools</w:t>
            </w:r>
          </w:p>
        </w:tc>
        <w:tc>
          <w:tcPr>
            <w:tcW w:w="2240" w:type="dxa"/>
            <w:gridSpan w:val="2"/>
            <w:tcBorders>
              <w:top w:val="single" w:sz="4" w:space="0" w:color="auto"/>
              <w:left w:val="nil"/>
              <w:bottom w:val="single" w:sz="4" w:space="0" w:color="auto"/>
              <w:right w:val="single" w:sz="4" w:space="0" w:color="000000"/>
            </w:tcBorders>
            <w:shd w:val="clear" w:color="000000" w:fill="EBF1DE"/>
            <w:vAlign w:val="center"/>
            <w:hideMark/>
          </w:tcPr>
          <w:p w:rsidR="00415BFD" w:rsidRDefault="00415BFD" w:rsidP="00E0033B">
            <w:pPr>
              <w:spacing w:line="240" w:lineRule="auto"/>
              <w:jc w:val="center"/>
              <w:rPr>
                <w:rFonts w:ascii="Calibri" w:eastAsia="Times New Roman" w:hAnsi="Calibri"/>
                <w:b/>
                <w:bCs/>
                <w:color w:val="000000"/>
                <w:sz w:val="18"/>
                <w:lang w:eastAsia="en-AU" w:bidi="ar-SA"/>
              </w:rPr>
            </w:pPr>
            <w:r>
              <w:rPr>
                <w:rFonts w:ascii="Calibri" w:eastAsia="Times New Roman" w:hAnsi="Calibri"/>
                <w:b/>
                <w:bCs/>
                <w:color w:val="000000"/>
                <w:sz w:val="18"/>
                <w:lang w:eastAsia="en-AU" w:bidi="ar-SA"/>
              </w:rPr>
              <w:t xml:space="preserve">Step 3 – </w:t>
            </w:r>
          </w:p>
          <w:p w:rsidR="00415BFD" w:rsidRPr="000B6614" w:rsidRDefault="00415BFD" w:rsidP="00F045C1">
            <w:pPr>
              <w:spacing w:line="240" w:lineRule="auto"/>
              <w:jc w:val="center"/>
              <w:rPr>
                <w:rFonts w:ascii="Calibri" w:eastAsia="Times New Roman" w:hAnsi="Calibri"/>
                <w:b/>
                <w:bCs/>
                <w:color w:val="000000"/>
                <w:sz w:val="18"/>
                <w:lang w:eastAsia="en-AU" w:bidi="ar-SA"/>
              </w:rPr>
            </w:pPr>
            <w:r>
              <w:rPr>
                <w:rFonts w:ascii="Calibri" w:eastAsia="Times New Roman" w:hAnsi="Calibri"/>
                <w:b/>
                <w:bCs/>
                <w:color w:val="000000"/>
                <w:sz w:val="18"/>
                <w:lang w:eastAsia="en-AU" w:bidi="ar-SA"/>
              </w:rPr>
              <w:t>Students who agree to participate in the intervention</w:t>
            </w:r>
          </w:p>
        </w:tc>
      </w:tr>
      <w:tr w:rsidR="00415BFD" w:rsidRPr="000B6614" w:rsidTr="000B6614">
        <w:trPr>
          <w:trHeight w:val="255"/>
          <w:jc w:val="center"/>
        </w:trPr>
        <w:tc>
          <w:tcPr>
            <w:tcW w:w="1060" w:type="dxa"/>
            <w:tcBorders>
              <w:top w:val="nil"/>
              <w:left w:val="single" w:sz="4" w:space="0" w:color="auto"/>
              <w:bottom w:val="single" w:sz="4" w:space="0" w:color="auto"/>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b/>
                <w:bCs/>
                <w:color w:val="000000"/>
                <w:sz w:val="18"/>
                <w:lang w:eastAsia="en-AU" w:bidi="ar-SA"/>
              </w:rPr>
            </w:pPr>
            <w:r w:rsidRPr="000B6614">
              <w:rPr>
                <w:rFonts w:ascii="Calibri" w:eastAsia="Times New Roman" w:hAnsi="Calibri"/>
                <w:b/>
                <w:bCs/>
                <w:color w:val="000000"/>
                <w:sz w:val="18"/>
                <w:lang w:eastAsia="en-AU" w:bidi="ar-SA"/>
              </w:rPr>
              <w:t>Age</w:t>
            </w:r>
          </w:p>
        </w:tc>
        <w:tc>
          <w:tcPr>
            <w:tcW w:w="1213" w:type="dxa"/>
            <w:tcBorders>
              <w:top w:val="nil"/>
              <w:left w:val="single" w:sz="4" w:space="0" w:color="auto"/>
              <w:bottom w:val="single" w:sz="4" w:space="0" w:color="auto"/>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b/>
                <w:bCs/>
                <w:color w:val="000000"/>
                <w:sz w:val="18"/>
                <w:lang w:eastAsia="en-AU" w:bidi="ar-SA"/>
              </w:rPr>
            </w:pPr>
            <w:r w:rsidRPr="000B6614">
              <w:rPr>
                <w:rFonts w:ascii="Calibri" w:eastAsia="Times New Roman" w:hAnsi="Calibri"/>
                <w:b/>
                <w:bCs/>
                <w:color w:val="000000"/>
                <w:sz w:val="18"/>
                <w:lang w:eastAsia="en-AU" w:bidi="ar-SA"/>
              </w:rPr>
              <w:t>Male</w:t>
            </w:r>
          </w:p>
        </w:tc>
        <w:tc>
          <w:tcPr>
            <w:tcW w:w="987" w:type="dxa"/>
            <w:tcBorders>
              <w:top w:val="nil"/>
              <w:left w:val="nil"/>
              <w:bottom w:val="single" w:sz="4" w:space="0" w:color="auto"/>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b/>
                <w:bCs/>
                <w:color w:val="000000"/>
                <w:sz w:val="18"/>
                <w:lang w:eastAsia="en-AU" w:bidi="ar-SA"/>
              </w:rPr>
            </w:pPr>
            <w:r w:rsidRPr="000B6614">
              <w:rPr>
                <w:rFonts w:ascii="Calibri" w:eastAsia="Times New Roman" w:hAnsi="Calibri"/>
                <w:b/>
                <w:bCs/>
                <w:color w:val="000000"/>
                <w:sz w:val="18"/>
                <w:lang w:eastAsia="en-AU" w:bidi="ar-SA"/>
              </w:rPr>
              <w:t>Female</w:t>
            </w:r>
          </w:p>
        </w:tc>
        <w:tc>
          <w:tcPr>
            <w:tcW w:w="1279" w:type="dxa"/>
            <w:tcBorders>
              <w:top w:val="nil"/>
              <w:left w:val="nil"/>
              <w:bottom w:val="single" w:sz="4" w:space="0" w:color="auto"/>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b/>
                <w:bCs/>
                <w:color w:val="000000"/>
                <w:sz w:val="18"/>
                <w:lang w:eastAsia="en-AU" w:bidi="ar-SA"/>
              </w:rPr>
            </w:pPr>
            <w:r w:rsidRPr="000B6614">
              <w:rPr>
                <w:rFonts w:ascii="Calibri" w:eastAsia="Times New Roman" w:hAnsi="Calibri"/>
                <w:b/>
                <w:bCs/>
                <w:color w:val="000000"/>
                <w:sz w:val="18"/>
                <w:lang w:eastAsia="en-AU" w:bidi="ar-SA"/>
              </w:rPr>
              <w:t>Male</w:t>
            </w:r>
          </w:p>
        </w:tc>
        <w:tc>
          <w:tcPr>
            <w:tcW w:w="1041" w:type="dxa"/>
            <w:tcBorders>
              <w:top w:val="nil"/>
              <w:left w:val="nil"/>
              <w:bottom w:val="single" w:sz="4" w:space="0" w:color="auto"/>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b/>
                <w:bCs/>
                <w:color w:val="000000"/>
                <w:sz w:val="18"/>
                <w:lang w:eastAsia="en-AU" w:bidi="ar-SA"/>
              </w:rPr>
            </w:pPr>
            <w:r w:rsidRPr="000B6614">
              <w:rPr>
                <w:rFonts w:ascii="Calibri" w:eastAsia="Times New Roman" w:hAnsi="Calibri"/>
                <w:b/>
                <w:bCs/>
                <w:color w:val="000000"/>
                <w:sz w:val="18"/>
                <w:lang w:eastAsia="en-AU" w:bidi="ar-SA"/>
              </w:rPr>
              <w:t>Female</w:t>
            </w:r>
          </w:p>
        </w:tc>
        <w:tc>
          <w:tcPr>
            <w:tcW w:w="1120" w:type="dxa"/>
            <w:tcBorders>
              <w:top w:val="nil"/>
              <w:left w:val="single" w:sz="4" w:space="0" w:color="auto"/>
              <w:bottom w:val="single" w:sz="4" w:space="0" w:color="auto"/>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b/>
                <w:bCs/>
                <w:color w:val="000000"/>
                <w:sz w:val="18"/>
                <w:lang w:eastAsia="en-AU" w:bidi="ar-SA"/>
              </w:rPr>
            </w:pPr>
            <w:r w:rsidRPr="000B6614">
              <w:rPr>
                <w:rFonts w:ascii="Calibri" w:eastAsia="Times New Roman" w:hAnsi="Calibri"/>
                <w:b/>
                <w:bCs/>
                <w:color w:val="000000"/>
                <w:sz w:val="18"/>
                <w:lang w:eastAsia="en-AU" w:bidi="ar-SA"/>
              </w:rPr>
              <w:t>Male</w:t>
            </w:r>
          </w:p>
        </w:tc>
        <w:tc>
          <w:tcPr>
            <w:tcW w:w="1120" w:type="dxa"/>
            <w:tcBorders>
              <w:top w:val="nil"/>
              <w:left w:val="nil"/>
              <w:bottom w:val="single" w:sz="4" w:space="0" w:color="auto"/>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b/>
                <w:bCs/>
                <w:color w:val="000000"/>
                <w:sz w:val="18"/>
                <w:lang w:eastAsia="en-AU" w:bidi="ar-SA"/>
              </w:rPr>
            </w:pPr>
            <w:r w:rsidRPr="000B6614">
              <w:rPr>
                <w:rFonts w:ascii="Calibri" w:eastAsia="Times New Roman" w:hAnsi="Calibri"/>
                <w:b/>
                <w:bCs/>
                <w:color w:val="000000"/>
                <w:sz w:val="18"/>
                <w:lang w:eastAsia="en-AU" w:bidi="ar-SA"/>
              </w:rPr>
              <w:t>Female</w:t>
            </w:r>
          </w:p>
        </w:tc>
      </w:tr>
      <w:tr w:rsidR="00415BFD" w:rsidRPr="000B6614" w:rsidTr="000B6614">
        <w:trPr>
          <w:trHeight w:val="255"/>
          <w:jc w:val="center"/>
        </w:trPr>
        <w:tc>
          <w:tcPr>
            <w:tcW w:w="1060" w:type="dxa"/>
            <w:tcBorders>
              <w:top w:val="nil"/>
              <w:left w:val="single" w:sz="4" w:space="0" w:color="auto"/>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b/>
                <w:bCs/>
                <w:color w:val="000000"/>
                <w:sz w:val="18"/>
                <w:lang w:eastAsia="en-AU" w:bidi="ar-SA"/>
              </w:rPr>
            </w:pPr>
            <w:r w:rsidRPr="000B6614">
              <w:rPr>
                <w:rFonts w:ascii="Calibri" w:eastAsia="Times New Roman" w:hAnsi="Calibri"/>
                <w:b/>
                <w:bCs/>
                <w:color w:val="000000"/>
                <w:sz w:val="18"/>
                <w:lang w:eastAsia="en-AU" w:bidi="ar-SA"/>
              </w:rPr>
              <w:t>11</w:t>
            </w:r>
          </w:p>
        </w:tc>
        <w:tc>
          <w:tcPr>
            <w:tcW w:w="1213" w:type="dxa"/>
            <w:tcBorders>
              <w:top w:val="nil"/>
              <w:left w:val="single" w:sz="4" w:space="0" w:color="auto"/>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141,765</w:t>
            </w:r>
          </w:p>
        </w:tc>
        <w:tc>
          <w:tcPr>
            <w:tcW w:w="987" w:type="dxa"/>
            <w:tcBorders>
              <w:top w:val="nil"/>
              <w:left w:val="nil"/>
              <w:bottom w:val="nil"/>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135,008</w:t>
            </w:r>
          </w:p>
        </w:tc>
        <w:tc>
          <w:tcPr>
            <w:tcW w:w="1279" w:type="dxa"/>
            <w:tcBorders>
              <w:top w:val="nil"/>
              <w:left w:val="nil"/>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141,765</w:t>
            </w:r>
          </w:p>
        </w:tc>
        <w:tc>
          <w:tcPr>
            <w:tcW w:w="1041" w:type="dxa"/>
            <w:tcBorders>
              <w:top w:val="nil"/>
              <w:left w:val="nil"/>
              <w:bottom w:val="nil"/>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135,008</w:t>
            </w:r>
          </w:p>
        </w:tc>
        <w:tc>
          <w:tcPr>
            <w:tcW w:w="1120" w:type="dxa"/>
            <w:tcBorders>
              <w:top w:val="nil"/>
              <w:left w:val="nil"/>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111,418</w:t>
            </w:r>
          </w:p>
        </w:tc>
        <w:tc>
          <w:tcPr>
            <w:tcW w:w="1120" w:type="dxa"/>
            <w:tcBorders>
              <w:top w:val="nil"/>
              <w:left w:val="nil"/>
              <w:bottom w:val="nil"/>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106,108</w:t>
            </w:r>
          </w:p>
        </w:tc>
      </w:tr>
      <w:tr w:rsidR="00415BFD" w:rsidRPr="000B6614" w:rsidTr="000B6614">
        <w:trPr>
          <w:trHeight w:val="255"/>
          <w:jc w:val="center"/>
        </w:trPr>
        <w:tc>
          <w:tcPr>
            <w:tcW w:w="1060" w:type="dxa"/>
            <w:tcBorders>
              <w:top w:val="nil"/>
              <w:left w:val="single" w:sz="4" w:space="0" w:color="auto"/>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b/>
                <w:bCs/>
                <w:color w:val="000000"/>
                <w:sz w:val="18"/>
                <w:lang w:eastAsia="en-AU" w:bidi="ar-SA"/>
              </w:rPr>
            </w:pPr>
            <w:r w:rsidRPr="000B6614">
              <w:rPr>
                <w:rFonts w:ascii="Calibri" w:eastAsia="Times New Roman" w:hAnsi="Calibri"/>
                <w:b/>
                <w:bCs/>
                <w:color w:val="000000"/>
                <w:sz w:val="18"/>
                <w:lang w:eastAsia="en-AU" w:bidi="ar-SA"/>
              </w:rPr>
              <w:t>12</w:t>
            </w:r>
          </w:p>
        </w:tc>
        <w:tc>
          <w:tcPr>
            <w:tcW w:w="1213" w:type="dxa"/>
            <w:tcBorders>
              <w:top w:val="nil"/>
              <w:left w:val="single" w:sz="4" w:space="0" w:color="auto"/>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144,086</w:t>
            </w:r>
          </w:p>
        </w:tc>
        <w:tc>
          <w:tcPr>
            <w:tcW w:w="987" w:type="dxa"/>
            <w:tcBorders>
              <w:top w:val="nil"/>
              <w:left w:val="nil"/>
              <w:bottom w:val="nil"/>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136,569</w:t>
            </w:r>
          </w:p>
        </w:tc>
        <w:tc>
          <w:tcPr>
            <w:tcW w:w="1279" w:type="dxa"/>
            <w:tcBorders>
              <w:top w:val="nil"/>
              <w:left w:val="nil"/>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144,086</w:t>
            </w:r>
          </w:p>
        </w:tc>
        <w:tc>
          <w:tcPr>
            <w:tcW w:w="1041" w:type="dxa"/>
            <w:tcBorders>
              <w:top w:val="nil"/>
              <w:left w:val="nil"/>
              <w:bottom w:val="nil"/>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136,569</w:t>
            </w:r>
          </w:p>
        </w:tc>
        <w:tc>
          <w:tcPr>
            <w:tcW w:w="1120" w:type="dxa"/>
            <w:tcBorders>
              <w:top w:val="nil"/>
              <w:left w:val="nil"/>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113,243</w:t>
            </w:r>
          </w:p>
        </w:tc>
        <w:tc>
          <w:tcPr>
            <w:tcW w:w="1120" w:type="dxa"/>
            <w:tcBorders>
              <w:top w:val="nil"/>
              <w:left w:val="nil"/>
              <w:bottom w:val="nil"/>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107,335</w:t>
            </w:r>
          </w:p>
        </w:tc>
      </w:tr>
      <w:tr w:rsidR="00415BFD" w:rsidRPr="000B6614" w:rsidTr="000B6614">
        <w:trPr>
          <w:trHeight w:val="255"/>
          <w:jc w:val="center"/>
        </w:trPr>
        <w:tc>
          <w:tcPr>
            <w:tcW w:w="1060" w:type="dxa"/>
            <w:tcBorders>
              <w:top w:val="nil"/>
              <w:left w:val="single" w:sz="4" w:space="0" w:color="auto"/>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b/>
                <w:bCs/>
                <w:color w:val="000000"/>
                <w:sz w:val="18"/>
                <w:lang w:eastAsia="en-AU" w:bidi="ar-SA"/>
              </w:rPr>
            </w:pPr>
            <w:r w:rsidRPr="000B6614">
              <w:rPr>
                <w:rFonts w:ascii="Calibri" w:eastAsia="Times New Roman" w:hAnsi="Calibri"/>
                <w:b/>
                <w:bCs/>
                <w:color w:val="000000"/>
                <w:sz w:val="18"/>
                <w:lang w:eastAsia="en-AU" w:bidi="ar-SA"/>
              </w:rPr>
              <w:t>13</w:t>
            </w:r>
          </w:p>
        </w:tc>
        <w:tc>
          <w:tcPr>
            <w:tcW w:w="1213" w:type="dxa"/>
            <w:tcBorders>
              <w:top w:val="nil"/>
              <w:left w:val="single" w:sz="4" w:space="0" w:color="auto"/>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143,945</w:t>
            </w:r>
          </w:p>
        </w:tc>
        <w:tc>
          <w:tcPr>
            <w:tcW w:w="987" w:type="dxa"/>
            <w:tcBorders>
              <w:top w:val="nil"/>
              <w:left w:val="nil"/>
              <w:bottom w:val="nil"/>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137,504</w:t>
            </w:r>
          </w:p>
        </w:tc>
        <w:tc>
          <w:tcPr>
            <w:tcW w:w="1279" w:type="dxa"/>
            <w:tcBorders>
              <w:top w:val="nil"/>
              <w:left w:val="nil"/>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143,945</w:t>
            </w:r>
          </w:p>
        </w:tc>
        <w:tc>
          <w:tcPr>
            <w:tcW w:w="1041" w:type="dxa"/>
            <w:tcBorders>
              <w:top w:val="nil"/>
              <w:left w:val="nil"/>
              <w:bottom w:val="nil"/>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137,504</w:t>
            </w:r>
          </w:p>
        </w:tc>
        <w:tc>
          <w:tcPr>
            <w:tcW w:w="1120" w:type="dxa"/>
            <w:tcBorders>
              <w:top w:val="nil"/>
              <w:left w:val="nil"/>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113,132</w:t>
            </w:r>
          </w:p>
        </w:tc>
        <w:tc>
          <w:tcPr>
            <w:tcW w:w="1120" w:type="dxa"/>
            <w:tcBorders>
              <w:top w:val="nil"/>
              <w:left w:val="nil"/>
              <w:bottom w:val="nil"/>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108,070</w:t>
            </w:r>
          </w:p>
        </w:tc>
      </w:tr>
      <w:tr w:rsidR="00415BFD" w:rsidRPr="000B6614" w:rsidTr="000B6614">
        <w:trPr>
          <w:trHeight w:val="255"/>
          <w:jc w:val="center"/>
        </w:trPr>
        <w:tc>
          <w:tcPr>
            <w:tcW w:w="1060" w:type="dxa"/>
            <w:tcBorders>
              <w:top w:val="nil"/>
              <w:left w:val="single" w:sz="4" w:space="0" w:color="auto"/>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b/>
                <w:bCs/>
                <w:color w:val="000000"/>
                <w:sz w:val="18"/>
                <w:lang w:eastAsia="en-AU" w:bidi="ar-SA"/>
              </w:rPr>
            </w:pPr>
            <w:r w:rsidRPr="000B6614">
              <w:rPr>
                <w:rFonts w:ascii="Calibri" w:eastAsia="Times New Roman" w:hAnsi="Calibri"/>
                <w:b/>
                <w:bCs/>
                <w:color w:val="000000"/>
                <w:sz w:val="18"/>
                <w:lang w:eastAsia="en-AU" w:bidi="ar-SA"/>
              </w:rPr>
              <w:t>14</w:t>
            </w:r>
          </w:p>
        </w:tc>
        <w:tc>
          <w:tcPr>
            <w:tcW w:w="1213" w:type="dxa"/>
            <w:tcBorders>
              <w:top w:val="nil"/>
              <w:left w:val="single" w:sz="4" w:space="0" w:color="auto"/>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144,530</w:t>
            </w:r>
          </w:p>
        </w:tc>
        <w:tc>
          <w:tcPr>
            <w:tcW w:w="987" w:type="dxa"/>
            <w:tcBorders>
              <w:top w:val="nil"/>
              <w:left w:val="nil"/>
              <w:bottom w:val="nil"/>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137,639</w:t>
            </w:r>
          </w:p>
        </w:tc>
        <w:tc>
          <w:tcPr>
            <w:tcW w:w="1279" w:type="dxa"/>
            <w:tcBorders>
              <w:top w:val="nil"/>
              <w:left w:val="nil"/>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144,530</w:t>
            </w:r>
          </w:p>
        </w:tc>
        <w:tc>
          <w:tcPr>
            <w:tcW w:w="1041" w:type="dxa"/>
            <w:tcBorders>
              <w:top w:val="nil"/>
              <w:left w:val="nil"/>
              <w:bottom w:val="nil"/>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137,639</w:t>
            </w:r>
          </w:p>
        </w:tc>
        <w:tc>
          <w:tcPr>
            <w:tcW w:w="1120" w:type="dxa"/>
            <w:tcBorders>
              <w:top w:val="nil"/>
              <w:left w:val="nil"/>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113,592</w:t>
            </w:r>
          </w:p>
        </w:tc>
        <w:tc>
          <w:tcPr>
            <w:tcW w:w="1120" w:type="dxa"/>
            <w:tcBorders>
              <w:top w:val="nil"/>
              <w:left w:val="nil"/>
              <w:bottom w:val="nil"/>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108,176</w:t>
            </w:r>
          </w:p>
        </w:tc>
      </w:tr>
      <w:tr w:rsidR="00415BFD" w:rsidRPr="000B6614" w:rsidTr="000B6614">
        <w:trPr>
          <w:trHeight w:val="255"/>
          <w:jc w:val="center"/>
        </w:trPr>
        <w:tc>
          <w:tcPr>
            <w:tcW w:w="1060" w:type="dxa"/>
            <w:tcBorders>
              <w:top w:val="nil"/>
              <w:left w:val="single" w:sz="4" w:space="0" w:color="auto"/>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b/>
                <w:bCs/>
                <w:color w:val="000000"/>
                <w:sz w:val="18"/>
                <w:lang w:eastAsia="en-AU" w:bidi="ar-SA"/>
              </w:rPr>
            </w:pPr>
            <w:r w:rsidRPr="000B6614">
              <w:rPr>
                <w:rFonts w:ascii="Calibri" w:eastAsia="Times New Roman" w:hAnsi="Calibri"/>
                <w:b/>
                <w:bCs/>
                <w:color w:val="000000"/>
                <w:sz w:val="18"/>
                <w:lang w:eastAsia="en-AU" w:bidi="ar-SA"/>
              </w:rPr>
              <w:t>15</w:t>
            </w:r>
          </w:p>
        </w:tc>
        <w:tc>
          <w:tcPr>
            <w:tcW w:w="1213" w:type="dxa"/>
            <w:tcBorders>
              <w:top w:val="nil"/>
              <w:left w:val="single" w:sz="4" w:space="0" w:color="auto"/>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145,409</w:t>
            </w:r>
          </w:p>
        </w:tc>
        <w:tc>
          <w:tcPr>
            <w:tcW w:w="987" w:type="dxa"/>
            <w:tcBorders>
              <w:top w:val="nil"/>
              <w:left w:val="nil"/>
              <w:bottom w:val="nil"/>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137,479</w:t>
            </w:r>
          </w:p>
        </w:tc>
        <w:tc>
          <w:tcPr>
            <w:tcW w:w="1279" w:type="dxa"/>
            <w:tcBorders>
              <w:top w:val="nil"/>
              <w:left w:val="nil"/>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145,409</w:t>
            </w:r>
          </w:p>
        </w:tc>
        <w:tc>
          <w:tcPr>
            <w:tcW w:w="1041" w:type="dxa"/>
            <w:tcBorders>
              <w:top w:val="nil"/>
              <w:left w:val="nil"/>
              <w:bottom w:val="nil"/>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137,479</w:t>
            </w:r>
          </w:p>
        </w:tc>
        <w:tc>
          <w:tcPr>
            <w:tcW w:w="1120" w:type="dxa"/>
            <w:tcBorders>
              <w:top w:val="nil"/>
              <w:left w:val="nil"/>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114,282</w:t>
            </w:r>
          </w:p>
        </w:tc>
        <w:tc>
          <w:tcPr>
            <w:tcW w:w="1120" w:type="dxa"/>
            <w:tcBorders>
              <w:top w:val="nil"/>
              <w:left w:val="nil"/>
              <w:bottom w:val="nil"/>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108,050</w:t>
            </w:r>
          </w:p>
        </w:tc>
      </w:tr>
      <w:tr w:rsidR="00415BFD" w:rsidRPr="000B6614" w:rsidTr="000B6614">
        <w:trPr>
          <w:trHeight w:val="255"/>
          <w:jc w:val="center"/>
        </w:trPr>
        <w:tc>
          <w:tcPr>
            <w:tcW w:w="1060" w:type="dxa"/>
            <w:tcBorders>
              <w:top w:val="nil"/>
              <w:left w:val="single" w:sz="4" w:space="0" w:color="auto"/>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b/>
                <w:bCs/>
                <w:color w:val="000000"/>
                <w:sz w:val="18"/>
                <w:lang w:eastAsia="en-AU" w:bidi="ar-SA"/>
              </w:rPr>
            </w:pPr>
            <w:r w:rsidRPr="000B6614">
              <w:rPr>
                <w:rFonts w:ascii="Calibri" w:eastAsia="Times New Roman" w:hAnsi="Calibri"/>
                <w:b/>
                <w:bCs/>
                <w:color w:val="000000"/>
                <w:sz w:val="18"/>
                <w:lang w:eastAsia="en-AU" w:bidi="ar-SA"/>
              </w:rPr>
              <w:t>16</w:t>
            </w:r>
          </w:p>
        </w:tc>
        <w:tc>
          <w:tcPr>
            <w:tcW w:w="1213" w:type="dxa"/>
            <w:tcBorders>
              <w:top w:val="nil"/>
              <w:left w:val="single" w:sz="4" w:space="0" w:color="auto"/>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147,554</w:t>
            </w:r>
          </w:p>
        </w:tc>
        <w:tc>
          <w:tcPr>
            <w:tcW w:w="987" w:type="dxa"/>
            <w:tcBorders>
              <w:top w:val="nil"/>
              <w:left w:val="nil"/>
              <w:bottom w:val="nil"/>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140,199</w:t>
            </w:r>
          </w:p>
        </w:tc>
        <w:tc>
          <w:tcPr>
            <w:tcW w:w="1279" w:type="dxa"/>
            <w:tcBorders>
              <w:top w:val="nil"/>
              <w:left w:val="nil"/>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147,554</w:t>
            </w:r>
          </w:p>
        </w:tc>
        <w:tc>
          <w:tcPr>
            <w:tcW w:w="1041" w:type="dxa"/>
            <w:tcBorders>
              <w:top w:val="nil"/>
              <w:left w:val="nil"/>
              <w:bottom w:val="nil"/>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140,199</w:t>
            </w:r>
          </w:p>
        </w:tc>
        <w:tc>
          <w:tcPr>
            <w:tcW w:w="1120" w:type="dxa"/>
            <w:tcBorders>
              <w:top w:val="nil"/>
              <w:left w:val="nil"/>
              <w:bottom w:val="nil"/>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115,968</w:t>
            </w:r>
          </w:p>
        </w:tc>
        <w:tc>
          <w:tcPr>
            <w:tcW w:w="1120" w:type="dxa"/>
            <w:tcBorders>
              <w:top w:val="nil"/>
              <w:left w:val="nil"/>
              <w:bottom w:val="nil"/>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110,188</w:t>
            </w:r>
          </w:p>
        </w:tc>
      </w:tr>
      <w:tr w:rsidR="00415BFD" w:rsidRPr="000B6614" w:rsidTr="000B6614">
        <w:trPr>
          <w:trHeight w:val="255"/>
          <w:jc w:val="center"/>
        </w:trPr>
        <w:tc>
          <w:tcPr>
            <w:tcW w:w="1060" w:type="dxa"/>
            <w:tcBorders>
              <w:top w:val="nil"/>
              <w:left w:val="single" w:sz="4" w:space="0" w:color="auto"/>
              <w:bottom w:val="single" w:sz="4" w:space="0" w:color="auto"/>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b/>
                <w:bCs/>
                <w:color w:val="000000"/>
                <w:sz w:val="18"/>
                <w:lang w:eastAsia="en-AU" w:bidi="ar-SA"/>
              </w:rPr>
            </w:pPr>
            <w:r w:rsidRPr="000B6614">
              <w:rPr>
                <w:rFonts w:ascii="Calibri" w:eastAsia="Times New Roman" w:hAnsi="Calibri"/>
                <w:b/>
                <w:bCs/>
                <w:color w:val="000000"/>
                <w:sz w:val="18"/>
                <w:lang w:eastAsia="en-AU" w:bidi="ar-SA"/>
              </w:rPr>
              <w:t>17</w:t>
            </w:r>
          </w:p>
        </w:tc>
        <w:tc>
          <w:tcPr>
            <w:tcW w:w="1213" w:type="dxa"/>
            <w:tcBorders>
              <w:top w:val="nil"/>
              <w:left w:val="single" w:sz="4" w:space="0" w:color="auto"/>
              <w:bottom w:val="single" w:sz="4" w:space="0" w:color="auto"/>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149,706</w:t>
            </w:r>
          </w:p>
        </w:tc>
        <w:tc>
          <w:tcPr>
            <w:tcW w:w="987" w:type="dxa"/>
            <w:tcBorders>
              <w:top w:val="nil"/>
              <w:left w:val="nil"/>
              <w:bottom w:val="single" w:sz="4" w:space="0" w:color="auto"/>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141,170</w:t>
            </w:r>
          </w:p>
        </w:tc>
        <w:tc>
          <w:tcPr>
            <w:tcW w:w="1279" w:type="dxa"/>
            <w:tcBorders>
              <w:top w:val="nil"/>
              <w:left w:val="nil"/>
              <w:bottom w:val="single" w:sz="4" w:space="0" w:color="auto"/>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149,706</w:t>
            </w:r>
          </w:p>
        </w:tc>
        <w:tc>
          <w:tcPr>
            <w:tcW w:w="1041" w:type="dxa"/>
            <w:tcBorders>
              <w:top w:val="nil"/>
              <w:left w:val="nil"/>
              <w:bottom w:val="single" w:sz="4" w:space="0" w:color="auto"/>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141,170</w:t>
            </w:r>
          </w:p>
        </w:tc>
        <w:tc>
          <w:tcPr>
            <w:tcW w:w="1120" w:type="dxa"/>
            <w:tcBorders>
              <w:top w:val="nil"/>
              <w:left w:val="nil"/>
              <w:bottom w:val="single" w:sz="4" w:space="0" w:color="auto"/>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117,660</w:t>
            </w:r>
          </w:p>
        </w:tc>
        <w:tc>
          <w:tcPr>
            <w:tcW w:w="1120" w:type="dxa"/>
            <w:tcBorders>
              <w:top w:val="nil"/>
              <w:left w:val="nil"/>
              <w:bottom w:val="single" w:sz="4" w:space="0" w:color="auto"/>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110,951</w:t>
            </w:r>
          </w:p>
        </w:tc>
      </w:tr>
      <w:tr w:rsidR="00415BFD" w:rsidRPr="000B6614" w:rsidTr="000B6614">
        <w:trPr>
          <w:trHeight w:val="255"/>
          <w:jc w:val="center"/>
        </w:trPr>
        <w:tc>
          <w:tcPr>
            <w:tcW w:w="1060" w:type="dxa"/>
            <w:tcBorders>
              <w:top w:val="nil"/>
              <w:left w:val="single" w:sz="4" w:space="0" w:color="auto"/>
              <w:bottom w:val="single" w:sz="4" w:space="0" w:color="auto"/>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b/>
                <w:bCs/>
                <w:color w:val="000000"/>
                <w:sz w:val="18"/>
                <w:lang w:eastAsia="en-AU" w:bidi="ar-SA"/>
              </w:rPr>
            </w:pPr>
            <w:r w:rsidRPr="000B6614">
              <w:rPr>
                <w:rFonts w:ascii="Calibri" w:eastAsia="Times New Roman" w:hAnsi="Calibri"/>
                <w:b/>
                <w:bCs/>
                <w:color w:val="000000"/>
                <w:sz w:val="18"/>
                <w:lang w:eastAsia="en-AU" w:bidi="ar-SA"/>
              </w:rPr>
              <w:t>Total</w:t>
            </w:r>
          </w:p>
        </w:tc>
        <w:tc>
          <w:tcPr>
            <w:tcW w:w="1213" w:type="dxa"/>
            <w:tcBorders>
              <w:top w:val="nil"/>
              <w:left w:val="single" w:sz="4" w:space="0" w:color="auto"/>
              <w:bottom w:val="single" w:sz="4" w:space="0" w:color="auto"/>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1,016,995</w:t>
            </w:r>
          </w:p>
        </w:tc>
        <w:tc>
          <w:tcPr>
            <w:tcW w:w="987" w:type="dxa"/>
            <w:tcBorders>
              <w:top w:val="nil"/>
              <w:left w:val="nil"/>
              <w:bottom w:val="single" w:sz="4" w:space="0" w:color="auto"/>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965,568</w:t>
            </w:r>
          </w:p>
        </w:tc>
        <w:tc>
          <w:tcPr>
            <w:tcW w:w="1279" w:type="dxa"/>
            <w:tcBorders>
              <w:top w:val="nil"/>
              <w:left w:val="nil"/>
              <w:bottom w:val="single" w:sz="4" w:space="0" w:color="auto"/>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1,016,995</w:t>
            </w:r>
          </w:p>
        </w:tc>
        <w:tc>
          <w:tcPr>
            <w:tcW w:w="1041" w:type="dxa"/>
            <w:tcBorders>
              <w:top w:val="nil"/>
              <w:left w:val="nil"/>
              <w:bottom w:val="single" w:sz="4" w:space="0" w:color="auto"/>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965,568</w:t>
            </w:r>
          </w:p>
        </w:tc>
        <w:tc>
          <w:tcPr>
            <w:tcW w:w="1120" w:type="dxa"/>
            <w:tcBorders>
              <w:top w:val="nil"/>
              <w:left w:val="single" w:sz="4" w:space="0" w:color="auto"/>
              <w:bottom w:val="single" w:sz="4" w:space="0" w:color="auto"/>
              <w:right w:val="nil"/>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799,295</w:t>
            </w:r>
          </w:p>
        </w:tc>
        <w:tc>
          <w:tcPr>
            <w:tcW w:w="1120" w:type="dxa"/>
            <w:tcBorders>
              <w:top w:val="nil"/>
              <w:left w:val="nil"/>
              <w:bottom w:val="single" w:sz="4" w:space="0" w:color="auto"/>
              <w:right w:val="single" w:sz="4" w:space="0" w:color="auto"/>
            </w:tcBorders>
            <w:shd w:val="clear" w:color="000000" w:fill="EBF1DE"/>
            <w:noWrap/>
            <w:vAlign w:val="center"/>
            <w:hideMark/>
          </w:tcPr>
          <w:p w:rsidR="00415BFD" w:rsidRPr="000B6614" w:rsidRDefault="00415BFD" w:rsidP="00F045C1">
            <w:pPr>
              <w:spacing w:line="240" w:lineRule="auto"/>
              <w:jc w:val="center"/>
              <w:rPr>
                <w:rFonts w:ascii="Calibri" w:eastAsia="Times New Roman" w:hAnsi="Calibri"/>
                <w:color w:val="000000"/>
                <w:sz w:val="18"/>
                <w:lang w:eastAsia="en-AU" w:bidi="ar-SA"/>
              </w:rPr>
            </w:pPr>
            <w:r w:rsidRPr="000B6614">
              <w:rPr>
                <w:rFonts w:ascii="Calibri" w:eastAsia="Times New Roman" w:hAnsi="Calibri"/>
                <w:color w:val="000000"/>
                <w:sz w:val="18"/>
                <w:lang w:eastAsia="en-AU" w:bidi="ar-SA"/>
              </w:rPr>
              <w:t>758,876</w:t>
            </w:r>
          </w:p>
        </w:tc>
      </w:tr>
    </w:tbl>
    <w:p w:rsidR="00415BFD" w:rsidRDefault="00415BFD" w:rsidP="004F3091">
      <w:pPr>
        <w:rPr>
          <w:lang w:bidi="ar-SA"/>
        </w:rPr>
      </w:pPr>
    </w:p>
    <w:p w:rsidR="00415BFD" w:rsidRDefault="00415BFD" w:rsidP="004F3091">
      <w:pPr>
        <w:rPr>
          <w:lang w:bidi="ar-SA"/>
        </w:rPr>
      </w:pPr>
    </w:p>
    <w:p w:rsidR="00415BFD" w:rsidRDefault="00415BFD" w:rsidP="004F3091">
      <w:pPr>
        <w:pStyle w:val="Heading3"/>
      </w:pPr>
      <w:bookmarkStart w:id="69" w:name="_Ref451278064"/>
      <w:bookmarkStart w:id="70" w:name="_Ref451286399"/>
      <w:bookmarkStart w:id="71" w:name="_Toc452066397"/>
      <w:r>
        <w:t>Eligible population for indicated prevention</w:t>
      </w:r>
      <w:bookmarkEnd w:id="69"/>
      <w:bookmarkEnd w:id="70"/>
      <w:bookmarkEnd w:id="71"/>
    </w:p>
    <w:p w:rsidR="00415BFD" w:rsidRDefault="00415BFD" w:rsidP="004F3091">
      <w:pPr>
        <w:rPr>
          <w:lang w:bidi="ar-SA"/>
        </w:rPr>
      </w:pPr>
      <w:r>
        <w:rPr>
          <w:lang w:bidi="ar-SA"/>
        </w:rPr>
        <w:t xml:space="preserve">The eligible population for indicated prevention includes all youth aged 11-17 years in the Australian population who are identified as having subthreshold depressive symptoms. As part of this process, we accounted for the likelihood of attrition as reported for intervention pathways described in meta-analysed RCT studies (see </w:t>
      </w:r>
      <w:r>
        <w:rPr>
          <w:lang w:bidi="ar-SA"/>
        </w:rPr>
        <w:fldChar w:fldCharType="begin"/>
      </w:r>
      <w:r>
        <w:rPr>
          <w:lang w:bidi="ar-SA"/>
        </w:rPr>
        <w:instrText xml:space="preserve"> REF _Ref451343900 \n \h </w:instrText>
      </w:r>
      <w:r>
        <w:rPr>
          <w:lang w:bidi="ar-SA"/>
        </w:rPr>
      </w:r>
      <w:r>
        <w:rPr>
          <w:lang w:bidi="ar-SA"/>
        </w:rPr>
        <w:fldChar w:fldCharType="separate"/>
      </w:r>
      <w:r>
        <w:rPr>
          <w:lang w:bidi="ar-SA"/>
        </w:rPr>
        <w:t>Table 1</w:t>
      </w:r>
      <w:r>
        <w:rPr>
          <w:lang w:bidi="ar-SA"/>
        </w:rPr>
        <w:fldChar w:fldCharType="end"/>
      </w:r>
      <w:r>
        <w:rPr>
          <w:lang w:bidi="ar-SA"/>
        </w:rPr>
        <w:t xml:space="preserve">). Steps to identify the eligible population are shown in </w:t>
      </w:r>
      <w:r>
        <w:fldChar w:fldCharType="begin"/>
      </w:r>
      <w:r>
        <w:instrText xml:space="preserve"> REF _Ref432843840 \n \h </w:instrText>
      </w:r>
      <w:r>
        <w:fldChar w:fldCharType="separate"/>
      </w:r>
      <w:r>
        <w:t>Figure 14</w:t>
      </w:r>
      <w:r>
        <w:fldChar w:fldCharType="end"/>
      </w:r>
      <w:r>
        <w:t>,</w:t>
      </w:r>
      <w:r>
        <w:rPr>
          <w:lang w:bidi="ar-SA"/>
        </w:rPr>
        <w:t xml:space="preserve"> which include:</w:t>
      </w:r>
    </w:p>
    <w:p w:rsidR="00415BFD" w:rsidRDefault="00415BFD" w:rsidP="004F3091">
      <w:pPr>
        <w:rPr>
          <w:lang w:bidi="ar-SA"/>
        </w:rPr>
      </w:pPr>
    </w:p>
    <w:p w:rsidR="00415BFD" w:rsidRPr="003B62C4" w:rsidRDefault="00415BFD" w:rsidP="003B62C4">
      <w:pPr>
        <w:pStyle w:val="Explanatorytextmargins"/>
      </w:pPr>
      <w:r>
        <w:rPr>
          <w:u w:val="single"/>
        </w:rPr>
        <w:t xml:space="preserve">Step 1 – </w:t>
      </w:r>
      <w:r w:rsidRPr="00FA32DB">
        <w:rPr>
          <w:u w:val="single"/>
        </w:rPr>
        <w:t>2013 Australian population.</w:t>
      </w:r>
      <w:r w:rsidRPr="003B62C4">
        <w:t xml:space="preserve"> Start with the 2013 Australian population aged 11-17 years. This was N = 1,982,563 based on data obtained from the Australian Bureau of Statistics.</w:t>
      </w:r>
    </w:p>
    <w:p w:rsidR="00415BFD" w:rsidRPr="003B62C4" w:rsidRDefault="00415BFD" w:rsidP="003B62C4">
      <w:pPr>
        <w:pStyle w:val="Explanatorytextmargins"/>
      </w:pPr>
      <w:r>
        <w:rPr>
          <w:u w:val="single"/>
        </w:rPr>
        <w:t xml:space="preserve">Step 2 – </w:t>
      </w:r>
      <w:r w:rsidRPr="00FA32DB">
        <w:rPr>
          <w:u w:val="single"/>
        </w:rPr>
        <w:t>School participation rate.</w:t>
      </w:r>
      <w:r w:rsidRPr="003B62C4">
        <w:t xml:space="preserve"> We assume</w:t>
      </w:r>
      <w:r>
        <w:t>d</w:t>
      </w:r>
      <w:r w:rsidRPr="003B62C4">
        <w:t xml:space="preserve"> a 100% school participation rate similar to that chosen for the universal prevention interven</w:t>
      </w:r>
      <w:r>
        <w:t>tion. See description of this parameter</w:t>
      </w:r>
      <w:r w:rsidRPr="003B62C4">
        <w:t xml:space="preserve"> in</w:t>
      </w:r>
      <w:r>
        <w:t xml:space="preserve"> section</w:t>
      </w:r>
      <w:r w:rsidRPr="003B62C4">
        <w:t xml:space="preserve"> </w:t>
      </w:r>
      <w:r>
        <w:fldChar w:fldCharType="begin"/>
      </w:r>
      <w:r>
        <w:instrText xml:space="preserve"> REF _Ref450772294 \n \h </w:instrText>
      </w:r>
      <w:r>
        <w:fldChar w:fldCharType="separate"/>
      </w:r>
      <w:r>
        <w:t>3.2</w:t>
      </w:r>
      <w:r>
        <w:fldChar w:fldCharType="end"/>
      </w:r>
      <w:r>
        <w:t xml:space="preserve"> and </w:t>
      </w:r>
      <w:r>
        <w:fldChar w:fldCharType="begin"/>
      </w:r>
      <w:r>
        <w:instrText xml:space="preserve"> REF _Ref451344041 \n \h </w:instrText>
      </w:r>
      <w:r>
        <w:fldChar w:fldCharType="separate"/>
      </w:r>
      <w:r>
        <w:t>Table 1</w:t>
      </w:r>
      <w:r>
        <w:fldChar w:fldCharType="end"/>
      </w:r>
      <w:r w:rsidRPr="003B62C4">
        <w:t>.</w:t>
      </w:r>
    </w:p>
    <w:p w:rsidR="00415BFD" w:rsidRPr="003B62C4" w:rsidRDefault="00415BFD" w:rsidP="003B62C4">
      <w:pPr>
        <w:pStyle w:val="Explanatorytextmargins"/>
      </w:pPr>
      <w:r>
        <w:rPr>
          <w:u w:val="single"/>
        </w:rPr>
        <w:t xml:space="preserve">Step 3 – </w:t>
      </w:r>
      <w:r w:rsidRPr="00FA32DB">
        <w:rPr>
          <w:u w:val="single"/>
        </w:rPr>
        <w:t>Screening for depressive symptoms.</w:t>
      </w:r>
      <w:r w:rsidRPr="003B62C4">
        <w:t xml:space="preserve"> </w:t>
      </w:r>
      <w:r>
        <w:t xml:space="preserve">We assumed that the CES-D </w:t>
      </w:r>
      <w:r w:rsidRPr="003B62C4">
        <w:t xml:space="preserve">screening tool </w:t>
      </w:r>
      <w:r>
        <w:t>would be</w:t>
      </w:r>
      <w:r w:rsidRPr="003B62C4">
        <w:t xml:space="preserve"> distributed in classrooms across all participating schools to identify students with clinically relevant depressive symptoms. The</w:t>
      </w:r>
      <w:r>
        <w:t xml:space="preserve"> child and adolescent component of the</w:t>
      </w:r>
      <w:r w:rsidRPr="003B62C4">
        <w:t xml:space="preserve"> 1997 National Survey of Mental Health and Wellbeing found that 20.6% of youth aged 13-17 years had a CES-D score above the cut-off of 16 [10]. The age-sex breakdown of these estimates is provided below. We assumed that youth aged 11-12 years had an identical proportion to those aged 13 years (i.e., 12.4% and 18.6% for males and females respectively) due to 13-year-olds being the lowest age group captured by the survey.</w:t>
      </w:r>
    </w:p>
    <w:p w:rsidR="00415BFD" w:rsidRDefault="00415BFD" w:rsidP="00844EEE"/>
    <w:p w:rsidR="00415BFD" w:rsidRDefault="00415BFD" w:rsidP="00415BFD">
      <w:pPr>
        <w:pStyle w:val="MyTable"/>
        <w:numPr>
          <w:ilvl w:val="3"/>
          <w:numId w:val="9"/>
        </w:numPr>
      </w:pPr>
      <w:bookmarkStart w:id="72" w:name="_Ref450826036"/>
      <w:bookmarkStart w:id="73" w:name="_Toc452066453"/>
      <w:r>
        <w:t>Age-sex breakdown of the proportion of youth aged 13-17 years who have a CES-D score above a cut-off of 16</w:t>
      </w:r>
      <w:bookmarkEnd w:id="72"/>
      <w:bookmarkEnd w:id="73"/>
    </w:p>
    <w:tbl>
      <w:tblPr>
        <w:tblW w:w="3020" w:type="dxa"/>
        <w:jc w:val="center"/>
        <w:tblLook w:val="04A0" w:firstRow="1" w:lastRow="0" w:firstColumn="1" w:lastColumn="0" w:noHBand="0" w:noVBand="1"/>
      </w:tblPr>
      <w:tblGrid>
        <w:gridCol w:w="1120"/>
        <w:gridCol w:w="960"/>
        <w:gridCol w:w="940"/>
      </w:tblGrid>
      <w:tr w:rsidR="00415BFD" w:rsidRPr="009331C2" w:rsidTr="00123FA3">
        <w:trPr>
          <w:trHeight w:val="283"/>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BFD" w:rsidRPr="009331C2" w:rsidRDefault="00415BFD" w:rsidP="00F045C1">
            <w:pPr>
              <w:spacing w:line="240" w:lineRule="auto"/>
              <w:jc w:val="center"/>
              <w:rPr>
                <w:rFonts w:ascii="Calibri" w:eastAsia="Times New Roman" w:hAnsi="Calibri"/>
                <w:b/>
                <w:bCs/>
                <w:color w:val="000000"/>
                <w:sz w:val="19"/>
                <w:szCs w:val="19"/>
                <w:lang w:eastAsia="en-AU" w:bidi="ar-SA"/>
              </w:rPr>
            </w:pPr>
            <w:r w:rsidRPr="009331C2">
              <w:rPr>
                <w:rFonts w:ascii="Calibri" w:eastAsia="Times New Roman" w:hAnsi="Calibri"/>
                <w:b/>
                <w:bCs/>
                <w:color w:val="000000"/>
                <w:sz w:val="19"/>
                <w:szCs w:val="19"/>
                <w:lang w:eastAsia="en-AU" w:bidi="ar-SA"/>
              </w:rPr>
              <w:t>Age</w:t>
            </w:r>
          </w:p>
        </w:tc>
        <w:tc>
          <w:tcPr>
            <w:tcW w:w="960" w:type="dxa"/>
            <w:tcBorders>
              <w:top w:val="single" w:sz="4" w:space="0" w:color="auto"/>
              <w:left w:val="nil"/>
              <w:bottom w:val="single" w:sz="4" w:space="0" w:color="auto"/>
              <w:right w:val="nil"/>
            </w:tcBorders>
            <w:shd w:val="clear" w:color="auto" w:fill="auto"/>
            <w:noWrap/>
            <w:vAlign w:val="center"/>
            <w:hideMark/>
          </w:tcPr>
          <w:p w:rsidR="00415BFD" w:rsidRPr="009331C2" w:rsidRDefault="00415BFD" w:rsidP="00F045C1">
            <w:pPr>
              <w:spacing w:line="240" w:lineRule="auto"/>
              <w:jc w:val="center"/>
              <w:rPr>
                <w:rFonts w:ascii="Calibri" w:eastAsia="Times New Roman" w:hAnsi="Calibri"/>
                <w:b/>
                <w:bCs/>
                <w:color w:val="000000"/>
                <w:sz w:val="19"/>
                <w:szCs w:val="19"/>
                <w:lang w:eastAsia="en-AU" w:bidi="ar-SA"/>
              </w:rPr>
            </w:pPr>
            <w:r w:rsidRPr="009331C2">
              <w:rPr>
                <w:rFonts w:ascii="Calibri" w:eastAsia="Times New Roman" w:hAnsi="Calibri"/>
                <w:b/>
                <w:bCs/>
                <w:color w:val="000000"/>
                <w:sz w:val="19"/>
                <w:szCs w:val="19"/>
                <w:lang w:eastAsia="en-AU" w:bidi="ar-SA"/>
              </w:rPr>
              <w:t>Male</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BFD" w:rsidRPr="009331C2" w:rsidRDefault="00415BFD" w:rsidP="00F045C1">
            <w:pPr>
              <w:spacing w:line="240" w:lineRule="auto"/>
              <w:jc w:val="center"/>
              <w:rPr>
                <w:rFonts w:ascii="Calibri" w:eastAsia="Times New Roman" w:hAnsi="Calibri"/>
                <w:b/>
                <w:bCs/>
                <w:color w:val="000000"/>
                <w:sz w:val="19"/>
                <w:szCs w:val="19"/>
                <w:lang w:eastAsia="en-AU" w:bidi="ar-SA"/>
              </w:rPr>
            </w:pPr>
            <w:r w:rsidRPr="009331C2">
              <w:rPr>
                <w:rFonts w:ascii="Calibri" w:eastAsia="Times New Roman" w:hAnsi="Calibri"/>
                <w:b/>
                <w:bCs/>
                <w:color w:val="000000"/>
                <w:sz w:val="19"/>
                <w:szCs w:val="19"/>
                <w:lang w:eastAsia="en-AU" w:bidi="ar-SA"/>
              </w:rPr>
              <w:t>Female</w:t>
            </w:r>
          </w:p>
        </w:tc>
      </w:tr>
      <w:tr w:rsidR="00415BFD" w:rsidRPr="009331C2" w:rsidTr="009331C2">
        <w:trPr>
          <w:trHeight w:val="255"/>
          <w:jc w:val="center"/>
        </w:trPr>
        <w:tc>
          <w:tcPr>
            <w:tcW w:w="1120" w:type="dxa"/>
            <w:tcBorders>
              <w:top w:val="nil"/>
              <w:left w:val="single" w:sz="4" w:space="0" w:color="auto"/>
              <w:bottom w:val="nil"/>
              <w:right w:val="single" w:sz="4" w:space="0" w:color="auto"/>
            </w:tcBorders>
            <w:shd w:val="clear" w:color="auto" w:fill="auto"/>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13</w:t>
            </w:r>
          </w:p>
        </w:tc>
        <w:tc>
          <w:tcPr>
            <w:tcW w:w="960" w:type="dxa"/>
            <w:tcBorders>
              <w:top w:val="nil"/>
              <w:left w:val="nil"/>
              <w:bottom w:val="nil"/>
              <w:right w:val="nil"/>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12.4%</w:t>
            </w:r>
          </w:p>
        </w:tc>
        <w:tc>
          <w:tcPr>
            <w:tcW w:w="940" w:type="dxa"/>
            <w:tcBorders>
              <w:top w:val="nil"/>
              <w:left w:val="single" w:sz="4" w:space="0" w:color="auto"/>
              <w:bottom w:val="nil"/>
              <w:right w:val="single" w:sz="4" w:space="0" w:color="auto"/>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18.6%</w:t>
            </w:r>
          </w:p>
        </w:tc>
      </w:tr>
      <w:tr w:rsidR="00415BFD" w:rsidRPr="009331C2" w:rsidTr="009331C2">
        <w:trPr>
          <w:trHeight w:val="255"/>
          <w:jc w:val="center"/>
        </w:trPr>
        <w:tc>
          <w:tcPr>
            <w:tcW w:w="1120" w:type="dxa"/>
            <w:tcBorders>
              <w:top w:val="nil"/>
              <w:left w:val="single" w:sz="4" w:space="0" w:color="auto"/>
              <w:bottom w:val="nil"/>
              <w:right w:val="single" w:sz="4" w:space="0" w:color="auto"/>
            </w:tcBorders>
            <w:shd w:val="clear" w:color="auto" w:fill="auto"/>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14</w:t>
            </w:r>
          </w:p>
        </w:tc>
        <w:tc>
          <w:tcPr>
            <w:tcW w:w="960" w:type="dxa"/>
            <w:tcBorders>
              <w:top w:val="nil"/>
              <w:left w:val="nil"/>
              <w:bottom w:val="nil"/>
              <w:right w:val="nil"/>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13.6%</w:t>
            </w:r>
          </w:p>
        </w:tc>
        <w:tc>
          <w:tcPr>
            <w:tcW w:w="940" w:type="dxa"/>
            <w:tcBorders>
              <w:top w:val="nil"/>
              <w:left w:val="single" w:sz="4" w:space="0" w:color="auto"/>
              <w:bottom w:val="nil"/>
              <w:right w:val="single" w:sz="4" w:space="0" w:color="auto"/>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29.0%</w:t>
            </w:r>
          </w:p>
        </w:tc>
      </w:tr>
      <w:tr w:rsidR="00415BFD" w:rsidRPr="009331C2" w:rsidTr="009331C2">
        <w:trPr>
          <w:trHeight w:val="255"/>
          <w:jc w:val="center"/>
        </w:trPr>
        <w:tc>
          <w:tcPr>
            <w:tcW w:w="1120" w:type="dxa"/>
            <w:tcBorders>
              <w:top w:val="nil"/>
              <w:left w:val="single" w:sz="4" w:space="0" w:color="auto"/>
              <w:bottom w:val="nil"/>
              <w:right w:val="single" w:sz="4" w:space="0" w:color="auto"/>
            </w:tcBorders>
            <w:shd w:val="clear" w:color="auto" w:fill="auto"/>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15</w:t>
            </w:r>
          </w:p>
        </w:tc>
        <w:tc>
          <w:tcPr>
            <w:tcW w:w="960" w:type="dxa"/>
            <w:tcBorders>
              <w:top w:val="nil"/>
              <w:left w:val="nil"/>
              <w:bottom w:val="nil"/>
              <w:right w:val="nil"/>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17.6%</w:t>
            </w:r>
          </w:p>
        </w:tc>
        <w:tc>
          <w:tcPr>
            <w:tcW w:w="940" w:type="dxa"/>
            <w:tcBorders>
              <w:top w:val="nil"/>
              <w:left w:val="single" w:sz="4" w:space="0" w:color="auto"/>
              <w:bottom w:val="nil"/>
              <w:right w:val="single" w:sz="4" w:space="0" w:color="auto"/>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34.8%</w:t>
            </w:r>
          </w:p>
        </w:tc>
      </w:tr>
      <w:tr w:rsidR="00415BFD" w:rsidRPr="009331C2" w:rsidTr="009331C2">
        <w:trPr>
          <w:trHeight w:val="255"/>
          <w:jc w:val="center"/>
        </w:trPr>
        <w:tc>
          <w:tcPr>
            <w:tcW w:w="1120" w:type="dxa"/>
            <w:tcBorders>
              <w:top w:val="nil"/>
              <w:left w:val="single" w:sz="4" w:space="0" w:color="auto"/>
              <w:bottom w:val="nil"/>
              <w:right w:val="single" w:sz="4" w:space="0" w:color="auto"/>
            </w:tcBorders>
            <w:shd w:val="clear" w:color="auto" w:fill="auto"/>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16</w:t>
            </w:r>
          </w:p>
        </w:tc>
        <w:tc>
          <w:tcPr>
            <w:tcW w:w="960" w:type="dxa"/>
            <w:tcBorders>
              <w:top w:val="nil"/>
              <w:left w:val="nil"/>
              <w:bottom w:val="nil"/>
              <w:right w:val="nil"/>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17.2%</w:t>
            </w:r>
          </w:p>
        </w:tc>
        <w:tc>
          <w:tcPr>
            <w:tcW w:w="940" w:type="dxa"/>
            <w:tcBorders>
              <w:top w:val="nil"/>
              <w:left w:val="single" w:sz="4" w:space="0" w:color="auto"/>
              <w:bottom w:val="nil"/>
              <w:right w:val="single" w:sz="4" w:space="0" w:color="auto"/>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29.4%</w:t>
            </w:r>
          </w:p>
        </w:tc>
      </w:tr>
      <w:tr w:rsidR="00415BFD" w:rsidRPr="009331C2" w:rsidTr="009331C2">
        <w:trPr>
          <w:trHeight w:val="255"/>
          <w:jc w:val="center"/>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17</w:t>
            </w:r>
          </w:p>
        </w:tc>
        <w:tc>
          <w:tcPr>
            <w:tcW w:w="960" w:type="dxa"/>
            <w:tcBorders>
              <w:top w:val="nil"/>
              <w:left w:val="nil"/>
              <w:bottom w:val="single" w:sz="4" w:space="0" w:color="auto"/>
              <w:right w:val="nil"/>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23.4%</w:t>
            </w:r>
          </w:p>
        </w:tc>
        <w:tc>
          <w:tcPr>
            <w:tcW w:w="940" w:type="dxa"/>
            <w:tcBorders>
              <w:top w:val="nil"/>
              <w:left w:val="single" w:sz="4" w:space="0" w:color="auto"/>
              <w:bottom w:val="single" w:sz="4" w:space="0" w:color="auto"/>
              <w:right w:val="single" w:sz="4" w:space="0" w:color="auto"/>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31.5%</w:t>
            </w:r>
          </w:p>
        </w:tc>
      </w:tr>
    </w:tbl>
    <w:p w:rsidR="00415BFD" w:rsidRPr="00134E80" w:rsidRDefault="00415BFD" w:rsidP="004F3091"/>
    <w:p w:rsidR="00415BFD" w:rsidRDefault="00415BFD" w:rsidP="007E6E85">
      <w:pPr>
        <w:pStyle w:val="Explanatorytextmargins"/>
      </w:pPr>
      <w:r>
        <w:rPr>
          <w:u w:val="single"/>
        </w:rPr>
        <w:t xml:space="preserve">Step 4 – </w:t>
      </w:r>
      <w:r w:rsidRPr="00C56FF8">
        <w:rPr>
          <w:u w:val="single"/>
        </w:rPr>
        <w:t>Further diagnostic testing.</w:t>
      </w:r>
      <w:r>
        <w:t xml:space="preserve"> All students who tested positive for elevated depressive symptoms on the CES-D were referred to a (salaried) psychologist for further diagnostic testing using a structured clinical interview (i.e., the Diagnostic Interview Schedule for Children or DISC-IV) to ascertain whether they had a depressive disorder diagnosis. Three RCT studies identified in the previous meta-review of intervention efficacy (included in </w:t>
      </w:r>
      <w:r>
        <w:fldChar w:fldCharType="begin"/>
      </w:r>
      <w:r>
        <w:instrText xml:space="preserve"> REF _Ref432883546 \n \h  \* MERGEFORMAT </w:instrText>
      </w:r>
      <w:r>
        <w:fldChar w:fldCharType="separate"/>
      </w:r>
      <w:r>
        <w:t>Table 6</w:t>
      </w:r>
      <w:r>
        <w:fldChar w:fldCharType="end"/>
      </w:r>
      <w:r>
        <w:t xml:space="preserve">) contained data on the proportion of students who are screened using a depression symptom rating scale and subsequently agree to participate in further diagnostic testing. We meta-analysed data from these studies to calculate the pooled proportion of students who agree to participate in further diagnostic testing (see </w:t>
      </w:r>
      <w:r>
        <w:fldChar w:fldCharType="begin"/>
      </w:r>
      <w:r>
        <w:instrText xml:space="preserve"> REF _Ref432843127 \n \h  \* MERGEFORMAT </w:instrText>
      </w:r>
      <w:r>
        <w:fldChar w:fldCharType="separate"/>
      </w:r>
      <w:r>
        <w:t>Figure 12</w:t>
      </w:r>
      <w:r>
        <w:fldChar w:fldCharType="end"/>
      </w:r>
      <w:r>
        <w:t xml:space="preserve">). From this, we found that 45.2% (95% CI: 41.7 - 48.7) of participants who screen positive on the CES-D also obtain parental consent for further diagnostic testing </w:t>
      </w:r>
      <w:r>
        <w:rPr>
          <w:noProof/>
        </w:rPr>
        <w:t>[53,54,60]</w:t>
      </w:r>
      <w:r>
        <w:t>.</w:t>
      </w:r>
    </w:p>
    <w:p w:rsidR="00415BFD" w:rsidRDefault="00415BFD" w:rsidP="00844EEE"/>
    <w:p w:rsidR="00415BFD" w:rsidRDefault="00415BFD" w:rsidP="00415BFD">
      <w:pPr>
        <w:pStyle w:val="MyFigure"/>
        <w:numPr>
          <w:ilvl w:val="4"/>
          <w:numId w:val="9"/>
        </w:numPr>
      </w:pPr>
      <w:bookmarkStart w:id="74" w:name="_Ref432843127"/>
      <w:bookmarkStart w:id="75" w:name="_Toc452066438"/>
      <w:r>
        <w:t>Forest plot of studies used to calculate the proportion of students who participate in a diagnostic interview following CES-D screening</w:t>
      </w:r>
      <w:bookmarkEnd w:id="74"/>
      <w:bookmarkEnd w:id="75"/>
    </w:p>
    <w:p w:rsidR="00415BFD" w:rsidRDefault="00415BFD" w:rsidP="004F3091">
      <w:pPr>
        <w:jc w:val="center"/>
      </w:pPr>
      <w:r>
        <w:rPr>
          <w:noProof/>
          <w:lang w:eastAsia="en-AU" w:bidi="ar-SA"/>
        </w:rPr>
        <w:drawing>
          <wp:inline distT="0" distB="0" distL="0" distR="0" wp14:anchorId="550AEE25" wp14:editId="71124C07">
            <wp:extent cx="4258340" cy="2596551"/>
            <wp:effectExtent l="19050" t="19050" r="889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8340" cy="2596551"/>
                    </a:xfrm>
                    <a:prstGeom prst="rect">
                      <a:avLst/>
                    </a:prstGeom>
                    <a:noFill/>
                    <a:ln>
                      <a:solidFill>
                        <a:schemeClr val="tx1"/>
                      </a:solidFill>
                    </a:ln>
                    <a:extLst/>
                  </pic:spPr>
                </pic:pic>
              </a:graphicData>
            </a:graphic>
          </wp:inline>
        </w:drawing>
      </w:r>
    </w:p>
    <w:p w:rsidR="00415BFD" w:rsidRDefault="00415BFD" w:rsidP="004F3091"/>
    <w:p w:rsidR="00415BFD" w:rsidRDefault="00415BFD" w:rsidP="004F3091"/>
    <w:p w:rsidR="00415BFD" w:rsidRPr="00B60B98" w:rsidRDefault="00415BFD" w:rsidP="00051BC7">
      <w:pPr>
        <w:pStyle w:val="Explanatorytextmargins"/>
        <w:rPr>
          <w:u w:val="single"/>
        </w:rPr>
      </w:pPr>
      <w:r>
        <w:rPr>
          <w:u w:val="single"/>
        </w:rPr>
        <w:t xml:space="preserve">Step 5 – </w:t>
      </w:r>
      <w:r w:rsidRPr="00B60B98">
        <w:rPr>
          <w:u w:val="single"/>
        </w:rPr>
        <w:t>No current diagnosis of depression.</w:t>
      </w:r>
      <w:r>
        <w:t xml:space="preserve"> Participating youth who have depressive symptoms but no diagnosis of depression are considered to have subthreshold depressive symptoms and are thus eligible to participate in the indicated prevention intervention. Here we assume that the DISC-IV has perfect (100%) sensitivity and specificity to identify current cases of major depression, given that it is widely considered the gold standard diagnostic instrument for mental disorders in children and adolescent </w:t>
      </w:r>
      <w:r>
        <w:rPr>
          <w:noProof/>
        </w:rPr>
        <w:t>[27]</w:t>
      </w:r>
      <w:r>
        <w:t xml:space="preserve">. Data from the 1997 NSMHWB indicates that 95.0% of youth aged 13-17 years had no current diagnosis of major depression given that they also had a CES-D score above the cut-off score of 16 (see </w:t>
      </w:r>
      <w:r>
        <w:fldChar w:fldCharType="begin"/>
      </w:r>
      <w:r>
        <w:instrText xml:space="preserve"> REF _Ref432843448 \n \h  \* MERGEFORMAT </w:instrText>
      </w:r>
      <w:r>
        <w:fldChar w:fldCharType="separate"/>
      </w:r>
      <w:r>
        <w:t>Table 9</w:t>
      </w:r>
      <w:r>
        <w:fldChar w:fldCharType="end"/>
      </w:r>
      <w:r>
        <w:t>). Once again, we assumed that youth aged 11-12 years had an identical proportion to those aged 13 years</w:t>
      </w:r>
      <w:r w:rsidRPr="00B60B98">
        <w:rPr>
          <w:u w:val="single"/>
        </w:rPr>
        <w:br w:type="page"/>
      </w:r>
    </w:p>
    <w:p w:rsidR="00415BFD" w:rsidRDefault="00415BFD" w:rsidP="00415BFD">
      <w:pPr>
        <w:pStyle w:val="MyTable"/>
        <w:numPr>
          <w:ilvl w:val="3"/>
          <w:numId w:val="9"/>
        </w:numPr>
      </w:pPr>
      <w:bookmarkStart w:id="76" w:name="_Ref432843448"/>
      <w:bookmarkStart w:id="77" w:name="_Toc452066454"/>
      <w:r>
        <w:lastRenderedPageBreak/>
        <w:t xml:space="preserve">Age-sex breakdown of the proportion of youth aged-13-17 years who have no diagnosis of major depression, given a CES-D score above the cut-off </w:t>
      </w:r>
      <w:bookmarkEnd w:id="76"/>
      <w:r>
        <w:t>of 16</w:t>
      </w:r>
      <w:bookmarkEnd w:id="77"/>
    </w:p>
    <w:tbl>
      <w:tblPr>
        <w:tblW w:w="2880" w:type="dxa"/>
        <w:jc w:val="center"/>
        <w:tblLook w:val="04A0" w:firstRow="1" w:lastRow="0" w:firstColumn="1" w:lastColumn="0" w:noHBand="0" w:noVBand="1"/>
      </w:tblPr>
      <w:tblGrid>
        <w:gridCol w:w="607"/>
        <w:gridCol w:w="1131"/>
        <w:gridCol w:w="1142"/>
      </w:tblGrid>
      <w:tr w:rsidR="00415BFD" w:rsidRPr="009331C2" w:rsidTr="00CA7E34">
        <w:trPr>
          <w:trHeight w:val="300"/>
          <w:jc w:val="center"/>
        </w:trPr>
        <w:tc>
          <w:tcPr>
            <w:tcW w:w="607" w:type="dxa"/>
            <w:tcBorders>
              <w:top w:val="single" w:sz="4" w:space="0" w:color="auto"/>
              <w:left w:val="single" w:sz="4" w:space="0" w:color="auto"/>
              <w:bottom w:val="single" w:sz="4" w:space="0" w:color="auto"/>
              <w:right w:val="nil"/>
            </w:tcBorders>
            <w:shd w:val="clear" w:color="auto" w:fill="auto"/>
            <w:noWrap/>
            <w:vAlign w:val="center"/>
            <w:hideMark/>
          </w:tcPr>
          <w:p w:rsidR="00415BFD" w:rsidRPr="009331C2" w:rsidRDefault="00415BFD" w:rsidP="00F045C1">
            <w:pPr>
              <w:spacing w:line="240" w:lineRule="auto"/>
              <w:jc w:val="center"/>
              <w:rPr>
                <w:rFonts w:ascii="Calibri" w:eastAsia="Times New Roman" w:hAnsi="Calibri"/>
                <w:b/>
                <w:bCs/>
                <w:color w:val="000000"/>
                <w:sz w:val="19"/>
                <w:szCs w:val="19"/>
                <w:lang w:eastAsia="en-AU" w:bidi="ar-SA"/>
              </w:rPr>
            </w:pPr>
            <w:r w:rsidRPr="009331C2">
              <w:rPr>
                <w:rFonts w:ascii="Calibri" w:eastAsia="Times New Roman" w:hAnsi="Calibri"/>
                <w:b/>
                <w:bCs/>
                <w:color w:val="000000"/>
                <w:sz w:val="19"/>
                <w:szCs w:val="19"/>
                <w:lang w:eastAsia="en-AU" w:bidi="ar-SA"/>
              </w:rPr>
              <w:t>Age</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BFD" w:rsidRPr="009331C2" w:rsidRDefault="00415BFD" w:rsidP="00F045C1">
            <w:pPr>
              <w:spacing w:line="240" w:lineRule="auto"/>
              <w:jc w:val="center"/>
              <w:rPr>
                <w:rFonts w:ascii="Calibri" w:eastAsia="Times New Roman" w:hAnsi="Calibri"/>
                <w:b/>
                <w:bCs/>
                <w:color w:val="000000"/>
                <w:sz w:val="19"/>
                <w:szCs w:val="19"/>
                <w:lang w:eastAsia="en-AU" w:bidi="ar-SA"/>
              </w:rPr>
            </w:pPr>
            <w:r w:rsidRPr="009331C2">
              <w:rPr>
                <w:rFonts w:ascii="Calibri" w:eastAsia="Times New Roman" w:hAnsi="Calibri"/>
                <w:b/>
                <w:bCs/>
                <w:color w:val="000000"/>
                <w:sz w:val="19"/>
                <w:szCs w:val="19"/>
                <w:lang w:eastAsia="en-AU" w:bidi="ar-SA"/>
              </w:rPr>
              <w:t>Male</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415BFD" w:rsidRPr="009331C2" w:rsidRDefault="00415BFD" w:rsidP="00F045C1">
            <w:pPr>
              <w:spacing w:line="240" w:lineRule="auto"/>
              <w:jc w:val="center"/>
              <w:rPr>
                <w:rFonts w:ascii="Calibri" w:eastAsia="Times New Roman" w:hAnsi="Calibri"/>
                <w:b/>
                <w:bCs/>
                <w:color w:val="000000"/>
                <w:sz w:val="19"/>
                <w:szCs w:val="19"/>
                <w:lang w:eastAsia="en-AU" w:bidi="ar-SA"/>
              </w:rPr>
            </w:pPr>
            <w:r w:rsidRPr="009331C2">
              <w:rPr>
                <w:rFonts w:ascii="Calibri" w:eastAsia="Times New Roman" w:hAnsi="Calibri"/>
                <w:b/>
                <w:bCs/>
                <w:color w:val="000000"/>
                <w:sz w:val="19"/>
                <w:szCs w:val="19"/>
                <w:lang w:eastAsia="en-AU" w:bidi="ar-SA"/>
              </w:rPr>
              <w:t>Female</w:t>
            </w:r>
          </w:p>
        </w:tc>
      </w:tr>
      <w:tr w:rsidR="00415BFD" w:rsidRPr="009331C2" w:rsidTr="009331C2">
        <w:trPr>
          <w:trHeight w:val="255"/>
          <w:jc w:val="center"/>
        </w:trPr>
        <w:tc>
          <w:tcPr>
            <w:tcW w:w="607" w:type="dxa"/>
            <w:tcBorders>
              <w:top w:val="nil"/>
              <w:left w:val="single" w:sz="4" w:space="0" w:color="auto"/>
              <w:bottom w:val="nil"/>
              <w:right w:val="nil"/>
            </w:tcBorders>
            <w:shd w:val="clear" w:color="auto" w:fill="auto"/>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13</w:t>
            </w:r>
          </w:p>
        </w:tc>
        <w:tc>
          <w:tcPr>
            <w:tcW w:w="1131" w:type="dxa"/>
            <w:tcBorders>
              <w:top w:val="nil"/>
              <w:left w:val="single" w:sz="4" w:space="0" w:color="auto"/>
              <w:bottom w:val="nil"/>
              <w:right w:val="single" w:sz="4" w:space="0" w:color="auto"/>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100.0%</w:t>
            </w:r>
          </w:p>
        </w:tc>
        <w:tc>
          <w:tcPr>
            <w:tcW w:w="1142" w:type="dxa"/>
            <w:tcBorders>
              <w:top w:val="nil"/>
              <w:left w:val="nil"/>
              <w:bottom w:val="nil"/>
              <w:right w:val="single" w:sz="4" w:space="0" w:color="auto"/>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95.5%</w:t>
            </w:r>
          </w:p>
        </w:tc>
      </w:tr>
      <w:tr w:rsidR="00415BFD" w:rsidRPr="009331C2" w:rsidTr="009331C2">
        <w:trPr>
          <w:trHeight w:val="255"/>
          <w:jc w:val="center"/>
        </w:trPr>
        <w:tc>
          <w:tcPr>
            <w:tcW w:w="607" w:type="dxa"/>
            <w:tcBorders>
              <w:top w:val="nil"/>
              <w:left w:val="single" w:sz="4" w:space="0" w:color="auto"/>
              <w:bottom w:val="nil"/>
              <w:right w:val="nil"/>
            </w:tcBorders>
            <w:shd w:val="clear" w:color="auto" w:fill="auto"/>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14</w:t>
            </w:r>
          </w:p>
        </w:tc>
        <w:tc>
          <w:tcPr>
            <w:tcW w:w="1131" w:type="dxa"/>
            <w:tcBorders>
              <w:top w:val="nil"/>
              <w:left w:val="single" w:sz="4" w:space="0" w:color="auto"/>
              <w:bottom w:val="nil"/>
              <w:right w:val="single" w:sz="4" w:space="0" w:color="auto"/>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95.6%</w:t>
            </w:r>
          </w:p>
        </w:tc>
        <w:tc>
          <w:tcPr>
            <w:tcW w:w="1142" w:type="dxa"/>
            <w:tcBorders>
              <w:top w:val="nil"/>
              <w:left w:val="nil"/>
              <w:bottom w:val="nil"/>
              <w:right w:val="single" w:sz="4" w:space="0" w:color="auto"/>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93.9%</w:t>
            </w:r>
          </w:p>
        </w:tc>
      </w:tr>
      <w:tr w:rsidR="00415BFD" w:rsidRPr="009331C2" w:rsidTr="009331C2">
        <w:trPr>
          <w:trHeight w:val="255"/>
          <w:jc w:val="center"/>
        </w:trPr>
        <w:tc>
          <w:tcPr>
            <w:tcW w:w="607" w:type="dxa"/>
            <w:tcBorders>
              <w:top w:val="nil"/>
              <w:left w:val="single" w:sz="4" w:space="0" w:color="auto"/>
              <w:bottom w:val="nil"/>
              <w:right w:val="nil"/>
            </w:tcBorders>
            <w:shd w:val="clear" w:color="auto" w:fill="auto"/>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15</w:t>
            </w:r>
          </w:p>
        </w:tc>
        <w:tc>
          <w:tcPr>
            <w:tcW w:w="1131" w:type="dxa"/>
            <w:tcBorders>
              <w:top w:val="nil"/>
              <w:left w:val="single" w:sz="4" w:space="0" w:color="auto"/>
              <w:bottom w:val="nil"/>
              <w:right w:val="single" w:sz="4" w:space="0" w:color="auto"/>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95.6%</w:t>
            </w:r>
          </w:p>
        </w:tc>
        <w:tc>
          <w:tcPr>
            <w:tcW w:w="1142" w:type="dxa"/>
            <w:tcBorders>
              <w:top w:val="nil"/>
              <w:left w:val="nil"/>
              <w:bottom w:val="nil"/>
              <w:right w:val="single" w:sz="4" w:space="0" w:color="auto"/>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94.1%</w:t>
            </w:r>
          </w:p>
        </w:tc>
      </w:tr>
      <w:tr w:rsidR="00415BFD" w:rsidRPr="009331C2" w:rsidTr="009331C2">
        <w:trPr>
          <w:trHeight w:val="255"/>
          <w:jc w:val="center"/>
        </w:trPr>
        <w:tc>
          <w:tcPr>
            <w:tcW w:w="607" w:type="dxa"/>
            <w:tcBorders>
              <w:top w:val="nil"/>
              <w:left w:val="single" w:sz="4" w:space="0" w:color="auto"/>
              <w:bottom w:val="nil"/>
              <w:right w:val="nil"/>
            </w:tcBorders>
            <w:shd w:val="clear" w:color="auto" w:fill="auto"/>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16</w:t>
            </w:r>
          </w:p>
        </w:tc>
        <w:tc>
          <w:tcPr>
            <w:tcW w:w="1131" w:type="dxa"/>
            <w:tcBorders>
              <w:top w:val="nil"/>
              <w:left w:val="single" w:sz="4" w:space="0" w:color="auto"/>
              <w:bottom w:val="nil"/>
              <w:right w:val="single" w:sz="4" w:space="0" w:color="auto"/>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94.4%</w:t>
            </w:r>
          </w:p>
        </w:tc>
        <w:tc>
          <w:tcPr>
            <w:tcW w:w="1142" w:type="dxa"/>
            <w:tcBorders>
              <w:top w:val="nil"/>
              <w:left w:val="nil"/>
              <w:bottom w:val="nil"/>
              <w:right w:val="single" w:sz="4" w:space="0" w:color="auto"/>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96.4%</w:t>
            </w:r>
          </w:p>
        </w:tc>
      </w:tr>
      <w:tr w:rsidR="00415BFD" w:rsidRPr="009331C2" w:rsidTr="009331C2">
        <w:trPr>
          <w:trHeight w:val="255"/>
          <w:jc w:val="center"/>
        </w:trPr>
        <w:tc>
          <w:tcPr>
            <w:tcW w:w="607" w:type="dxa"/>
            <w:tcBorders>
              <w:top w:val="nil"/>
              <w:left w:val="single" w:sz="4" w:space="0" w:color="auto"/>
              <w:bottom w:val="single" w:sz="4" w:space="0" w:color="auto"/>
              <w:right w:val="nil"/>
            </w:tcBorders>
            <w:shd w:val="clear" w:color="auto" w:fill="auto"/>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17</w:t>
            </w:r>
          </w:p>
        </w:tc>
        <w:tc>
          <w:tcPr>
            <w:tcW w:w="1131" w:type="dxa"/>
            <w:tcBorders>
              <w:top w:val="nil"/>
              <w:left w:val="single" w:sz="4" w:space="0" w:color="auto"/>
              <w:bottom w:val="single" w:sz="4" w:space="0" w:color="auto"/>
              <w:right w:val="single" w:sz="4" w:space="0" w:color="auto"/>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93.4%</w:t>
            </w:r>
          </w:p>
        </w:tc>
        <w:tc>
          <w:tcPr>
            <w:tcW w:w="1142" w:type="dxa"/>
            <w:tcBorders>
              <w:top w:val="nil"/>
              <w:left w:val="nil"/>
              <w:bottom w:val="single" w:sz="4" w:space="0" w:color="auto"/>
              <w:right w:val="single" w:sz="4" w:space="0" w:color="auto"/>
            </w:tcBorders>
            <w:shd w:val="clear" w:color="000000" w:fill="92D050"/>
            <w:noWrap/>
            <w:vAlign w:val="center"/>
            <w:hideMark/>
          </w:tcPr>
          <w:p w:rsidR="00415BFD" w:rsidRPr="009331C2" w:rsidRDefault="00415BFD" w:rsidP="00F045C1">
            <w:pPr>
              <w:spacing w:line="240" w:lineRule="auto"/>
              <w:jc w:val="center"/>
              <w:rPr>
                <w:rFonts w:ascii="Calibri" w:eastAsia="Times New Roman" w:hAnsi="Calibri"/>
                <w:color w:val="000000"/>
                <w:sz w:val="19"/>
                <w:szCs w:val="19"/>
                <w:lang w:eastAsia="en-AU" w:bidi="ar-SA"/>
              </w:rPr>
            </w:pPr>
            <w:r w:rsidRPr="009331C2">
              <w:rPr>
                <w:rFonts w:ascii="Calibri" w:eastAsia="Times New Roman" w:hAnsi="Calibri"/>
                <w:color w:val="000000"/>
                <w:sz w:val="19"/>
                <w:szCs w:val="19"/>
                <w:lang w:eastAsia="en-AU" w:bidi="ar-SA"/>
              </w:rPr>
              <w:t>94.5%</w:t>
            </w:r>
          </w:p>
        </w:tc>
      </w:tr>
    </w:tbl>
    <w:p w:rsidR="00415BFD" w:rsidRDefault="00415BFD" w:rsidP="00844EEE"/>
    <w:p w:rsidR="00415BFD" w:rsidRPr="00CC24B7" w:rsidRDefault="00415BFD" w:rsidP="00844EEE"/>
    <w:p w:rsidR="00415BFD" w:rsidRDefault="00415BFD" w:rsidP="001F056D">
      <w:pPr>
        <w:pStyle w:val="Explanatorytextmargins"/>
      </w:pPr>
      <w:r>
        <w:rPr>
          <w:u w:val="single"/>
        </w:rPr>
        <w:t xml:space="preserve">Step 6 – </w:t>
      </w:r>
      <w:r w:rsidRPr="00C56FF8">
        <w:rPr>
          <w:u w:val="single"/>
        </w:rPr>
        <w:t>Student participation rate.</w:t>
      </w:r>
      <w:r>
        <w:t xml:space="preserve"> Not all students who are identified as having subthreshold depression will participate in the indicated prevention intervention. In the absence of better data, we identified five RCT studies from the previous meta-review of intervention efficacy (included in </w:t>
      </w:r>
      <w:r>
        <w:fldChar w:fldCharType="begin"/>
      </w:r>
      <w:r>
        <w:instrText xml:space="preserve"> REF _Ref432883546 \n \h  \* MERGEFORMAT </w:instrText>
      </w:r>
      <w:r>
        <w:fldChar w:fldCharType="separate"/>
      </w:r>
      <w:r>
        <w:t>Table 6</w:t>
      </w:r>
      <w:r>
        <w:fldChar w:fldCharType="end"/>
      </w:r>
      <w:r>
        <w:t xml:space="preserve">) which contained data on the proportion of students who were identified as having subthreshold depression (following screening and further diagnostic testing) and subsequently obtain parental consent to participate in the indicated prevention intervention. We meta-analysed data from these studies to calculate the pooled proportion of students who agree to participate in the indicated psychological intervention (see </w:t>
      </w:r>
      <w:r>
        <w:fldChar w:fldCharType="begin"/>
      </w:r>
      <w:r>
        <w:instrText xml:space="preserve"> REF _Ref432843583 \n \h  \* MERGEFORMAT </w:instrText>
      </w:r>
      <w:r>
        <w:fldChar w:fldCharType="separate"/>
      </w:r>
      <w:r>
        <w:t>Figure 13</w:t>
      </w:r>
      <w:r>
        <w:fldChar w:fldCharType="end"/>
      </w:r>
      <w:r>
        <w:t xml:space="preserve">). From this we found that 92.4% (95% CI: 86.6 – 97.3) of participants who complete the screening process for subthreshold depression subsequently agreed to participate in the intervention </w:t>
      </w:r>
      <w:r>
        <w:rPr>
          <w:noProof/>
        </w:rPr>
        <w:t>[53,54,57,59,60]</w:t>
      </w:r>
      <w:r>
        <w:t>.</w:t>
      </w:r>
    </w:p>
    <w:p w:rsidR="00415BFD" w:rsidRDefault="00415BFD" w:rsidP="00844EEE"/>
    <w:p w:rsidR="00415BFD" w:rsidRDefault="00415BFD" w:rsidP="00844EEE"/>
    <w:p w:rsidR="00415BFD" w:rsidRDefault="00415BFD" w:rsidP="00415BFD">
      <w:pPr>
        <w:pStyle w:val="MyFigure"/>
        <w:numPr>
          <w:ilvl w:val="4"/>
          <w:numId w:val="9"/>
        </w:numPr>
      </w:pPr>
      <w:bookmarkStart w:id="78" w:name="_Ref432843583"/>
      <w:bookmarkStart w:id="79" w:name="_Toc452066439"/>
      <w:r>
        <w:t>Forest plot of studies used to calculate the proportion of students who agree to participate in indicated prevention following the diagnostic interview</w:t>
      </w:r>
      <w:bookmarkEnd w:id="78"/>
      <w:bookmarkEnd w:id="79"/>
    </w:p>
    <w:p w:rsidR="00415BFD" w:rsidRDefault="00415BFD" w:rsidP="004F3091">
      <w:pPr>
        <w:jc w:val="center"/>
      </w:pPr>
      <w:r>
        <w:rPr>
          <w:noProof/>
          <w:lang w:eastAsia="en-AU" w:bidi="ar-SA"/>
        </w:rPr>
        <w:drawing>
          <wp:inline distT="0" distB="0" distL="0" distR="0" wp14:anchorId="187BE363" wp14:editId="63CF090E">
            <wp:extent cx="4330460" cy="2640525"/>
            <wp:effectExtent l="19050" t="19050" r="0" b="762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9037" cy="2639657"/>
                    </a:xfrm>
                    <a:prstGeom prst="rect">
                      <a:avLst/>
                    </a:prstGeom>
                    <a:noFill/>
                    <a:ln>
                      <a:solidFill>
                        <a:schemeClr val="tx1"/>
                      </a:solidFill>
                    </a:ln>
                    <a:extLst/>
                  </pic:spPr>
                </pic:pic>
              </a:graphicData>
            </a:graphic>
          </wp:inline>
        </w:drawing>
      </w:r>
    </w:p>
    <w:p w:rsidR="00415BFD" w:rsidRDefault="00415BFD" w:rsidP="004F3091"/>
    <w:p w:rsidR="00415BFD" w:rsidRDefault="00415BFD" w:rsidP="004F3091"/>
    <w:p w:rsidR="00415BFD" w:rsidRPr="001F056D" w:rsidRDefault="00415BFD" w:rsidP="001F056D">
      <w:pPr>
        <w:pStyle w:val="Explanatorytextmargins"/>
      </w:pPr>
      <w:r w:rsidRPr="001F056D">
        <w:rPr>
          <w:u w:val="single"/>
        </w:rPr>
        <w:t>Final estimate.</w:t>
      </w:r>
      <w:r w:rsidRPr="00844EEE">
        <w:t xml:space="preserve"> We calculate</w:t>
      </w:r>
      <w:r>
        <w:t>d</w:t>
      </w:r>
      <w:r w:rsidRPr="00844EEE">
        <w:t xml:space="preserve"> the final eligible population to be N = </w:t>
      </w:r>
      <w:r>
        <w:t>161,835</w:t>
      </w:r>
      <w:r w:rsidRPr="00844EEE">
        <w:t xml:space="preserve"> which is </w:t>
      </w:r>
      <w:r>
        <w:t>8.2%</w:t>
      </w:r>
      <w:r w:rsidRPr="00844EEE">
        <w:t xml:space="preserve"> of the </w:t>
      </w:r>
      <w:r>
        <w:t>initial</w:t>
      </w:r>
      <w:r w:rsidRPr="00844EEE">
        <w:t xml:space="preserve"> </w:t>
      </w:r>
      <w:r>
        <w:t>2013 Australian population</w:t>
      </w:r>
      <w:r w:rsidRPr="00844EEE">
        <w:t xml:space="preserve">. That is, after accounting for attrition, we expect </w:t>
      </w:r>
      <w:r>
        <w:t>8.2%</w:t>
      </w:r>
      <w:r w:rsidRPr="00844EEE">
        <w:t xml:space="preserve"> of the Australian population aged 11-17 years to participate in the indicated prevention intervention (see </w:t>
      </w:r>
      <w:r w:rsidRPr="00844EEE">
        <w:fldChar w:fldCharType="begin"/>
      </w:r>
      <w:r w:rsidRPr="00844EEE">
        <w:instrText xml:space="preserve"> REF _Ref432843840 \n \h </w:instrText>
      </w:r>
      <w:r w:rsidRPr="00844EEE">
        <w:fldChar w:fldCharType="separate"/>
      </w:r>
      <w:r>
        <w:t>Figure 14</w:t>
      </w:r>
      <w:r w:rsidRPr="00844EEE">
        <w:fldChar w:fldCharType="end"/>
      </w:r>
      <w:r w:rsidRPr="00844EEE">
        <w:t xml:space="preserve"> and </w:t>
      </w:r>
      <w:r w:rsidRPr="00844EEE">
        <w:fldChar w:fldCharType="begin"/>
      </w:r>
      <w:r w:rsidRPr="00844EEE">
        <w:instrText xml:space="preserve"> REF _Ref432843847 \n \h </w:instrText>
      </w:r>
      <w:r w:rsidRPr="00844EEE">
        <w:fldChar w:fldCharType="separate"/>
      </w:r>
      <w:r>
        <w:t>Table 10</w:t>
      </w:r>
      <w:r w:rsidRPr="00844EEE">
        <w:fldChar w:fldCharType="end"/>
      </w:r>
      <w:r w:rsidRPr="00844EEE">
        <w:t>).</w:t>
      </w:r>
      <w:r w:rsidRPr="00844EEE">
        <w:br w:type="page"/>
      </w:r>
    </w:p>
    <w:p w:rsidR="00415BFD" w:rsidRPr="00E073D5" w:rsidRDefault="00415BFD" w:rsidP="00415BFD">
      <w:pPr>
        <w:pStyle w:val="MyFigure"/>
        <w:numPr>
          <w:ilvl w:val="4"/>
          <w:numId w:val="9"/>
        </w:numPr>
      </w:pPr>
      <w:bookmarkStart w:id="80" w:name="_Ref432843840"/>
      <w:bookmarkStart w:id="81" w:name="_Toc452066440"/>
      <w:r>
        <w:lastRenderedPageBreak/>
        <w:t>Flow chart of process used to calculate the eligible population for indicated prevention</w:t>
      </w:r>
      <w:bookmarkEnd w:id="80"/>
      <w:bookmarkEnd w:id="81"/>
    </w:p>
    <w:p w:rsidR="00415BFD" w:rsidRDefault="00415BFD" w:rsidP="004F3091">
      <w:r>
        <w:rPr>
          <w:noProof/>
          <w:lang w:eastAsia="en-AU" w:bidi="ar-SA"/>
        </w:rPr>
        <w:drawing>
          <wp:inline distT="0" distB="0" distL="0" distR="0" wp14:anchorId="5E868CA0" wp14:editId="6D851C3B">
            <wp:extent cx="5727700" cy="4791710"/>
            <wp:effectExtent l="0" t="0" r="635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7700" cy="4791710"/>
                    </a:xfrm>
                    <a:prstGeom prst="rect">
                      <a:avLst/>
                    </a:prstGeom>
                    <a:noFill/>
                    <a:ln>
                      <a:noFill/>
                    </a:ln>
                  </pic:spPr>
                </pic:pic>
              </a:graphicData>
            </a:graphic>
          </wp:inline>
        </w:drawing>
      </w:r>
    </w:p>
    <w:p w:rsidR="00415BFD" w:rsidRDefault="00415BFD" w:rsidP="004F3091"/>
    <w:p w:rsidR="00415BFD" w:rsidRDefault="00415BFD" w:rsidP="004F3091">
      <w:pPr>
        <w:sectPr w:rsidR="00415BFD" w:rsidSect="00366EE5">
          <w:footerReference w:type="default" r:id="rId23"/>
          <w:footnotePr>
            <w:numFmt w:val="chicago"/>
            <w:numStart w:val="2"/>
          </w:footnotePr>
          <w:pgSz w:w="11906" w:h="16838"/>
          <w:pgMar w:top="1440" w:right="1440" w:bottom="1440" w:left="1440" w:header="510" w:footer="567" w:gutter="0"/>
          <w:cols w:space="708"/>
          <w:titlePg/>
          <w:docGrid w:linePitch="360"/>
        </w:sectPr>
      </w:pPr>
    </w:p>
    <w:p w:rsidR="00415BFD" w:rsidRDefault="00415BFD" w:rsidP="00415BFD">
      <w:pPr>
        <w:pStyle w:val="MyTable"/>
        <w:numPr>
          <w:ilvl w:val="3"/>
          <w:numId w:val="9"/>
        </w:numPr>
      </w:pPr>
      <w:bookmarkStart w:id="82" w:name="_Ref432843847"/>
      <w:bookmarkStart w:id="83" w:name="_Toc452066455"/>
      <w:r>
        <w:lastRenderedPageBreak/>
        <w:t>Table outlining the age-sex breakdown of the eligible population for indicated prevention</w:t>
      </w:r>
      <w:bookmarkEnd w:id="82"/>
      <w:bookmarkEnd w:id="83"/>
    </w:p>
    <w:tbl>
      <w:tblPr>
        <w:tblW w:w="13755" w:type="dxa"/>
        <w:tblInd w:w="103" w:type="dxa"/>
        <w:tblLayout w:type="fixed"/>
        <w:tblLook w:val="04A0" w:firstRow="1" w:lastRow="0" w:firstColumn="1" w:lastColumn="0" w:noHBand="0" w:noVBand="1"/>
      </w:tblPr>
      <w:tblGrid>
        <w:gridCol w:w="714"/>
        <w:gridCol w:w="1026"/>
        <w:gridCol w:w="1126"/>
        <w:gridCol w:w="1108"/>
        <w:gridCol w:w="1134"/>
        <w:gridCol w:w="993"/>
        <w:gridCol w:w="992"/>
        <w:gridCol w:w="1134"/>
        <w:gridCol w:w="1134"/>
        <w:gridCol w:w="1134"/>
        <w:gridCol w:w="992"/>
        <w:gridCol w:w="1134"/>
        <w:gridCol w:w="1134"/>
      </w:tblGrid>
      <w:tr w:rsidR="00415BFD" w:rsidRPr="00AD04B9" w:rsidTr="00CD211B">
        <w:trPr>
          <w:trHeight w:val="1531"/>
        </w:trPr>
        <w:tc>
          <w:tcPr>
            <w:tcW w:w="714" w:type="dxa"/>
            <w:tcBorders>
              <w:top w:val="single" w:sz="4" w:space="0" w:color="auto"/>
              <w:left w:val="single" w:sz="4" w:space="0" w:color="auto"/>
              <w:bottom w:val="single" w:sz="4" w:space="0" w:color="auto"/>
              <w:right w:val="nil"/>
            </w:tcBorders>
            <w:shd w:val="clear" w:color="000000" w:fill="EBF1DE"/>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p>
        </w:tc>
        <w:tc>
          <w:tcPr>
            <w:tcW w:w="2152"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rsidR="00415BFD" w:rsidRDefault="00415BFD" w:rsidP="00CD211B">
            <w:pPr>
              <w:spacing w:after="80" w:line="240" w:lineRule="auto"/>
              <w:jc w:val="center"/>
              <w:rPr>
                <w:rFonts w:ascii="Calibri" w:eastAsia="Times New Roman" w:hAnsi="Calibri"/>
                <w:b/>
                <w:bCs/>
                <w:color w:val="000000"/>
                <w:sz w:val="19"/>
                <w:szCs w:val="19"/>
                <w:lang w:eastAsia="en-AU" w:bidi="ar-SA"/>
              </w:rPr>
            </w:pPr>
            <w:r>
              <w:rPr>
                <w:rFonts w:ascii="Calibri" w:eastAsia="Times New Roman" w:hAnsi="Calibri"/>
                <w:b/>
                <w:bCs/>
                <w:color w:val="000000"/>
                <w:sz w:val="19"/>
                <w:szCs w:val="19"/>
                <w:lang w:eastAsia="en-AU" w:bidi="ar-SA"/>
              </w:rPr>
              <w:t>Step 1</w:t>
            </w:r>
          </w:p>
          <w:p w:rsidR="00415BFD" w:rsidRPr="00AD04B9" w:rsidRDefault="00415BFD" w:rsidP="006A2BFF">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 xml:space="preserve">2013 Australian </w:t>
            </w:r>
            <w:r>
              <w:rPr>
                <w:rFonts w:ascii="Calibri" w:eastAsia="Times New Roman" w:hAnsi="Calibri"/>
                <w:b/>
                <w:bCs/>
                <w:color w:val="000000"/>
                <w:sz w:val="19"/>
                <w:szCs w:val="19"/>
                <w:lang w:eastAsia="en-AU" w:bidi="ar-SA"/>
              </w:rPr>
              <w:t>p</w:t>
            </w:r>
            <w:r w:rsidRPr="00AD04B9">
              <w:rPr>
                <w:rFonts w:ascii="Calibri" w:eastAsia="Times New Roman" w:hAnsi="Calibri"/>
                <w:b/>
                <w:bCs/>
                <w:color w:val="000000"/>
                <w:sz w:val="19"/>
                <w:szCs w:val="19"/>
                <w:lang w:eastAsia="en-AU" w:bidi="ar-SA"/>
              </w:rPr>
              <w:t>opulation</w:t>
            </w:r>
          </w:p>
        </w:tc>
        <w:tc>
          <w:tcPr>
            <w:tcW w:w="2242" w:type="dxa"/>
            <w:gridSpan w:val="2"/>
            <w:tcBorders>
              <w:top w:val="single" w:sz="4" w:space="0" w:color="auto"/>
              <w:left w:val="nil"/>
              <w:bottom w:val="single" w:sz="4" w:space="0" w:color="auto"/>
              <w:right w:val="single" w:sz="4" w:space="0" w:color="000000"/>
            </w:tcBorders>
            <w:shd w:val="clear" w:color="000000" w:fill="EBF1DE"/>
            <w:noWrap/>
            <w:vAlign w:val="center"/>
            <w:hideMark/>
          </w:tcPr>
          <w:p w:rsidR="00415BFD" w:rsidRDefault="00415BFD" w:rsidP="00CD211B">
            <w:pPr>
              <w:spacing w:after="80" w:line="240" w:lineRule="auto"/>
              <w:jc w:val="center"/>
              <w:rPr>
                <w:rFonts w:ascii="Calibri" w:eastAsia="Times New Roman" w:hAnsi="Calibri"/>
                <w:b/>
                <w:bCs/>
                <w:color w:val="000000"/>
                <w:sz w:val="19"/>
                <w:szCs w:val="19"/>
                <w:lang w:eastAsia="en-AU" w:bidi="ar-SA"/>
              </w:rPr>
            </w:pPr>
            <w:r>
              <w:rPr>
                <w:rFonts w:ascii="Calibri" w:eastAsia="Times New Roman" w:hAnsi="Calibri"/>
                <w:b/>
                <w:bCs/>
                <w:color w:val="000000"/>
                <w:sz w:val="19"/>
                <w:szCs w:val="19"/>
                <w:lang w:eastAsia="en-AU" w:bidi="ar-SA"/>
              </w:rPr>
              <w:t>Step 2</w:t>
            </w:r>
          </w:p>
          <w:p w:rsidR="00415BFD" w:rsidRPr="00AD04B9" w:rsidRDefault="00415BFD" w:rsidP="00B9317E">
            <w:pPr>
              <w:spacing w:line="240" w:lineRule="auto"/>
              <w:jc w:val="center"/>
              <w:rPr>
                <w:rFonts w:ascii="Calibri" w:eastAsia="Times New Roman" w:hAnsi="Calibri"/>
                <w:b/>
                <w:bCs/>
                <w:color w:val="000000"/>
                <w:sz w:val="19"/>
                <w:szCs w:val="19"/>
                <w:lang w:eastAsia="en-AU" w:bidi="ar-SA"/>
              </w:rPr>
            </w:pPr>
            <w:r>
              <w:rPr>
                <w:rFonts w:ascii="Calibri" w:eastAsia="Times New Roman" w:hAnsi="Calibri"/>
                <w:b/>
                <w:bCs/>
                <w:color w:val="000000"/>
                <w:sz w:val="19"/>
                <w:szCs w:val="19"/>
                <w:lang w:eastAsia="en-AU" w:bidi="ar-SA"/>
              </w:rPr>
              <w:t>Total s</w:t>
            </w:r>
            <w:r w:rsidRPr="00AD04B9">
              <w:rPr>
                <w:rFonts w:ascii="Calibri" w:eastAsia="Times New Roman" w:hAnsi="Calibri"/>
                <w:b/>
                <w:bCs/>
                <w:color w:val="000000"/>
                <w:sz w:val="19"/>
                <w:szCs w:val="19"/>
                <w:lang w:eastAsia="en-AU" w:bidi="ar-SA"/>
              </w:rPr>
              <w:t>tudents</w:t>
            </w:r>
            <w:r>
              <w:rPr>
                <w:rFonts w:ascii="Calibri" w:eastAsia="Times New Roman" w:hAnsi="Calibri"/>
                <w:b/>
                <w:bCs/>
                <w:color w:val="000000"/>
                <w:sz w:val="19"/>
                <w:szCs w:val="19"/>
                <w:lang w:eastAsia="en-AU" w:bidi="ar-SA"/>
              </w:rPr>
              <w:t xml:space="preserve"> in participating schools</w:t>
            </w:r>
            <w:r w:rsidRPr="00AD04B9">
              <w:rPr>
                <w:rFonts w:ascii="Calibri" w:eastAsia="Times New Roman" w:hAnsi="Calibri"/>
                <w:b/>
                <w:bCs/>
                <w:color w:val="000000"/>
                <w:sz w:val="19"/>
                <w:szCs w:val="19"/>
                <w:lang w:eastAsia="en-AU" w:bidi="ar-SA"/>
              </w:rPr>
              <w:t xml:space="preserve"> who are </w:t>
            </w:r>
            <w:r>
              <w:rPr>
                <w:rFonts w:ascii="Calibri" w:eastAsia="Times New Roman" w:hAnsi="Calibri"/>
                <w:b/>
                <w:bCs/>
                <w:color w:val="000000"/>
                <w:sz w:val="19"/>
                <w:szCs w:val="19"/>
                <w:lang w:eastAsia="en-AU" w:bidi="ar-SA"/>
              </w:rPr>
              <w:t>administered the</w:t>
            </w:r>
            <w:r w:rsidRPr="00AD04B9">
              <w:rPr>
                <w:rFonts w:ascii="Calibri" w:eastAsia="Times New Roman" w:hAnsi="Calibri"/>
                <w:b/>
                <w:bCs/>
                <w:color w:val="000000"/>
                <w:sz w:val="19"/>
                <w:szCs w:val="19"/>
                <w:lang w:eastAsia="en-AU" w:bidi="ar-SA"/>
              </w:rPr>
              <w:t xml:space="preserve"> CES-D</w:t>
            </w:r>
            <w:r>
              <w:rPr>
                <w:rFonts w:ascii="Calibri" w:eastAsia="Times New Roman" w:hAnsi="Calibri"/>
                <w:b/>
                <w:bCs/>
                <w:color w:val="000000"/>
                <w:sz w:val="19"/>
                <w:szCs w:val="19"/>
                <w:lang w:eastAsia="en-AU" w:bidi="ar-SA"/>
              </w:rPr>
              <w:t xml:space="preserve"> screening test</w:t>
            </w:r>
          </w:p>
        </w:tc>
        <w:tc>
          <w:tcPr>
            <w:tcW w:w="1985" w:type="dxa"/>
            <w:gridSpan w:val="2"/>
            <w:tcBorders>
              <w:top w:val="single" w:sz="4" w:space="0" w:color="auto"/>
              <w:left w:val="nil"/>
              <w:bottom w:val="single" w:sz="4" w:space="0" w:color="auto"/>
              <w:right w:val="single" w:sz="4" w:space="0" w:color="000000"/>
            </w:tcBorders>
            <w:shd w:val="clear" w:color="000000" w:fill="EBF1DE"/>
            <w:vAlign w:val="center"/>
            <w:hideMark/>
          </w:tcPr>
          <w:p w:rsidR="00415BFD" w:rsidRDefault="00415BFD" w:rsidP="00CD211B">
            <w:pPr>
              <w:spacing w:after="80" w:line="240" w:lineRule="auto"/>
              <w:jc w:val="center"/>
              <w:rPr>
                <w:rFonts w:ascii="Calibri" w:eastAsia="Times New Roman" w:hAnsi="Calibri"/>
                <w:b/>
                <w:bCs/>
                <w:color w:val="000000"/>
                <w:sz w:val="19"/>
                <w:szCs w:val="19"/>
                <w:lang w:eastAsia="en-AU" w:bidi="ar-SA"/>
              </w:rPr>
            </w:pPr>
            <w:r>
              <w:rPr>
                <w:rFonts w:ascii="Calibri" w:eastAsia="Times New Roman" w:hAnsi="Calibri"/>
                <w:b/>
                <w:bCs/>
                <w:color w:val="000000"/>
                <w:sz w:val="19"/>
                <w:szCs w:val="19"/>
                <w:lang w:eastAsia="en-AU" w:bidi="ar-SA"/>
              </w:rPr>
              <w:t>Step 3</w:t>
            </w:r>
          </w:p>
          <w:p w:rsidR="00415BFD" w:rsidRPr="00AD04B9" w:rsidRDefault="00415BFD" w:rsidP="00FC5F7E">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Students who score above</w:t>
            </w:r>
            <w:r>
              <w:rPr>
                <w:rFonts w:ascii="Calibri" w:eastAsia="Times New Roman" w:hAnsi="Calibri"/>
                <w:b/>
                <w:bCs/>
                <w:color w:val="000000"/>
                <w:sz w:val="19"/>
                <w:szCs w:val="19"/>
                <w:lang w:eastAsia="en-AU" w:bidi="ar-SA"/>
              </w:rPr>
              <w:t xml:space="preserve"> </w:t>
            </w:r>
            <w:r w:rsidRPr="00AD04B9">
              <w:rPr>
                <w:rFonts w:ascii="Calibri" w:eastAsia="Times New Roman" w:hAnsi="Calibri"/>
                <w:b/>
                <w:bCs/>
                <w:color w:val="000000"/>
                <w:sz w:val="19"/>
                <w:szCs w:val="19"/>
                <w:lang w:eastAsia="en-AU" w:bidi="ar-SA"/>
              </w:rPr>
              <w:t>CES-D cut-off</w:t>
            </w:r>
          </w:p>
        </w:tc>
        <w:tc>
          <w:tcPr>
            <w:tcW w:w="2268" w:type="dxa"/>
            <w:gridSpan w:val="2"/>
            <w:tcBorders>
              <w:top w:val="single" w:sz="4" w:space="0" w:color="auto"/>
              <w:left w:val="nil"/>
              <w:bottom w:val="single" w:sz="4" w:space="0" w:color="auto"/>
              <w:right w:val="single" w:sz="4" w:space="0" w:color="000000"/>
            </w:tcBorders>
            <w:shd w:val="clear" w:color="000000" w:fill="EBF1DE"/>
            <w:vAlign w:val="center"/>
            <w:hideMark/>
          </w:tcPr>
          <w:p w:rsidR="00415BFD" w:rsidRDefault="00415BFD" w:rsidP="00CD211B">
            <w:pPr>
              <w:spacing w:after="80" w:line="240" w:lineRule="auto"/>
              <w:jc w:val="center"/>
              <w:rPr>
                <w:rFonts w:ascii="Calibri" w:eastAsia="Times New Roman" w:hAnsi="Calibri"/>
                <w:b/>
                <w:bCs/>
                <w:color w:val="000000"/>
                <w:sz w:val="19"/>
                <w:szCs w:val="19"/>
                <w:lang w:eastAsia="en-AU" w:bidi="ar-SA"/>
              </w:rPr>
            </w:pPr>
            <w:r>
              <w:rPr>
                <w:rFonts w:ascii="Calibri" w:eastAsia="Times New Roman" w:hAnsi="Calibri"/>
                <w:b/>
                <w:bCs/>
                <w:color w:val="000000"/>
                <w:sz w:val="19"/>
                <w:szCs w:val="19"/>
                <w:lang w:eastAsia="en-AU" w:bidi="ar-SA"/>
              </w:rPr>
              <w:t>Step 4</w:t>
            </w:r>
          </w:p>
          <w:p w:rsidR="00415BFD" w:rsidRPr="00AD04B9" w:rsidRDefault="00415BFD" w:rsidP="00AD04B9">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Students who score above the</w:t>
            </w:r>
            <w:r>
              <w:rPr>
                <w:rFonts w:ascii="Calibri" w:eastAsia="Times New Roman" w:hAnsi="Calibri"/>
                <w:b/>
                <w:bCs/>
                <w:color w:val="000000"/>
                <w:sz w:val="19"/>
                <w:szCs w:val="19"/>
                <w:lang w:eastAsia="en-AU" w:bidi="ar-SA"/>
              </w:rPr>
              <w:t xml:space="preserve"> CES-D</w:t>
            </w:r>
            <w:r w:rsidRPr="00AD04B9">
              <w:rPr>
                <w:rFonts w:ascii="Calibri" w:eastAsia="Times New Roman" w:hAnsi="Calibri"/>
                <w:b/>
                <w:bCs/>
                <w:color w:val="000000"/>
                <w:sz w:val="19"/>
                <w:szCs w:val="19"/>
                <w:lang w:eastAsia="en-AU" w:bidi="ar-SA"/>
              </w:rPr>
              <w:t xml:space="preserve"> cut-off and agree to further diagnostic testing</w:t>
            </w:r>
          </w:p>
        </w:tc>
        <w:tc>
          <w:tcPr>
            <w:tcW w:w="2126" w:type="dxa"/>
            <w:gridSpan w:val="2"/>
            <w:tcBorders>
              <w:top w:val="single" w:sz="4" w:space="0" w:color="auto"/>
              <w:left w:val="nil"/>
              <w:bottom w:val="single" w:sz="4" w:space="0" w:color="auto"/>
              <w:right w:val="nil"/>
            </w:tcBorders>
            <w:shd w:val="clear" w:color="000000" w:fill="EBF1DE"/>
            <w:vAlign w:val="center"/>
            <w:hideMark/>
          </w:tcPr>
          <w:p w:rsidR="00415BFD" w:rsidRDefault="00415BFD" w:rsidP="00CD211B">
            <w:pPr>
              <w:spacing w:after="80" w:line="240" w:lineRule="auto"/>
              <w:jc w:val="center"/>
              <w:rPr>
                <w:rFonts w:ascii="Calibri" w:eastAsia="Times New Roman" w:hAnsi="Calibri"/>
                <w:b/>
                <w:bCs/>
                <w:color w:val="000000"/>
                <w:sz w:val="19"/>
                <w:szCs w:val="19"/>
                <w:lang w:eastAsia="en-AU" w:bidi="ar-SA"/>
              </w:rPr>
            </w:pPr>
            <w:r>
              <w:rPr>
                <w:rFonts w:ascii="Calibri" w:eastAsia="Times New Roman" w:hAnsi="Calibri"/>
                <w:b/>
                <w:bCs/>
                <w:color w:val="000000"/>
                <w:sz w:val="19"/>
                <w:szCs w:val="19"/>
                <w:lang w:eastAsia="en-AU" w:bidi="ar-SA"/>
              </w:rPr>
              <w:t>Step 5</w:t>
            </w:r>
          </w:p>
          <w:p w:rsidR="00415BFD" w:rsidRPr="00AD04B9" w:rsidRDefault="00415BFD" w:rsidP="00A96A2C">
            <w:pPr>
              <w:spacing w:line="240" w:lineRule="auto"/>
              <w:jc w:val="center"/>
              <w:rPr>
                <w:rFonts w:ascii="Calibri" w:eastAsia="Times New Roman" w:hAnsi="Calibri"/>
                <w:b/>
                <w:bCs/>
                <w:color w:val="000000"/>
                <w:sz w:val="19"/>
                <w:szCs w:val="19"/>
                <w:lang w:eastAsia="en-AU" w:bidi="ar-SA"/>
              </w:rPr>
            </w:pPr>
            <w:r>
              <w:rPr>
                <w:rFonts w:ascii="Calibri" w:eastAsia="Times New Roman" w:hAnsi="Calibri"/>
                <w:b/>
                <w:bCs/>
                <w:color w:val="000000"/>
                <w:sz w:val="19"/>
                <w:szCs w:val="19"/>
                <w:lang w:eastAsia="en-AU" w:bidi="ar-SA"/>
              </w:rPr>
              <w:t>Students who do not have depression, but score above the CES-D cut-off</w:t>
            </w:r>
          </w:p>
        </w:tc>
        <w:tc>
          <w:tcPr>
            <w:tcW w:w="2268"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rsidR="00415BFD" w:rsidRDefault="00415BFD" w:rsidP="00CD211B">
            <w:pPr>
              <w:spacing w:after="80" w:line="240" w:lineRule="auto"/>
              <w:jc w:val="center"/>
              <w:rPr>
                <w:rFonts w:ascii="Calibri" w:eastAsia="Times New Roman" w:hAnsi="Calibri"/>
                <w:b/>
                <w:bCs/>
                <w:color w:val="000000"/>
                <w:sz w:val="19"/>
                <w:szCs w:val="19"/>
                <w:lang w:eastAsia="en-AU" w:bidi="ar-SA"/>
              </w:rPr>
            </w:pPr>
            <w:r>
              <w:rPr>
                <w:rFonts w:ascii="Calibri" w:eastAsia="Times New Roman" w:hAnsi="Calibri"/>
                <w:b/>
                <w:bCs/>
                <w:color w:val="000000"/>
                <w:sz w:val="19"/>
                <w:szCs w:val="19"/>
                <w:lang w:eastAsia="en-AU" w:bidi="ar-SA"/>
              </w:rPr>
              <w:t>Step 6</w:t>
            </w:r>
          </w:p>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Pr>
                <w:rFonts w:ascii="Calibri" w:eastAsia="Times New Roman" w:hAnsi="Calibri"/>
                <w:b/>
                <w:bCs/>
                <w:color w:val="000000"/>
                <w:sz w:val="19"/>
                <w:szCs w:val="19"/>
                <w:lang w:eastAsia="en-AU" w:bidi="ar-SA"/>
              </w:rPr>
              <w:t>Students with subthreshold depression who agree to participate in the intervention</w:t>
            </w:r>
          </w:p>
        </w:tc>
      </w:tr>
      <w:tr w:rsidR="00415BFD" w:rsidRPr="00AD04B9" w:rsidTr="00A96A2C">
        <w:trPr>
          <w:trHeight w:val="255"/>
        </w:trPr>
        <w:tc>
          <w:tcPr>
            <w:tcW w:w="714" w:type="dxa"/>
            <w:tcBorders>
              <w:top w:val="nil"/>
              <w:left w:val="single" w:sz="4" w:space="0" w:color="auto"/>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Age</w:t>
            </w:r>
          </w:p>
        </w:tc>
        <w:tc>
          <w:tcPr>
            <w:tcW w:w="1026" w:type="dxa"/>
            <w:tcBorders>
              <w:top w:val="nil"/>
              <w:left w:val="single" w:sz="4" w:space="0" w:color="auto"/>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Male</w:t>
            </w:r>
          </w:p>
        </w:tc>
        <w:tc>
          <w:tcPr>
            <w:tcW w:w="1126" w:type="dxa"/>
            <w:tcBorders>
              <w:top w:val="nil"/>
              <w:left w:val="nil"/>
              <w:bottom w:val="single" w:sz="4" w:space="0" w:color="auto"/>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Female</w:t>
            </w:r>
          </w:p>
        </w:tc>
        <w:tc>
          <w:tcPr>
            <w:tcW w:w="1108" w:type="dxa"/>
            <w:tcBorders>
              <w:top w:val="nil"/>
              <w:left w:val="nil"/>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Male</w:t>
            </w:r>
          </w:p>
        </w:tc>
        <w:tc>
          <w:tcPr>
            <w:tcW w:w="1134" w:type="dxa"/>
            <w:tcBorders>
              <w:top w:val="nil"/>
              <w:left w:val="nil"/>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Female</w:t>
            </w:r>
          </w:p>
        </w:tc>
        <w:tc>
          <w:tcPr>
            <w:tcW w:w="993" w:type="dxa"/>
            <w:tcBorders>
              <w:top w:val="nil"/>
              <w:left w:val="single" w:sz="4" w:space="0" w:color="auto"/>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Male</w:t>
            </w:r>
          </w:p>
        </w:tc>
        <w:tc>
          <w:tcPr>
            <w:tcW w:w="992" w:type="dxa"/>
            <w:tcBorders>
              <w:top w:val="nil"/>
              <w:left w:val="nil"/>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Female</w:t>
            </w:r>
          </w:p>
        </w:tc>
        <w:tc>
          <w:tcPr>
            <w:tcW w:w="1134" w:type="dxa"/>
            <w:tcBorders>
              <w:top w:val="nil"/>
              <w:left w:val="single" w:sz="4" w:space="0" w:color="auto"/>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Male</w:t>
            </w:r>
          </w:p>
        </w:tc>
        <w:tc>
          <w:tcPr>
            <w:tcW w:w="1134" w:type="dxa"/>
            <w:tcBorders>
              <w:top w:val="nil"/>
              <w:left w:val="nil"/>
              <w:bottom w:val="single" w:sz="4" w:space="0" w:color="auto"/>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Female</w:t>
            </w:r>
          </w:p>
        </w:tc>
        <w:tc>
          <w:tcPr>
            <w:tcW w:w="1134" w:type="dxa"/>
            <w:tcBorders>
              <w:top w:val="nil"/>
              <w:left w:val="nil"/>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Male</w:t>
            </w:r>
          </w:p>
        </w:tc>
        <w:tc>
          <w:tcPr>
            <w:tcW w:w="992" w:type="dxa"/>
            <w:tcBorders>
              <w:top w:val="nil"/>
              <w:left w:val="nil"/>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Female</w:t>
            </w:r>
          </w:p>
        </w:tc>
        <w:tc>
          <w:tcPr>
            <w:tcW w:w="1134" w:type="dxa"/>
            <w:tcBorders>
              <w:top w:val="nil"/>
              <w:left w:val="single" w:sz="4" w:space="0" w:color="auto"/>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Male</w:t>
            </w:r>
          </w:p>
        </w:tc>
        <w:tc>
          <w:tcPr>
            <w:tcW w:w="1134" w:type="dxa"/>
            <w:tcBorders>
              <w:top w:val="nil"/>
              <w:left w:val="nil"/>
              <w:bottom w:val="single" w:sz="4" w:space="0" w:color="auto"/>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Female</w:t>
            </w:r>
          </w:p>
        </w:tc>
      </w:tr>
      <w:tr w:rsidR="00415BFD" w:rsidRPr="00AD04B9" w:rsidTr="002656F0">
        <w:trPr>
          <w:trHeight w:val="255"/>
        </w:trPr>
        <w:tc>
          <w:tcPr>
            <w:tcW w:w="714" w:type="dxa"/>
            <w:tcBorders>
              <w:top w:val="nil"/>
              <w:left w:val="single" w:sz="4" w:space="0" w:color="auto"/>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11</w:t>
            </w:r>
          </w:p>
        </w:tc>
        <w:tc>
          <w:tcPr>
            <w:tcW w:w="1026" w:type="dxa"/>
            <w:tcBorders>
              <w:top w:val="nil"/>
              <w:left w:val="single" w:sz="4" w:space="0" w:color="auto"/>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141,765</w:t>
            </w:r>
          </w:p>
        </w:tc>
        <w:tc>
          <w:tcPr>
            <w:tcW w:w="1126"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135,008</w:t>
            </w:r>
          </w:p>
        </w:tc>
        <w:tc>
          <w:tcPr>
            <w:tcW w:w="1108" w:type="dxa"/>
            <w:tcBorders>
              <w:top w:val="nil"/>
              <w:left w:val="nil"/>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141,765</w:t>
            </w:r>
          </w:p>
        </w:tc>
        <w:tc>
          <w:tcPr>
            <w:tcW w:w="1134"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135,008</w:t>
            </w:r>
          </w:p>
        </w:tc>
        <w:tc>
          <w:tcPr>
            <w:tcW w:w="993" w:type="dxa"/>
            <w:tcBorders>
              <w:top w:val="nil"/>
              <w:left w:val="nil"/>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17,513</w:t>
            </w:r>
          </w:p>
        </w:tc>
        <w:tc>
          <w:tcPr>
            <w:tcW w:w="992"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25,083</w:t>
            </w:r>
          </w:p>
        </w:tc>
        <w:tc>
          <w:tcPr>
            <w:tcW w:w="1134" w:type="dxa"/>
            <w:tcBorders>
              <w:top w:val="nil"/>
              <w:left w:val="nil"/>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7,911</w:t>
            </w:r>
          </w:p>
        </w:tc>
        <w:tc>
          <w:tcPr>
            <w:tcW w:w="1134"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11,330</w:t>
            </w:r>
          </w:p>
        </w:tc>
        <w:tc>
          <w:tcPr>
            <w:tcW w:w="1134" w:type="dxa"/>
            <w:tcBorders>
              <w:top w:val="nil"/>
              <w:left w:val="nil"/>
              <w:bottom w:val="nil"/>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7</w:t>
            </w:r>
            <w:r>
              <w:rPr>
                <w:rFonts w:asciiTheme="minorHAnsi" w:hAnsiTheme="minorHAnsi"/>
                <w:sz w:val="19"/>
                <w:szCs w:val="19"/>
              </w:rPr>
              <w:t>,</w:t>
            </w:r>
            <w:r w:rsidRPr="000F5821">
              <w:rPr>
                <w:rFonts w:asciiTheme="minorHAnsi" w:hAnsiTheme="minorHAnsi"/>
                <w:sz w:val="19"/>
                <w:szCs w:val="19"/>
              </w:rPr>
              <w:t>911</w:t>
            </w:r>
          </w:p>
        </w:tc>
        <w:tc>
          <w:tcPr>
            <w:tcW w:w="992" w:type="dxa"/>
            <w:tcBorders>
              <w:top w:val="nil"/>
              <w:left w:val="nil"/>
              <w:bottom w:val="nil"/>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10</w:t>
            </w:r>
            <w:r>
              <w:rPr>
                <w:rFonts w:asciiTheme="minorHAnsi" w:hAnsiTheme="minorHAnsi"/>
                <w:sz w:val="19"/>
                <w:szCs w:val="19"/>
              </w:rPr>
              <w:t>,</w:t>
            </w:r>
            <w:r w:rsidRPr="000F5821">
              <w:rPr>
                <w:rFonts w:asciiTheme="minorHAnsi" w:hAnsiTheme="minorHAnsi"/>
                <w:sz w:val="19"/>
                <w:szCs w:val="19"/>
              </w:rPr>
              <w:t>759</w:t>
            </w:r>
          </w:p>
        </w:tc>
        <w:tc>
          <w:tcPr>
            <w:tcW w:w="1134" w:type="dxa"/>
            <w:tcBorders>
              <w:top w:val="nil"/>
              <w:left w:val="single" w:sz="4" w:space="0" w:color="auto"/>
              <w:bottom w:val="nil"/>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7</w:t>
            </w:r>
            <w:r>
              <w:rPr>
                <w:rFonts w:asciiTheme="minorHAnsi" w:hAnsiTheme="minorHAnsi"/>
                <w:sz w:val="19"/>
                <w:szCs w:val="19"/>
              </w:rPr>
              <w:t>,</w:t>
            </w:r>
            <w:r w:rsidRPr="000F5821">
              <w:rPr>
                <w:rFonts w:asciiTheme="minorHAnsi" w:hAnsiTheme="minorHAnsi"/>
                <w:sz w:val="19"/>
                <w:szCs w:val="19"/>
              </w:rPr>
              <w:t>311</w:t>
            </w:r>
          </w:p>
        </w:tc>
        <w:tc>
          <w:tcPr>
            <w:tcW w:w="1134" w:type="dxa"/>
            <w:tcBorders>
              <w:top w:val="nil"/>
              <w:left w:val="nil"/>
              <w:bottom w:val="nil"/>
              <w:right w:val="single" w:sz="4" w:space="0" w:color="auto"/>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9</w:t>
            </w:r>
            <w:r>
              <w:rPr>
                <w:rFonts w:asciiTheme="minorHAnsi" w:hAnsiTheme="minorHAnsi"/>
                <w:sz w:val="19"/>
                <w:szCs w:val="19"/>
              </w:rPr>
              <w:t>,</w:t>
            </w:r>
            <w:r w:rsidRPr="000F5821">
              <w:rPr>
                <w:rFonts w:asciiTheme="minorHAnsi" w:hAnsiTheme="minorHAnsi"/>
                <w:sz w:val="19"/>
                <w:szCs w:val="19"/>
              </w:rPr>
              <w:t>943</w:t>
            </w:r>
          </w:p>
        </w:tc>
      </w:tr>
      <w:tr w:rsidR="00415BFD" w:rsidRPr="00AD04B9" w:rsidTr="002656F0">
        <w:trPr>
          <w:trHeight w:val="255"/>
        </w:trPr>
        <w:tc>
          <w:tcPr>
            <w:tcW w:w="714" w:type="dxa"/>
            <w:tcBorders>
              <w:top w:val="nil"/>
              <w:left w:val="single" w:sz="4" w:space="0" w:color="auto"/>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12</w:t>
            </w:r>
          </w:p>
        </w:tc>
        <w:tc>
          <w:tcPr>
            <w:tcW w:w="1026" w:type="dxa"/>
            <w:tcBorders>
              <w:top w:val="nil"/>
              <w:left w:val="single" w:sz="4" w:space="0" w:color="auto"/>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144,086</w:t>
            </w:r>
          </w:p>
        </w:tc>
        <w:tc>
          <w:tcPr>
            <w:tcW w:w="1126"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136,569</w:t>
            </w:r>
          </w:p>
        </w:tc>
        <w:tc>
          <w:tcPr>
            <w:tcW w:w="1108" w:type="dxa"/>
            <w:tcBorders>
              <w:top w:val="nil"/>
              <w:left w:val="nil"/>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144,086</w:t>
            </w:r>
          </w:p>
        </w:tc>
        <w:tc>
          <w:tcPr>
            <w:tcW w:w="1134"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136,569</w:t>
            </w:r>
          </w:p>
        </w:tc>
        <w:tc>
          <w:tcPr>
            <w:tcW w:w="993" w:type="dxa"/>
            <w:tcBorders>
              <w:top w:val="nil"/>
              <w:left w:val="nil"/>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17,800</w:t>
            </w:r>
          </w:p>
        </w:tc>
        <w:tc>
          <w:tcPr>
            <w:tcW w:w="992"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25,373</w:t>
            </w:r>
          </w:p>
        </w:tc>
        <w:tc>
          <w:tcPr>
            <w:tcW w:w="1134" w:type="dxa"/>
            <w:tcBorders>
              <w:top w:val="nil"/>
              <w:left w:val="nil"/>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8,040</w:t>
            </w:r>
          </w:p>
        </w:tc>
        <w:tc>
          <w:tcPr>
            <w:tcW w:w="1134"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11,461</w:t>
            </w:r>
          </w:p>
        </w:tc>
        <w:tc>
          <w:tcPr>
            <w:tcW w:w="1134" w:type="dxa"/>
            <w:tcBorders>
              <w:top w:val="nil"/>
              <w:left w:val="nil"/>
              <w:bottom w:val="nil"/>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8</w:t>
            </w:r>
            <w:r>
              <w:rPr>
                <w:rFonts w:asciiTheme="minorHAnsi" w:hAnsiTheme="minorHAnsi"/>
                <w:sz w:val="19"/>
                <w:szCs w:val="19"/>
              </w:rPr>
              <w:t>,</w:t>
            </w:r>
            <w:r w:rsidRPr="000F5821">
              <w:rPr>
                <w:rFonts w:asciiTheme="minorHAnsi" w:hAnsiTheme="minorHAnsi"/>
                <w:sz w:val="19"/>
                <w:szCs w:val="19"/>
              </w:rPr>
              <w:t>040</w:t>
            </w:r>
          </w:p>
        </w:tc>
        <w:tc>
          <w:tcPr>
            <w:tcW w:w="992" w:type="dxa"/>
            <w:tcBorders>
              <w:top w:val="nil"/>
              <w:left w:val="nil"/>
              <w:bottom w:val="nil"/>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10</w:t>
            </w:r>
            <w:r>
              <w:rPr>
                <w:rFonts w:asciiTheme="minorHAnsi" w:hAnsiTheme="minorHAnsi"/>
                <w:sz w:val="19"/>
                <w:szCs w:val="19"/>
              </w:rPr>
              <w:t>,</w:t>
            </w:r>
            <w:r w:rsidRPr="000F5821">
              <w:rPr>
                <w:rFonts w:asciiTheme="minorHAnsi" w:hAnsiTheme="minorHAnsi"/>
                <w:sz w:val="19"/>
                <w:szCs w:val="19"/>
              </w:rPr>
              <w:t>883</w:t>
            </w:r>
          </w:p>
        </w:tc>
        <w:tc>
          <w:tcPr>
            <w:tcW w:w="1134" w:type="dxa"/>
            <w:tcBorders>
              <w:top w:val="nil"/>
              <w:left w:val="single" w:sz="4" w:space="0" w:color="auto"/>
              <w:bottom w:val="nil"/>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7</w:t>
            </w:r>
            <w:r>
              <w:rPr>
                <w:rFonts w:asciiTheme="minorHAnsi" w:hAnsiTheme="minorHAnsi"/>
                <w:sz w:val="19"/>
                <w:szCs w:val="19"/>
              </w:rPr>
              <w:t>,</w:t>
            </w:r>
            <w:r w:rsidRPr="000F5821">
              <w:rPr>
                <w:rFonts w:asciiTheme="minorHAnsi" w:hAnsiTheme="minorHAnsi"/>
                <w:sz w:val="19"/>
                <w:szCs w:val="19"/>
              </w:rPr>
              <w:t>431</w:t>
            </w:r>
          </w:p>
        </w:tc>
        <w:tc>
          <w:tcPr>
            <w:tcW w:w="1134" w:type="dxa"/>
            <w:tcBorders>
              <w:top w:val="nil"/>
              <w:left w:val="nil"/>
              <w:bottom w:val="nil"/>
              <w:right w:val="single" w:sz="4" w:space="0" w:color="auto"/>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10</w:t>
            </w:r>
            <w:r>
              <w:rPr>
                <w:rFonts w:asciiTheme="minorHAnsi" w:hAnsiTheme="minorHAnsi"/>
                <w:sz w:val="19"/>
                <w:szCs w:val="19"/>
              </w:rPr>
              <w:t>,</w:t>
            </w:r>
            <w:r w:rsidRPr="000F5821">
              <w:rPr>
                <w:rFonts w:asciiTheme="minorHAnsi" w:hAnsiTheme="minorHAnsi"/>
                <w:sz w:val="19"/>
                <w:szCs w:val="19"/>
              </w:rPr>
              <w:t>058</w:t>
            </w:r>
          </w:p>
        </w:tc>
      </w:tr>
      <w:tr w:rsidR="00415BFD" w:rsidRPr="00AD04B9" w:rsidTr="002656F0">
        <w:trPr>
          <w:trHeight w:val="255"/>
        </w:trPr>
        <w:tc>
          <w:tcPr>
            <w:tcW w:w="714" w:type="dxa"/>
            <w:tcBorders>
              <w:top w:val="nil"/>
              <w:left w:val="single" w:sz="4" w:space="0" w:color="auto"/>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13</w:t>
            </w:r>
          </w:p>
        </w:tc>
        <w:tc>
          <w:tcPr>
            <w:tcW w:w="1026" w:type="dxa"/>
            <w:tcBorders>
              <w:top w:val="nil"/>
              <w:left w:val="single" w:sz="4" w:space="0" w:color="auto"/>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143,945</w:t>
            </w:r>
          </w:p>
        </w:tc>
        <w:tc>
          <w:tcPr>
            <w:tcW w:w="1126"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137,504</w:t>
            </w:r>
          </w:p>
        </w:tc>
        <w:tc>
          <w:tcPr>
            <w:tcW w:w="1108" w:type="dxa"/>
            <w:tcBorders>
              <w:top w:val="nil"/>
              <w:left w:val="nil"/>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143,945</w:t>
            </w:r>
          </w:p>
        </w:tc>
        <w:tc>
          <w:tcPr>
            <w:tcW w:w="1134"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137,504</w:t>
            </w:r>
          </w:p>
        </w:tc>
        <w:tc>
          <w:tcPr>
            <w:tcW w:w="993" w:type="dxa"/>
            <w:tcBorders>
              <w:top w:val="nil"/>
              <w:left w:val="nil"/>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17,782</w:t>
            </w:r>
          </w:p>
        </w:tc>
        <w:tc>
          <w:tcPr>
            <w:tcW w:w="992"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25,547</w:t>
            </w:r>
          </w:p>
        </w:tc>
        <w:tc>
          <w:tcPr>
            <w:tcW w:w="1134" w:type="dxa"/>
            <w:tcBorders>
              <w:top w:val="nil"/>
              <w:left w:val="nil"/>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8,032</w:t>
            </w:r>
          </w:p>
        </w:tc>
        <w:tc>
          <w:tcPr>
            <w:tcW w:w="1134"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11,540</w:t>
            </w:r>
          </w:p>
        </w:tc>
        <w:tc>
          <w:tcPr>
            <w:tcW w:w="1134" w:type="dxa"/>
            <w:tcBorders>
              <w:top w:val="nil"/>
              <w:left w:val="nil"/>
              <w:bottom w:val="nil"/>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8</w:t>
            </w:r>
            <w:r>
              <w:rPr>
                <w:rFonts w:asciiTheme="minorHAnsi" w:hAnsiTheme="minorHAnsi"/>
                <w:sz w:val="19"/>
                <w:szCs w:val="19"/>
              </w:rPr>
              <w:t>,</w:t>
            </w:r>
            <w:r w:rsidRPr="000F5821">
              <w:rPr>
                <w:rFonts w:asciiTheme="minorHAnsi" w:hAnsiTheme="minorHAnsi"/>
                <w:sz w:val="19"/>
                <w:szCs w:val="19"/>
              </w:rPr>
              <w:t>032</w:t>
            </w:r>
          </w:p>
        </w:tc>
        <w:tc>
          <w:tcPr>
            <w:tcW w:w="992" w:type="dxa"/>
            <w:tcBorders>
              <w:top w:val="nil"/>
              <w:left w:val="nil"/>
              <w:bottom w:val="nil"/>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10</w:t>
            </w:r>
            <w:r>
              <w:rPr>
                <w:rFonts w:asciiTheme="minorHAnsi" w:hAnsiTheme="minorHAnsi"/>
                <w:sz w:val="19"/>
                <w:szCs w:val="19"/>
              </w:rPr>
              <w:t>,</w:t>
            </w:r>
            <w:r w:rsidRPr="000F5821">
              <w:rPr>
                <w:rFonts w:asciiTheme="minorHAnsi" w:hAnsiTheme="minorHAnsi"/>
                <w:sz w:val="19"/>
                <w:szCs w:val="19"/>
              </w:rPr>
              <w:t>958</w:t>
            </w:r>
          </w:p>
        </w:tc>
        <w:tc>
          <w:tcPr>
            <w:tcW w:w="1134" w:type="dxa"/>
            <w:tcBorders>
              <w:top w:val="nil"/>
              <w:left w:val="single" w:sz="4" w:space="0" w:color="auto"/>
              <w:bottom w:val="nil"/>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7</w:t>
            </w:r>
            <w:r>
              <w:rPr>
                <w:rFonts w:asciiTheme="minorHAnsi" w:hAnsiTheme="minorHAnsi"/>
                <w:sz w:val="19"/>
                <w:szCs w:val="19"/>
              </w:rPr>
              <w:t>,</w:t>
            </w:r>
            <w:r w:rsidRPr="000F5821">
              <w:rPr>
                <w:rFonts w:asciiTheme="minorHAnsi" w:hAnsiTheme="minorHAnsi"/>
                <w:sz w:val="19"/>
                <w:szCs w:val="19"/>
              </w:rPr>
              <w:t>423</w:t>
            </w:r>
          </w:p>
        </w:tc>
        <w:tc>
          <w:tcPr>
            <w:tcW w:w="1134" w:type="dxa"/>
            <w:tcBorders>
              <w:top w:val="nil"/>
              <w:left w:val="nil"/>
              <w:bottom w:val="nil"/>
              <w:right w:val="single" w:sz="4" w:space="0" w:color="auto"/>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10</w:t>
            </w:r>
            <w:r>
              <w:rPr>
                <w:rFonts w:asciiTheme="minorHAnsi" w:hAnsiTheme="minorHAnsi"/>
                <w:sz w:val="19"/>
                <w:szCs w:val="19"/>
              </w:rPr>
              <w:t>,</w:t>
            </w:r>
            <w:r w:rsidRPr="000F5821">
              <w:rPr>
                <w:rFonts w:asciiTheme="minorHAnsi" w:hAnsiTheme="minorHAnsi"/>
                <w:sz w:val="19"/>
                <w:szCs w:val="19"/>
              </w:rPr>
              <w:t>127</w:t>
            </w:r>
          </w:p>
        </w:tc>
      </w:tr>
      <w:tr w:rsidR="00415BFD" w:rsidRPr="00AD04B9" w:rsidTr="002656F0">
        <w:trPr>
          <w:trHeight w:val="255"/>
        </w:trPr>
        <w:tc>
          <w:tcPr>
            <w:tcW w:w="714" w:type="dxa"/>
            <w:tcBorders>
              <w:top w:val="nil"/>
              <w:left w:val="single" w:sz="4" w:space="0" w:color="auto"/>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14</w:t>
            </w:r>
          </w:p>
        </w:tc>
        <w:tc>
          <w:tcPr>
            <w:tcW w:w="1026" w:type="dxa"/>
            <w:tcBorders>
              <w:top w:val="nil"/>
              <w:left w:val="single" w:sz="4" w:space="0" w:color="auto"/>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144,530</w:t>
            </w:r>
          </w:p>
        </w:tc>
        <w:tc>
          <w:tcPr>
            <w:tcW w:w="1126"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137,639</w:t>
            </w:r>
          </w:p>
        </w:tc>
        <w:tc>
          <w:tcPr>
            <w:tcW w:w="1108" w:type="dxa"/>
            <w:tcBorders>
              <w:top w:val="nil"/>
              <w:left w:val="nil"/>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144,530</w:t>
            </w:r>
          </w:p>
        </w:tc>
        <w:tc>
          <w:tcPr>
            <w:tcW w:w="1134"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137,639</w:t>
            </w:r>
          </w:p>
        </w:tc>
        <w:tc>
          <w:tcPr>
            <w:tcW w:w="993" w:type="dxa"/>
            <w:tcBorders>
              <w:top w:val="nil"/>
              <w:left w:val="nil"/>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19,663</w:t>
            </w:r>
          </w:p>
        </w:tc>
        <w:tc>
          <w:tcPr>
            <w:tcW w:w="992"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39,916</w:t>
            </w:r>
          </w:p>
        </w:tc>
        <w:tc>
          <w:tcPr>
            <w:tcW w:w="1134" w:type="dxa"/>
            <w:tcBorders>
              <w:top w:val="nil"/>
              <w:left w:val="nil"/>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8,882</w:t>
            </w:r>
          </w:p>
        </w:tc>
        <w:tc>
          <w:tcPr>
            <w:tcW w:w="1134"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18,031</w:t>
            </w:r>
          </w:p>
        </w:tc>
        <w:tc>
          <w:tcPr>
            <w:tcW w:w="1134" w:type="dxa"/>
            <w:tcBorders>
              <w:top w:val="nil"/>
              <w:left w:val="nil"/>
              <w:bottom w:val="nil"/>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8</w:t>
            </w:r>
            <w:r>
              <w:rPr>
                <w:rFonts w:asciiTheme="minorHAnsi" w:hAnsiTheme="minorHAnsi"/>
                <w:sz w:val="19"/>
                <w:szCs w:val="19"/>
              </w:rPr>
              <w:t>,</w:t>
            </w:r>
            <w:r w:rsidRPr="000F5821">
              <w:rPr>
                <w:rFonts w:asciiTheme="minorHAnsi" w:hAnsiTheme="minorHAnsi"/>
                <w:sz w:val="19"/>
                <w:szCs w:val="19"/>
              </w:rPr>
              <w:t>442</w:t>
            </w:r>
          </w:p>
        </w:tc>
        <w:tc>
          <w:tcPr>
            <w:tcW w:w="992" w:type="dxa"/>
            <w:tcBorders>
              <w:top w:val="nil"/>
              <w:left w:val="nil"/>
              <w:bottom w:val="nil"/>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16</w:t>
            </w:r>
            <w:r>
              <w:rPr>
                <w:rFonts w:asciiTheme="minorHAnsi" w:hAnsiTheme="minorHAnsi"/>
                <w:sz w:val="19"/>
                <w:szCs w:val="19"/>
              </w:rPr>
              <w:t>,</w:t>
            </w:r>
            <w:r w:rsidRPr="000F5821">
              <w:rPr>
                <w:rFonts w:asciiTheme="minorHAnsi" w:hAnsiTheme="minorHAnsi"/>
                <w:sz w:val="19"/>
                <w:szCs w:val="19"/>
              </w:rPr>
              <w:t>803</w:t>
            </w:r>
          </w:p>
        </w:tc>
        <w:tc>
          <w:tcPr>
            <w:tcW w:w="1134" w:type="dxa"/>
            <w:tcBorders>
              <w:top w:val="nil"/>
              <w:left w:val="single" w:sz="4" w:space="0" w:color="auto"/>
              <w:bottom w:val="nil"/>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7</w:t>
            </w:r>
            <w:r>
              <w:rPr>
                <w:rFonts w:asciiTheme="minorHAnsi" w:hAnsiTheme="minorHAnsi"/>
                <w:sz w:val="19"/>
                <w:szCs w:val="19"/>
              </w:rPr>
              <w:t>,</w:t>
            </w:r>
            <w:r w:rsidRPr="000F5821">
              <w:rPr>
                <w:rFonts w:asciiTheme="minorHAnsi" w:hAnsiTheme="minorHAnsi"/>
                <w:sz w:val="19"/>
                <w:szCs w:val="19"/>
              </w:rPr>
              <w:t>802</w:t>
            </w:r>
          </w:p>
        </w:tc>
        <w:tc>
          <w:tcPr>
            <w:tcW w:w="1134" w:type="dxa"/>
            <w:tcBorders>
              <w:top w:val="nil"/>
              <w:left w:val="nil"/>
              <w:bottom w:val="nil"/>
              <w:right w:val="single" w:sz="4" w:space="0" w:color="auto"/>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15</w:t>
            </w:r>
            <w:r>
              <w:rPr>
                <w:rFonts w:asciiTheme="minorHAnsi" w:hAnsiTheme="minorHAnsi"/>
                <w:sz w:val="19"/>
                <w:szCs w:val="19"/>
              </w:rPr>
              <w:t>,</w:t>
            </w:r>
            <w:r w:rsidRPr="000F5821">
              <w:rPr>
                <w:rFonts w:asciiTheme="minorHAnsi" w:hAnsiTheme="minorHAnsi"/>
                <w:sz w:val="19"/>
                <w:szCs w:val="19"/>
              </w:rPr>
              <w:t>529</w:t>
            </w:r>
          </w:p>
        </w:tc>
      </w:tr>
      <w:tr w:rsidR="00415BFD" w:rsidRPr="00AD04B9" w:rsidTr="002656F0">
        <w:trPr>
          <w:trHeight w:val="255"/>
        </w:trPr>
        <w:tc>
          <w:tcPr>
            <w:tcW w:w="714" w:type="dxa"/>
            <w:tcBorders>
              <w:top w:val="nil"/>
              <w:left w:val="single" w:sz="4" w:space="0" w:color="auto"/>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15</w:t>
            </w:r>
          </w:p>
        </w:tc>
        <w:tc>
          <w:tcPr>
            <w:tcW w:w="1026" w:type="dxa"/>
            <w:tcBorders>
              <w:top w:val="nil"/>
              <w:left w:val="single" w:sz="4" w:space="0" w:color="auto"/>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145,409</w:t>
            </w:r>
          </w:p>
        </w:tc>
        <w:tc>
          <w:tcPr>
            <w:tcW w:w="1126"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137,479</w:t>
            </w:r>
          </w:p>
        </w:tc>
        <w:tc>
          <w:tcPr>
            <w:tcW w:w="1108" w:type="dxa"/>
            <w:tcBorders>
              <w:top w:val="nil"/>
              <w:left w:val="nil"/>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145,409</w:t>
            </w:r>
          </w:p>
        </w:tc>
        <w:tc>
          <w:tcPr>
            <w:tcW w:w="1134"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137,479</w:t>
            </w:r>
          </w:p>
        </w:tc>
        <w:tc>
          <w:tcPr>
            <w:tcW w:w="993" w:type="dxa"/>
            <w:tcBorders>
              <w:top w:val="nil"/>
              <w:left w:val="nil"/>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25,589</w:t>
            </w:r>
          </w:p>
        </w:tc>
        <w:tc>
          <w:tcPr>
            <w:tcW w:w="992"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47,870</w:t>
            </w:r>
          </w:p>
        </w:tc>
        <w:tc>
          <w:tcPr>
            <w:tcW w:w="1134" w:type="dxa"/>
            <w:tcBorders>
              <w:top w:val="nil"/>
              <w:left w:val="nil"/>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11,559</w:t>
            </w:r>
          </w:p>
        </w:tc>
        <w:tc>
          <w:tcPr>
            <w:tcW w:w="1134"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21,623</w:t>
            </w:r>
          </w:p>
        </w:tc>
        <w:tc>
          <w:tcPr>
            <w:tcW w:w="1134" w:type="dxa"/>
            <w:tcBorders>
              <w:top w:val="nil"/>
              <w:left w:val="nil"/>
              <w:bottom w:val="nil"/>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10</w:t>
            </w:r>
            <w:r>
              <w:rPr>
                <w:rFonts w:asciiTheme="minorHAnsi" w:hAnsiTheme="minorHAnsi"/>
                <w:sz w:val="19"/>
                <w:szCs w:val="19"/>
              </w:rPr>
              <w:t>,</w:t>
            </w:r>
            <w:r w:rsidRPr="000F5821">
              <w:rPr>
                <w:rFonts w:asciiTheme="minorHAnsi" w:hAnsiTheme="minorHAnsi"/>
                <w:sz w:val="19"/>
                <w:szCs w:val="19"/>
              </w:rPr>
              <w:t>993</w:t>
            </w:r>
          </w:p>
        </w:tc>
        <w:tc>
          <w:tcPr>
            <w:tcW w:w="992" w:type="dxa"/>
            <w:tcBorders>
              <w:top w:val="nil"/>
              <w:left w:val="nil"/>
              <w:bottom w:val="nil"/>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20</w:t>
            </w:r>
            <w:r>
              <w:rPr>
                <w:rFonts w:asciiTheme="minorHAnsi" w:hAnsiTheme="minorHAnsi"/>
                <w:sz w:val="19"/>
                <w:szCs w:val="19"/>
              </w:rPr>
              <w:t>,</w:t>
            </w:r>
            <w:r w:rsidRPr="000F5821">
              <w:rPr>
                <w:rFonts w:asciiTheme="minorHAnsi" w:hAnsiTheme="minorHAnsi"/>
                <w:sz w:val="19"/>
                <w:szCs w:val="19"/>
              </w:rPr>
              <w:t>185</w:t>
            </w:r>
          </w:p>
        </w:tc>
        <w:tc>
          <w:tcPr>
            <w:tcW w:w="1134" w:type="dxa"/>
            <w:tcBorders>
              <w:top w:val="nil"/>
              <w:left w:val="single" w:sz="4" w:space="0" w:color="auto"/>
              <w:bottom w:val="nil"/>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10</w:t>
            </w:r>
            <w:r>
              <w:rPr>
                <w:rFonts w:asciiTheme="minorHAnsi" w:hAnsiTheme="minorHAnsi"/>
                <w:sz w:val="19"/>
                <w:szCs w:val="19"/>
              </w:rPr>
              <w:t>,</w:t>
            </w:r>
            <w:r w:rsidRPr="000F5821">
              <w:rPr>
                <w:rFonts w:asciiTheme="minorHAnsi" w:hAnsiTheme="minorHAnsi"/>
                <w:sz w:val="19"/>
                <w:szCs w:val="19"/>
              </w:rPr>
              <w:t>160</w:t>
            </w:r>
          </w:p>
        </w:tc>
        <w:tc>
          <w:tcPr>
            <w:tcW w:w="1134" w:type="dxa"/>
            <w:tcBorders>
              <w:top w:val="nil"/>
              <w:left w:val="nil"/>
              <w:bottom w:val="nil"/>
              <w:right w:val="single" w:sz="4" w:space="0" w:color="auto"/>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18</w:t>
            </w:r>
            <w:r>
              <w:rPr>
                <w:rFonts w:asciiTheme="minorHAnsi" w:hAnsiTheme="minorHAnsi"/>
                <w:sz w:val="19"/>
                <w:szCs w:val="19"/>
              </w:rPr>
              <w:t>,</w:t>
            </w:r>
            <w:r w:rsidRPr="000F5821">
              <w:rPr>
                <w:rFonts w:asciiTheme="minorHAnsi" w:hAnsiTheme="minorHAnsi"/>
                <w:sz w:val="19"/>
                <w:szCs w:val="19"/>
              </w:rPr>
              <w:t>655</w:t>
            </w:r>
          </w:p>
        </w:tc>
      </w:tr>
      <w:tr w:rsidR="00415BFD" w:rsidRPr="00AD04B9" w:rsidTr="002656F0">
        <w:trPr>
          <w:trHeight w:val="255"/>
        </w:trPr>
        <w:tc>
          <w:tcPr>
            <w:tcW w:w="714" w:type="dxa"/>
            <w:tcBorders>
              <w:top w:val="nil"/>
              <w:left w:val="single" w:sz="4" w:space="0" w:color="auto"/>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16</w:t>
            </w:r>
          </w:p>
        </w:tc>
        <w:tc>
          <w:tcPr>
            <w:tcW w:w="1026" w:type="dxa"/>
            <w:tcBorders>
              <w:top w:val="nil"/>
              <w:left w:val="single" w:sz="4" w:space="0" w:color="auto"/>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147,554</w:t>
            </w:r>
          </w:p>
        </w:tc>
        <w:tc>
          <w:tcPr>
            <w:tcW w:w="1126"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140,199</w:t>
            </w:r>
          </w:p>
        </w:tc>
        <w:tc>
          <w:tcPr>
            <w:tcW w:w="1108" w:type="dxa"/>
            <w:tcBorders>
              <w:top w:val="nil"/>
              <w:left w:val="nil"/>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147,554</w:t>
            </w:r>
          </w:p>
        </w:tc>
        <w:tc>
          <w:tcPr>
            <w:tcW w:w="1134"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140,199</w:t>
            </w:r>
          </w:p>
        </w:tc>
        <w:tc>
          <w:tcPr>
            <w:tcW w:w="993" w:type="dxa"/>
            <w:tcBorders>
              <w:top w:val="nil"/>
              <w:left w:val="nil"/>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25,317</w:t>
            </w:r>
          </w:p>
        </w:tc>
        <w:tc>
          <w:tcPr>
            <w:tcW w:w="992"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41,206</w:t>
            </w:r>
          </w:p>
        </w:tc>
        <w:tc>
          <w:tcPr>
            <w:tcW w:w="1134" w:type="dxa"/>
            <w:tcBorders>
              <w:top w:val="nil"/>
              <w:left w:val="nil"/>
              <w:bottom w:val="nil"/>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11,436</w:t>
            </w:r>
          </w:p>
        </w:tc>
        <w:tc>
          <w:tcPr>
            <w:tcW w:w="1134" w:type="dxa"/>
            <w:tcBorders>
              <w:top w:val="nil"/>
              <w:left w:val="nil"/>
              <w:bottom w:val="nil"/>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18,613</w:t>
            </w:r>
          </w:p>
        </w:tc>
        <w:tc>
          <w:tcPr>
            <w:tcW w:w="1134" w:type="dxa"/>
            <w:tcBorders>
              <w:top w:val="nil"/>
              <w:left w:val="nil"/>
              <w:bottom w:val="nil"/>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10</w:t>
            </w:r>
            <w:r>
              <w:rPr>
                <w:rFonts w:asciiTheme="minorHAnsi" w:hAnsiTheme="minorHAnsi"/>
                <w:sz w:val="19"/>
                <w:szCs w:val="19"/>
              </w:rPr>
              <w:t>,</w:t>
            </w:r>
            <w:r w:rsidRPr="000F5821">
              <w:rPr>
                <w:rFonts w:asciiTheme="minorHAnsi" w:hAnsiTheme="minorHAnsi"/>
                <w:sz w:val="19"/>
                <w:szCs w:val="19"/>
              </w:rPr>
              <w:t>719</w:t>
            </w:r>
          </w:p>
        </w:tc>
        <w:tc>
          <w:tcPr>
            <w:tcW w:w="992" w:type="dxa"/>
            <w:tcBorders>
              <w:top w:val="nil"/>
              <w:left w:val="nil"/>
              <w:bottom w:val="nil"/>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17</w:t>
            </w:r>
            <w:r>
              <w:rPr>
                <w:rFonts w:asciiTheme="minorHAnsi" w:hAnsiTheme="minorHAnsi"/>
                <w:sz w:val="19"/>
                <w:szCs w:val="19"/>
              </w:rPr>
              <w:t>,</w:t>
            </w:r>
            <w:r w:rsidRPr="000F5821">
              <w:rPr>
                <w:rFonts w:asciiTheme="minorHAnsi" w:hAnsiTheme="minorHAnsi"/>
                <w:sz w:val="19"/>
                <w:szCs w:val="19"/>
              </w:rPr>
              <w:t>867</w:t>
            </w:r>
          </w:p>
        </w:tc>
        <w:tc>
          <w:tcPr>
            <w:tcW w:w="1134" w:type="dxa"/>
            <w:tcBorders>
              <w:top w:val="nil"/>
              <w:left w:val="single" w:sz="4" w:space="0" w:color="auto"/>
              <w:bottom w:val="nil"/>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9</w:t>
            </w:r>
            <w:r>
              <w:rPr>
                <w:rFonts w:asciiTheme="minorHAnsi" w:hAnsiTheme="minorHAnsi"/>
                <w:sz w:val="19"/>
                <w:szCs w:val="19"/>
              </w:rPr>
              <w:t>,</w:t>
            </w:r>
            <w:r w:rsidRPr="000F5821">
              <w:rPr>
                <w:rFonts w:asciiTheme="minorHAnsi" w:hAnsiTheme="minorHAnsi"/>
                <w:sz w:val="19"/>
                <w:szCs w:val="19"/>
              </w:rPr>
              <w:t>906</w:t>
            </w:r>
          </w:p>
        </w:tc>
        <w:tc>
          <w:tcPr>
            <w:tcW w:w="1134" w:type="dxa"/>
            <w:tcBorders>
              <w:top w:val="nil"/>
              <w:left w:val="nil"/>
              <w:bottom w:val="nil"/>
              <w:right w:val="single" w:sz="4" w:space="0" w:color="auto"/>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16</w:t>
            </w:r>
            <w:r>
              <w:rPr>
                <w:rFonts w:asciiTheme="minorHAnsi" w:hAnsiTheme="minorHAnsi"/>
                <w:sz w:val="19"/>
                <w:szCs w:val="19"/>
              </w:rPr>
              <w:t>,</w:t>
            </w:r>
            <w:r w:rsidRPr="000F5821">
              <w:rPr>
                <w:rFonts w:asciiTheme="minorHAnsi" w:hAnsiTheme="minorHAnsi"/>
                <w:sz w:val="19"/>
                <w:szCs w:val="19"/>
              </w:rPr>
              <w:t>513</w:t>
            </w:r>
          </w:p>
        </w:tc>
      </w:tr>
      <w:tr w:rsidR="00415BFD" w:rsidRPr="00AD04B9" w:rsidTr="002656F0">
        <w:trPr>
          <w:trHeight w:val="255"/>
        </w:trPr>
        <w:tc>
          <w:tcPr>
            <w:tcW w:w="714" w:type="dxa"/>
            <w:tcBorders>
              <w:top w:val="nil"/>
              <w:left w:val="single" w:sz="4" w:space="0" w:color="auto"/>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17</w:t>
            </w:r>
          </w:p>
        </w:tc>
        <w:tc>
          <w:tcPr>
            <w:tcW w:w="1026" w:type="dxa"/>
            <w:tcBorders>
              <w:top w:val="nil"/>
              <w:left w:val="single" w:sz="4" w:space="0" w:color="auto"/>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149,706</w:t>
            </w:r>
          </w:p>
        </w:tc>
        <w:tc>
          <w:tcPr>
            <w:tcW w:w="1126" w:type="dxa"/>
            <w:tcBorders>
              <w:top w:val="nil"/>
              <w:left w:val="nil"/>
              <w:bottom w:val="single" w:sz="4" w:space="0" w:color="auto"/>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141,170</w:t>
            </w:r>
          </w:p>
        </w:tc>
        <w:tc>
          <w:tcPr>
            <w:tcW w:w="1108" w:type="dxa"/>
            <w:tcBorders>
              <w:top w:val="nil"/>
              <w:left w:val="nil"/>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149,706</w:t>
            </w:r>
          </w:p>
        </w:tc>
        <w:tc>
          <w:tcPr>
            <w:tcW w:w="1134" w:type="dxa"/>
            <w:tcBorders>
              <w:top w:val="nil"/>
              <w:left w:val="nil"/>
              <w:bottom w:val="single" w:sz="4" w:space="0" w:color="auto"/>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141,170</w:t>
            </w:r>
          </w:p>
        </w:tc>
        <w:tc>
          <w:tcPr>
            <w:tcW w:w="993" w:type="dxa"/>
            <w:tcBorders>
              <w:top w:val="nil"/>
              <w:left w:val="nil"/>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35,052</w:t>
            </w:r>
          </w:p>
        </w:tc>
        <w:tc>
          <w:tcPr>
            <w:tcW w:w="992" w:type="dxa"/>
            <w:tcBorders>
              <w:top w:val="nil"/>
              <w:left w:val="nil"/>
              <w:bottom w:val="single" w:sz="4" w:space="0" w:color="auto"/>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44,455</w:t>
            </w:r>
          </w:p>
        </w:tc>
        <w:tc>
          <w:tcPr>
            <w:tcW w:w="1134" w:type="dxa"/>
            <w:tcBorders>
              <w:top w:val="nil"/>
              <w:left w:val="nil"/>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15,833</w:t>
            </w:r>
          </w:p>
        </w:tc>
        <w:tc>
          <w:tcPr>
            <w:tcW w:w="1134" w:type="dxa"/>
            <w:tcBorders>
              <w:top w:val="nil"/>
              <w:left w:val="nil"/>
              <w:bottom w:val="single" w:sz="4" w:space="0" w:color="auto"/>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20,081</w:t>
            </w:r>
          </w:p>
        </w:tc>
        <w:tc>
          <w:tcPr>
            <w:tcW w:w="1134" w:type="dxa"/>
            <w:tcBorders>
              <w:top w:val="nil"/>
              <w:left w:val="nil"/>
              <w:bottom w:val="single" w:sz="4" w:space="0" w:color="auto"/>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14</w:t>
            </w:r>
            <w:r>
              <w:rPr>
                <w:rFonts w:asciiTheme="minorHAnsi" w:hAnsiTheme="minorHAnsi"/>
                <w:sz w:val="19"/>
                <w:szCs w:val="19"/>
              </w:rPr>
              <w:t>,</w:t>
            </w:r>
            <w:r w:rsidRPr="000F5821">
              <w:rPr>
                <w:rFonts w:asciiTheme="minorHAnsi" w:hAnsiTheme="minorHAnsi"/>
                <w:sz w:val="19"/>
                <w:szCs w:val="19"/>
              </w:rPr>
              <w:t>663</w:t>
            </w:r>
          </w:p>
        </w:tc>
        <w:tc>
          <w:tcPr>
            <w:tcW w:w="992" w:type="dxa"/>
            <w:tcBorders>
              <w:top w:val="nil"/>
              <w:left w:val="nil"/>
              <w:bottom w:val="single" w:sz="4" w:space="0" w:color="auto"/>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18</w:t>
            </w:r>
            <w:r>
              <w:rPr>
                <w:rFonts w:asciiTheme="minorHAnsi" w:hAnsiTheme="minorHAnsi"/>
                <w:sz w:val="19"/>
                <w:szCs w:val="19"/>
              </w:rPr>
              <w:t>,</w:t>
            </w:r>
            <w:r w:rsidRPr="000F5821">
              <w:rPr>
                <w:rFonts w:asciiTheme="minorHAnsi" w:hAnsiTheme="minorHAnsi"/>
                <w:sz w:val="19"/>
                <w:szCs w:val="19"/>
              </w:rPr>
              <w:t>855</w:t>
            </w:r>
          </w:p>
        </w:tc>
        <w:tc>
          <w:tcPr>
            <w:tcW w:w="1134" w:type="dxa"/>
            <w:tcBorders>
              <w:top w:val="nil"/>
              <w:left w:val="single" w:sz="4" w:space="0" w:color="auto"/>
              <w:bottom w:val="single" w:sz="4" w:space="0" w:color="auto"/>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13</w:t>
            </w:r>
            <w:r>
              <w:rPr>
                <w:rFonts w:asciiTheme="minorHAnsi" w:hAnsiTheme="minorHAnsi"/>
                <w:sz w:val="19"/>
                <w:szCs w:val="19"/>
              </w:rPr>
              <w:t>,</w:t>
            </w:r>
            <w:r w:rsidRPr="000F5821">
              <w:rPr>
                <w:rFonts w:asciiTheme="minorHAnsi" w:hAnsiTheme="minorHAnsi"/>
                <w:sz w:val="19"/>
                <w:szCs w:val="19"/>
              </w:rPr>
              <w:t>551</w:t>
            </w:r>
          </w:p>
        </w:tc>
        <w:tc>
          <w:tcPr>
            <w:tcW w:w="1134" w:type="dxa"/>
            <w:tcBorders>
              <w:top w:val="nil"/>
              <w:left w:val="nil"/>
              <w:bottom w:val="single" w:sz="4" w:space="0" w:color="auto"/>
              <w:right w:val="single" w:sz="4" w:space="0" w:color="auto"/>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17</w:t>
            </w:r>
            <w:r>
              <w:rPr>
                <w:rFonts w:asciiTheme="minorHAnsi" w:hAnsiTheme="minorHAnsi"/>
                <w:sz w:val="19"/>
                <w:szCs w:val="19"/>
              </w:rPr>
              <w:t>,</w:t>
            </w:r>
            <w:r w:rsidRPr="000F5821">
              <w:rPr>
                <w:rFonts w:asciiTheme="minorHAnsi" w:hAnsiTheme="minorHAnsi"/>
                <w:sz w:val="19"/>
                <w:szCs w:val="19"/>
              </w:rPr>
              <w:t>426</w:t>
            </w:r>
          </w:p>
        </w:tc>
      </w:tr>
      <w:tr w:rsidR="00415BFD" w:rsidRPr="00AD04B9" w:rsidTr="002656F0">
        <w:trPr>
          <w:trHeight w:val="255"/>
        </w:trPr>
        <w:tc>
          <w:tcPr>
            <w:tcW w:w="714" w:type="dxa"/>
            <w:tcBorders>
              <w:top w:val="nil"/>
              <w:left w:val="single" w:sz="4" w:space="0" w:color="auto"/>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b/>
                <w:bCs/>
                <w:color w:val="000000"/>
                <w:sz w:val="19"/>
                <w:szCs w:val="19"/>
                <w:lang w:eastAsia="en-AU" w:bidi="ar-SA"/>
              </w:rPr>
            </w:pPr>
            <w:r w:rsidRPr="00AD04B9">
              <w:rPr>
                <w:rFonts w:ascii="Calibri" w:eastAsia="Times New Roman" w:hAnsi="Calibri"/>
                <w:b/>
                <w:bCs/>
                <w:color w:val="000000"/>
                <w:sz w:val="19"/>
                <w:szCs w:val="19"/>
                <w:lang w:eastAsia="en-AU" w:bidi="ar-SA"/>
              </w:rPr>
              <w:t>Total</w:t>
            </w:r>
          </w:p>
        </w:tc>
        <w:tc>
          <w:tcPr>
            <w:tcW w:w="1026" w:type="dxa"/>
            <w:tcBorders>
              <w:top w:val="nil"/>
              <w:left w:val="single" w:sz="4" w:space="0" w:color="auto"/>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1,016,995</w:t>
            </w:r>
          </w:p>
        </w:tc>
        <w:tc>
          <w:tcPr>
            <w:tcW w:w="1126" w:type="dxa"/>
            <w:tcBorders>
              <w:top w:val="nil"/>
              <w:left w:val="nil"/>
              <w:bottom w:val="single" w:sz="4" w:space="0" w:color="auto"/>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965,568</w:t>
            </w:r>
          </w:p>
        </w:tc>
        <w:tc>
          <w:tcPr>
            <w:tcW w:w="1108" w:type="dxa"/>
            <w:tcBorders>
              <w:top w:val="nil"/>
              <w:left w:val="nil"/>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1,016,995</w:t>
            </w:r>
          </w:p>
        </w:tc>
        <w:tc>
          <w:tcPr>
            <w:tcW w:w="1134" w:type="dxa"/>
            <w:tcBorders>
              <w:top w:val="nil"/>
              <w:left w:val="nil"/>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965,568</w:t>
            </w:r>
          </w:p>
        </w:tc>
        <w:tc>
          <w:tcPr>
            <w:tcW w:w="993" w:type="dxa"/>
            <w:tcBorders>
              <w:top w:val="nil"/>
              <w:left w:val="single" w:sz="4" w:space="0" w:color="auto"/>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158,715</w:t>
            </w:r>
          </w:p>
        </w:tc>
        <w:tc>
          <w:tcPr>
            <w:tcW w:w="992" w:type="dxa"/>
            <w:tcBorders>
              <w:top w:val="nil"/>
              <w:left w:val="nil"/>
              <w:bottom w:val="single" w:sz="4" w:space="0" w:color="auto"/>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249,452</w:t>
            </w:r>
          </w:p>
        </w:tc>
        <w:tc>
          <w:tcPr>
            <w:tcW w:w="1134" w:type="dxa"/>
            <w:tcBorders>
              <w:top w:val="nil"/>
              <w:left w:val="nil"/>
              <w:bottom w:val="single" w:sz="4" w:space="0" w:color="auto"/>
              <w:right w:val="nil"/>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71,693</w:t>
            </w:r>
          </w:p>
        </w:tc>
        <w:tc>
          <w:tcPr>
            <w:tcW w:w="1134" w:type="dxa"/>
            <w:tcBorders>
              <w:top w:val="nil"/>
              <w:left w:val="nil"/>
              <w:bottom w:val="single" w:sz="4" w:space="0" w:color="auto"/>
              <w:right w:val="single" w:sz="4" w:space="0" w:color="auto"/>
            </w:tcBorders>
            <w:shd w:val="clear" w:color="000000" w:fill="EBF1DE"/>
            <w:noWrap/>
            <w:vAlign w:val="center"/>
            <w:hideMark/>
          </w:tcPr>
          <w:p w:rsidR="00415BFD" w:rsidRPr="00AD04B9" w:rsidRDefault="00415BFD" w:rsidP="00F045C1">
            <w:pPr>
              <w:spacing w:line="240" w:lineRule="auto"/>
              <w:jc w:val="center"/>
              <w:rPr>
                <w:rFonts w:ascii="Calibri" w:eastAsia="Times New Roman" w:hAnsi="Calibri"/>
                <w:color w:val="000000"/>
                <w:sz w:val="19"/>
                <w:szCs w:val="19"/>
                <w:lang w:eastAsia="en-AU" w:bidi="ar-SA"/>
              </w:rPr>
            </w:pPr>
            <w:r w:rsidRPr="00AD04B9">
              <w:rPr>
                <w:rFonts w:ascii="Calibri" w:eastAsia="Times New Roman" w:hAnsi="Calibri"/>
                <w:color w:val="000000"/>
                <w:sz w:val="19"/>
                <w:szCs w:val="19"/>
                <w:lang w:eastAsia="en-AU" w:bidi="ar-SA"/>
              </w:rPr>
              <w:t>112,679</w:t>
            </w:r>
          </w:p>
        </w:tc>
        <w:tc>
          <w:tcPr>
            <w:tcW w:w="1134" w:type="dxa"/>
            <w:tcBorders>
              <w:top w:val="nil"/>
              <w:left w:val="nil"/>
              <w:bottom w:val="single" w:sz="4" w:space="0" w:color="auto"/>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68</w:t>
            </w:r>
            <w:r>
              <w:rPr>
                <w:rFonts w:asciiTheme="minorHAnsi" w:hAnsiTheme="minorHAnsi"/>
                <w:sz w:val="19"/>
                <w:szCs w:val="19"/>
              </w:rPr>
              <w:t>,</w:t>
            </w:r>
            <w:r w:rsidRPr="000F5821">
              <w:rPr>
                <w:rFonts w:asciiTheme="minorHAnsi" w:hAnsiTheme="minorHAnsi"/>
                <w:sz w:val="19"/>
                <w:szCs w:val="19"/>
              </w:rPr>
              <w:t>800</w:t>
            </w:r>
          </w:p>
        </w:tc>
        <w:tc>
          <w:tcPr>
            <w:tcW w:w="992" w:type="dxa"/>
            <w:tcBorders>
              <w:top w:val="nil"/>
              <w:left w:val="nil"/>
              <w:bottom w:val="single" w:sz="4" w:space="0" w:color="auto"/>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106</w:t>
            </w:r>
            <w:r>
              <w:rPr>
                <w:rFonts w:asciiTheme="minorHAnsi" w:hAnsiTheme="minorHAnsi"/>
                <w:sz w:val="19"/>
                <w:szCs w:val="19"/>
              </w:rPr>
              <w:t>,</w:t>
            </w:r>
            <w:r w:rsidRPr="000F5821">
              <w:rPr>
                <w:rFonts w:asciiTheme="minorHAnsi" w:hAnsiTheme="minorHAnsi"/>
                <w:sz w:val="19"/>
                <w:szCs w:val="19"/>
              </w:rPr>
              <w:t>310</w:t>
            </w:r>
          </w:p>
        </w:tc>
        <w:tc>
          <w:tcPr>
            <w:tcW w:w="1134" w:type="dxa"/>
            <w:tcBorders>
              <w:top w:val="nil"/>
              <w:left w:val="single" w:sz="4" w:space="0" w:color="auto"/>
              <w:bottom w:val="single" w:sz="4" w:space="0" w:color="auto"/>
              <w:right w:val="nil"/>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63</w:t>
            </w:r>
            <w:r>
              <w:rPr>
                <w:rFonts w:asciiTheme="minorHAnsi" w:hAnsiTheme="minorHAnsi"/>
                <w:sz w:val="19"/>
                <w:szCs w:val="19"/>
              </w:rPr>
              <w:t>,</w:t>
            </w:r>
            <w:r w:rsidRPr="000F5821">
              <w:rPr>
                <w:rFonts w:asciiTheme="minorHAnsi" w:hAnsiTheme="minorHAnsi"/>
                <w:sz w:val="19"/>
                <w:szCs w:val="19"/>
              </w:rPr>
              <w:t>584</w:t>
            </w:r>
          </w:p>
        </w:tc>
        <w:tc>
          <w:tcPr>
            <w:tcW w:w="1134" w:type="dxa"/>
            <w:tcBorders>
              <w:top w:val="nil"/>
              <w:left w:val="nil"/>
              <w:bottom w:val="single" w:sz="4" w:space="0" w:color="auto"/>
              <w:right w:val="single" w:sz="4" w:space="0" w:color="auto"/>
            </w:tcBorders>
            <w:shd w:val="clear" w:color="000000" w:fill="EBF1DE"/>
            <w:noWrap/>
            <w:hideMark/>
          </w:tcPr>
          <w:p w:rsidR="00415BFD" w:rsidRPr="000F5821" w:rsidRDefault="00415BFD" w:rsidP="00F045C1">
            <w:pPr>
              <w:spacing w:line="240" w:lineRule="auto"/>
              <w:jc w:val="center"/>
              <w:rPr>
                <w:rFonts w:asciiTheme="minorHAnsi" w:eastAsia="Times New Roman" w:hAnsiTheme="minorHAnsi"/>
                <w:color w:val="000000"/>
                <w:sz w:val="19"/>
                <w:szCs w:val="19"/>
                <w:lang w:eastAsia="en-AU" w:bidi="ar-SA"/>
              </w:rPr>
            </w:pPr>
            <w:r w:rsidRPr="000F5821">
              <w:rPr>
                <w:rFonts w:asciiTheme="minorHAnsi" w:hAnsiTheme="minorHAnsi"/>
                <w:sz w:val="19"/>
                <w:szCs w:val="19"/>
              </w:rPr>
              <w:t>98</w:t>
            </w:r>
            <w:r>
              <w:rPr>
                <w:rFonts w:asciiTheme="minorHAnsi" w:hAnsiTheme="minorHAnsi"/>
                <w:sz w:val="19"/>
                <w:szCs w:val="19"/>
              </w:rPr>
              <w:t>,</w:t>
            </w:r>
            <w:r w:rsidRPr="000F5821">
              <w:rPr>
                <w:rFonts w:asciiTheme="minorHAnsi" w:hAnsiTheme="minorHAnsi"/>
                <w:sz w:val="19"/>
                <w:szCs w:val="19"/>
              </w:rPr>
              <w:t>251</w:t>
            </w:r>
          </w:p>
        </w:tc>
      </w:tr>
    </w:tbl>
    <w:p w:rsidR="00415BFD" w:rsidRDefault="00415BFD" w:rsidP="004F3091"/>
    <w:p w:rsidR="00415BFD" w:rsidRDefault="00415BFD" w:rsidP="004F3091">
      <w:pPr>
        <w:rPr>
          <w:lang w:bidi="ar-SA"/>
        </w:rPr>
      </w:pPr>
    </w:p>
    <w:p w:rsidR="00415BFD" w:rsidRDefault="00415BFD" w:rsidP="004F3091">
      <w:pPr>
        <w:rPr>
          <w:lang w:bidi="ar-SA"/>
        </w:rPr>
      </w:pPr>
    </w:p>
    <w:p w:rsidR="00415BFD" w:rsidRDefault="00415BFD" w:rsidP="004F3091">
      <w:pPr>
        <w:rPr>
          <w:lang w:bidi="ar-SA"/>
        </w:rPr>
      </w:pPr>
    </w:p>
    <w:p w:rsidR="00415BFD" w:rsidRDefault="00415BFD" w:rsidP="00D2006C">
      <w:pPr>
        <w:rPr>
          <w:lang w:bidi="ar-SA"/>
        </w:rPr>
      </w:pPr>
    </w:p>
    <w:p w:rsidR="00415BFD" w:rsidRDefault="00415BFD" w:rsidP="00D2006C">
      <w:pPr>
        <w:rPr>
          <w:lang w:bidi="ar-SA"/>
        </w:rPr>
        <w:sectPr w:rsidR="00415BFD" w:rsidSect="004F3091">
          <w:footnotePr>
            <w:numFmt w:val="chicago"/>
            <w:numStart w:val="2"/>
          </w:footnotePr>
          <w:pgSz w:w="16838" w:h="11906" w:orient="landscape"/>
          <w:pgMar w:top="1440" w:right="1440" w:bottom="1440" w:left="1440" w:header="510" w:footer="567" w:gutter="0"/>
          <w:cols w:space="708"/>
          <w:titlePg/>
          <w:docGrid w:linePitch="360"/>
        </w:sectPr>
      </w:pPr>
    </w:p>
    <w:p w:rsidR="00415BFD" w:rsidRDefault="00415BFD" w:rsidP="00B54903">
      <w:pPr>
        <w:pStyle w:val="Heading1"/>
      </w:pPr>
      <w:bookmarkStart w:id="84" w:name="_Ref450750855"/>
      <w:bookmarkStart w:id="85" w:name="_Toc452066398"/>
      <w:r>
        <w:lastRenderedPageBreak/>
        <w:t>Modelling health benefits</w:t>
      </w:r>
      <w:bookmarkEnd w:id="84"/>
      <w:bookmarkEnd w:id="85"/>
    </w:p>
    <w:p w:rsidR="00415BFD" w:rsidRDefault="00415BFD" w:rsidP="00F079D4">
      <w:pPr>
        <w:pStyle w:val="Heading3"/>
      </w:pPr>
      <w:bookmarkStart w:id="86" w:name="_Ref451328430"/>
      <w:bookmarkStart w:id="87" w:name="_Toc452066399"/>
      <w:r>
        <w:t>Description of the model</w:t>
      </w:r>
      <w:bookmarkEnd w:id="86"/>
      <w:bookmarkEnd w:id="87"/>
    </w:p>
    <w:p w:rsidR="00415BFD" w:rsidRDefault="00415BFD" w:rsidP="00D540E3">
      <w:pPr>
        <w:rPr>
          <w:lang w:bidi="ar-SA"/>
        </w:rPr>
      </w:pPr>
      <w:r>
        <w:rPr>
          <w:lang w:bidi="ar-SA"/>
        </w:rPr>
        <w:t>We constructed a</w:t>
      </w:r>
      <w:r w:rsidRPr="00405367">
        <w:rPr>
          <w:lang w:bidi="ar-SA"/>
        </w:rPr>
        <w:t xml:space="preserve"> multiple cohort Markov model to calculate</w:t>
      </w:r>
      <w:r>
        <w:rPr>
          <w:lang w:bidi="ar-SA"/>
        </w:rPr>
        <w:t xml:space="preserve"> the health outcomes </w:t>
      </w:r>
      <w:r w:rsidRPr="00405367">
        <w:rPr>
          <w:lang w:bidi="ar-SA"/>
        </w:rPr>
        <w:t>result</w:t>
      </w:r>
      <w:r>
        <w:rPr>
          <w:lang w:bidi="ar-SA"/>
        </w:rPr>
        <w:t>ing</w:t>
      </w:r>
      <w:r w:rsidRPr="00405367">
        <w:rPr>
          <w:lang w:bidi="ar-SA"/>
        </w:rPr>
        <w:t xml:space="preserve"> from </w:t>
      </w:r>
      <w:r>
        <w:rPr>
          <w:lang w:bidi="ar-SA"/>
        </w:rPr>
        <w:t xml:space="preserve">the </w:t>
      </w:r>
      <w:r w:rsidRPr="00405367">
        <w:rPr>
          <w:lang w:bidi="ar-SA"/>
        </w:rPr>
        <w:t>deliver</w:t>
      </w:r>
      <w:r>
        <w:rPr>
          <w:lang w:bidi="ar-SA"/>
        </w:rPr>
        <w:t>y of</w:t>
      </w:r>
      <w:r w:rsidRPr="00405367">
        <w:rPr>
          <w:lang w:bidi="ar-SA"/>
        </w:rPr>
        <w:t xml:space="preserve"> </w:t>
      </w:r>
      <w:r>
        <w:rPr>
          <w:lang w:bidi="ar-SA"/>
        </w:rPr>
        <w:t>(</w:t>
      </w:r>
      <w:r w:rsidRPr="00405367">
        <w:rPr>
          <w:lang w:bidi="ar-SA"/>
        </w:rPr>
        <w:t>universal and indicated</w:t>
      </w:r>
      <w:r>
        <w:rPr>
          <w:lang w:bidi="ar-SA"/>
        </w:rPr>
        <w:t>)</w:t>
      </w:r>
      <w:r w:rsidRPr="00405367">
        <w:rPr>
          <w:lang w:bidi="ar-SA"/>
        </w:rPr>
        <w:t xml:space="preserve"> interventions to prevent the incidence of major depression </w:t>
      </w:r>
      <w:r>
        <w:rPr>
          <w:lang w:bidi="ar-SA"/>
        </w:rPr>
        <w:t xml:space="preserve">in the eligible population. Model cohorts were based on the eligible 2013 Australian population aged 11-17 years, partitioned by sex and single-year age group (see the final columns of </w:t>
      </w:r>
      <w:r>
        <w:rPr>
          <w:lang w:bidi="ar-SA"/>
        </w:rPr>
        <w:fldChar w:fldCharType="begin"/>
      </w:r>
      <w:r>
        <w:rPr>
          <w:lang w:bidi="ar-SA"/>
        </w:rPr>
        <w:instrText xml:space="preserve"> REF _Ref432840991 \n \h </w:instrText>
      </w:r>
      <w:r>
        <w:rPr>
          <w:lang w:bidi="ar-SA"/>
        </w:rPr>
      </w:r>
      <w:r>
        <w:rPr>
          <w:lang w:bidi="ar-SA"/>
        </w:rPr>
        <w:fldChar w:fldCharType="separate"/>
      </w:r>
      <w:r>
        <w:rPr>
          <w:lang w:bidi="ar-SA"/>
        </w:rPr>
        <w:t>Table 7</w:t>
      </w:r>
      <w:r>
        <w:rPr>
          <w:lang w:bidi="ar-SA"/>
        </w:rPr>
        <w:fldChar w:fldCharType="end"/>
      </w:r>
      <w:r>
        <w:rPr>
          <w:lang w:bidi="ar-SA"/>
        </w:rPr>
        <w:t xml:space="preserve"> and </w:t>
      </w:r>
      <w:r>
        <w:rPr>
          <w:lang w:bidi="ar-SA"/>
        </w:rPr>
        <w:fldChar w:fldCharType="begin"/>
      </w:r>
      <w:r>
        <w:rPr>
          <w:lang w:bidi="ar-SA"/>
        </w:rPr>
        <w:instrText xml:space="preserve"> REF _Ref432843847 \n \h </w:instrText>
      </w:r>
      <w:r>
        <w:rPr>
          <w:lang w:bidi="ar-SA"/>
        </w:rPr>
      </w:r>
      <w:r>
        <w:rPr>
          <w:lang w:bidi="ar-SA"/>
        </w:rPr>
        <w:fldChar w:fldCharType="separate"/>
      </w:r>
      <w:r>
        <w:rPr>
          <w:lang w:bidi="ar-SA"/>
        </w:rPr>
        <w:t>Table 10</w:t>
      </w:r>
      <w:r>
        <w:rPr>
          <w:lang w:bidi="ar-SA"/>
        </w:rPr>
        <w:fldChar w:fldCharType="end"/>
      </w:r>
      <w:r>
        <w:rPr>
          <w:lang w:bidi="ar-SA"/>
        </w:rPr>
        <w:t xml:space="preserve">). Each age-sex cohort </w:t>
      </w:r>
      <w:r w:rsidRPr="00405367">
        <w:rPr>
          <w:lang w:bidi="ar-SA"/>
        </w:rPr>
        <w:t>was modell</w:t>
      </w:r>
      <w:r>
        <w:rPr>
          <w:lang w:bidi="ar-SA"/>
        </w:rPr>
        <w:t xml:space="preserve">ed over a 10-year time horizon to provide sufficient time to simulate </w:t>
      </w:r>
      <w:r w:rsidRPr="00405367">
        <w:rPr>
          <w:lang w:bidi="ar-SA"/>
        </w:rPr>
        <w:t>the full</w:t>
      </w:r>
      <w:r>
        <w:rPr>
          <w:lang w:bidi="ar-SA"/>
        </w:rPr>
        <w:t xml:space="preserve"> population</w:t>
      </w:r>
      <w:r w:rsidRPr="00405367">
        <w:rPr>
          <w:lang w:bidi="ar-SA"/>
        </w:rPr>
        <w:t xml:space="preserve"> health impact</w:t>
      </w:r>
      <w:r>
        <w:rPr>
          <w:lang w:bidi="ar-SA"/>
        </w:rPr>
        <w:t xml:space="preserve"> of prevention </w:t>
      </w:r>
      <w:r>
        <w:rPr>
          <w:noProof/>
          <w:lang w:bidi="ar-SA"/>
        </w:rPr>
        <w:t>[65]</w:t>
      </w:r>
      <w:r>
        <w:rPr>
          <w:lang w:bidi="ar-SA"/>
        </w:rPr>
        <w:t>.</w:t>
      </w:r>
    </w:p>
    <w:p w:rsidR="00415BFD" w:rsidRDefault="00415BFD" w:rsidP="00D540E3">
      <w:pPr>
        <w:rPr>
          <w:lang w:bidi="ar-SA"/>
        </w:rPr>
      </w:pPr>
    </w:p>
    <w:p w:rsidR="00415BFD" w:rsidRDefault="00415BFD" w:rsidP="00D540E3">
      <w:pPr>
        <w:rPr>
          <w:lang w:bidi="ar-SA"/>
        </w:rPr>
      </w:pPr>
      <w:r>
        <w:rPr>
          <w:lang w:bidi="ar-SA"/>
        </w:rPr>
        <w:t xml:space="preserve">The Markov model was based on DisMod 2 – a simple incidence-prevalence-mortality (IPM) model – that simulated how model cohorts would transition between three health states (i.e., healthy, diseased and dead) </w:t>
      </w:r>
      <w:r>
        <w:rPr>
          <w:noProof/>
          <w:lang w:bidi="ar-SA"/>
        </w:rPr>
        <w:t>[66]</w:t>
      </w:r>
      <w:r>
        <w:rPr>
          <w:lang w:bidi="ar-SA"/>
        </w:rPr>
        <w:t xml:space="preserve">. </w:t>
      </w:r>
      <w:r w:rsidRPr="007653E3">
        <w:rPr>
          <w:lang w:bidi="ar-SA"/>
        </w:rPr>
        <w:t xml:space="preserve">For universal prevention, we assumed that the eligible population encompassed all </w:t>
      </w:r>
      <w:r>
        <w:rPr>
          <w:lang w:bidi="ar-SA"/>
        </w:rPr>
        <w:t xml:space="preserve">healthy </w:t>
      </w:r>
      <w:r w:rsidRPr="007653E3">
        <w:rPr>
          <w:lang w:bidi="ar-SA"/>
        </w:rPr>
        <w:t>youth aged 11-17 years in the general population</w:t>
      </w:r>
      <w:r>
        <w:rPr>
          <w:lang w:bidi="ar-SA"/>
        </w:rPr>
        <w:t xml:space="preserve"> (see </w:t>
      </w:r>
      <w:r>
        <w:rPr>
          <w:lang w:bidi="ar-SA"/>
        </w:rPr>
        <w:fldChar w:fldCharType="begin"/>
      </w:r>
      <w:r>
        <w:rPr>
          <w:lang w:bidi="ar-SA"/>
        </w:rPr>
        <w:instrText xml:space="preserve"> REF _Ref432923804 \n \h </w:instrText>
      </w:r>
      <w:r>
        <w:rPr>
          <w:lang w:bidi="ar-SA"/>
        </w:rPr>
      </w:r>
      <w:r>
        <w:rPr>
          <w:lang w:bidi="ar-SA"/>
        </w:rPr>
        <w:fldChar w:fldCharType="separate"/>
      </w:r>
      <w:r>
        <w:rPr>
          <w:lang w:bidi="ar-SA"/>
        </w:rPr>
        <w:t>Figure 15</w:t>
      </w:r>
      <w:r>
        <w:rPr>
          <w:lang w:bidi="ar-SA"/>
        </w:rPr>
        <w:fldChar w:fldCharType="end"/>
      </w:r>
      <w:r>
        <w:rPr>
          <w:lang w:bidi="ar-SA"/>
        </w:rPr>
        <w:t>)</w:t>
      </w:r>
      <w:r w:rsidRPr="007653E3">
        <w:rPr>
          <w:lang w:bidi="ar-SA"/>
        </w:rPr>
        <w:t xml:space="preserve">. </w:t>
      </w:r>
      <w:r>
        <w:rPr>
          <w:lang w:bidi="ar-SA"/>
        </w:rPr>
        <w:t xml:space="preserve">The </w:t>
      </w:r>
      <w:r w:rsidRPr="007653E3">
        <w:rPr>
          <w:lang w:bidi="ar-SA"/>
        </w:rPr>
        <w:t xml:space="preserve"> majority of </w:t>
      </w:r>
      <w:r>
        <w:rPr>
          <w:lang w:bidi="ar-SA"/>
        </w:rPr>
        <w:t xml:space="preserve">people in the eligible </w:t>
      </w:r>
      <w:r w:rsidRPr="007653E3">
        <w:rPr>
          <w:lang w:bidi="ar-SA"/>
        </w:rPr>
        <w:t xml:space="preserve">age-sex cohorts began the model in the ‘Well population’ health state at baseline; with a minority </w:t>
      </w:r>
      <w:r>
        <w:rPr>
          <w:lang w:bidi="ar-SA"/>
        </w:rPr>
        <w:t xml:space="preserve">of people </w:t>
      </w:r>
      <w:r w:rsidRPr="007653E3">
        <w:rPr>
          <w:lang w:bidi="ar-SA"/>
        </w:rPr>
        <w:t xml:space="preserve">in the diseased health state </w:t>
      </w:r>
      <w:r>
        <w:rPr>
          <w:lang w:bidi="ar-SA"/>
        </w:rPr>
        <w:t xml:space="preserve">(which was calculated </w:t>
      </w:r>
      <w:r w:rsidRPr="007653E3">
        <w:rPr>
          <w:lang w:bidi="ar-SA"/>
        </w:rPr>
        <w:t>based on the</w:t>
      </w:r>
      <w:r>
        <w:rPr>
          <w:lang w:bidi="ar-SA"/>
        </w:rPr>
        <w:t xml:space="preserve"> current </w:t>
      </w:r>
      <w:r w:rsidRPr="007653E3">
        <w:rPr>
          <w:lang w:bidi="ar-SA"/>
        </w:rPr>
        <w:t>prevalence of major depression</w:t>
      </w:r>
      <w:r>
        <w:rPr>
          <w:lang w:bidi="ar-SA"/>
        </w:rPr>
        <w:t xml:space="preserve"> in that age-sex cohort)</w:t>
      </w:r>
      <w:r w:rsidRPr="007653E3">
        <w:rPr>
          <w:lang w:bidi="ar-SA"/>
        </w:rPr>
        <w:t>. Th</w:t>
      </w:r>
      <w:r>
        <w:rPr>
          <w:lang w:bidi="ar-SA"/>
        </w:rPr>
        <w:t xml:space="preserve">e subsequent year-to-year transitions between health states over the 10-year time horizon corresponded with conventional epidemiological parameters, as denoted in </w:t>
      </w:r>
      <w:r>
        <w:rPr>
          <w:lang w:bidi="ar-SA"/>
        </w:rPr>
        <w:fldChar w:fldCharType="begin"/>
      </w:r>
      <w:r>
        <w:rPr>
          <w:lang w:bidi="ar-SA"/>
        </w:rPr>
        <w:instrText xml:space="preserve"> REF _Ref432923804 \r \h </w:instrText>
      </w:r>
      <w:r>
        <w:rPr>
          <w:lang w:bidi="ar-SA"/>
        </w:rPr>
      </w:r>
      <w:r>
        <w:rPr>
          <w:lang w:bidi="ar-SA"/>
        </w:rPr>
        <w:fldChar w:fldCharType="separate"/>
      </w:r>
      <w:r>
        <w:rPr>
          <w:lang w:bidi="ar-SA"/>
        </w:rPr>
        <w:t>Figure 15</w:t>
      </w:r>
      <w:r>
        <w:rPr>
          <w:lang w:bidi="ar-SA"/>
        </w:rPr>
        <w:fldChar w:fldCharType="end"/>
      </w:r>
      <w:r>
        <w:rPr>
          <w:lang w:bidi="ar-SA"/>
        </w:rPr>
        <w:t xml:space="preserve">. In the case of indicated prevention, the eligible population encompassed all children and adolescents with subthreshold depression (see </w:t>
      </w:r>
      <w:r>
        <w:rPr>
          <w:lang w:bidi="ar-SA"/>
        </w:rPr>
        <w:fldChar w:fldCharType="begin"/>
      </w:r>
      <w:r>
        <w:rPr>
          <w:lang w:bidi="ar-SA"/>
        </w:rPr>
        <w:instrText xml:space="preserve"> REF _Ref432923810 \n \h </w:instrText>
      </w:r>
      <w:r>
        <w:rPr>
          <w:lang w:bidi="ar-SA"/>
        </w:rPr>
      </w:r>
      <w:r>
        <w:rPr>
          <w:lang w:bidi="ar-SA"/>
        </w:rPr>
        <w:fldChar w:fldCharType="separate"/>
      </w:r>
      <w:r>
        <w:rPr>
          <w:lang w:bidi="ar-SA"/>
        </w:rPr>
        <w:t>Figure 16</w:t>
      </w:r>
      <w:r>
        <w:rPr>
          <w:lang w:bidi="ar-SA"/>
        </w:rPr>
        <w:fldChar w:fldCharType="end"/>
      </w:r>
      <w:r>
        <w:rPr>
          <w:lang w:bidi="ar-SA"/>
        </w:rPr>
        <w:t xml:space="preserve">). </w:t>
      </w:r>
      <w:r w:rsidRPr="00405367">
        <w:rPr>
          <w:lang w:bidi="ar-SA"/>
        </w:rPr>
        <w:t xml:space="preserve">The model was executed under ‘steady state’ conditions – </w:t>
      </w:r>
      <w:r>
        <w:t xml:space="preserve">i.e., we assumed that trained staff and necessary infrastructure were available to deliver all interventions, which operate in accordance with their effectiveness potential (as denoted by the meta-analysis of RCT studies calculating pooled intervention effect sizes) </w:t>
      </w:r>
      <w:r>
        <w:rPr>
          <w:noProof/>
        </w:rPr>
        <w:t>[67,68]</w:t>
      </w:r>
      <w:r>
        <w:t>.</w:t>
      </w:r>
    </w:p>
    <w:p w:rsidR="00415BFD" w:rsidRDefault="00415BFD" w:rsidP="00AD11CA">
      <w:pPr>
        <w:rPr>
          <w:lang w:eastAsia="en-AU" w:bidi="ar-SA"/>
        </w:rPr>
      </w:pPr>
      <w:bookmarkStart w:id="88" w:name="_Ref420419349"/>
    </w:p>
    <w:p w:rsidR="00415BFD" w:rsidRPr="004C06E8" w:rsidRDefault="00415BFD" w:rsidP="00415BFD">
      <w:pPr>
        <w:pStyle w:val="MyFigure"/>
        <w:numPr>
          <w:ilvl w:val="4"/>
          <w:numId w:val="9"/>
        </w:numPr>
      </w:pPr>
      <w:bookmarkStart w:id="89" w:name="_Ref432923804"/>
      <w:bookmarkStart w:id="90" w:name="_Toc452066441"/>
      <w:r>
        <w:t xml:space="preserve">State </w:t>
      </w:r>
      <w:r w:rsidRPr="00F71FEA">
        <w:t>transition</w:t>
      </w:r>
      <w:r>
        <w:t xml:space="preserve"> diagram outlining the epidemiological transitions between three health states</w:t>
      </w:r>
      <w:bookmarkEnd w:id="88"/>
      <w:r>
        <w:t xml:space="preserve"> for universal prevention</w:t>
      </w:r>
      <w:bookmarkEnd w:id="89"/>
      <w:bookmarkEnd w:id="90"/>
    </w:p>
    <w:p w:rsidR="00415BFD" w:rsidRDefault="00415BFD" w:rsidP="00FD3FC8">
      <w:pPr>
        <w:jc w:val="center"/>
      </w:pPr>
      <w:r>
        <w:rPr>
          <w:noProof/>
          <w:lang w:eastAsia="en-AU" w:bidi="ar-SA"/>
        </w:rPr>
        <w:drawing>
          <wp:inline distT="0" distB="0" distL="0" distR="0" wp14:anchorId="25FB8D21" wp14:editId="1820B431">
            <wp:extent cx="3806809" cy="2916000"/>
            <wp:effectExtent l="19050" t="19050" r="22860"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806809" cy="2916000"/>
                    </a:xfrm>
                    <a:prstGeom prst="rect">
                      <a:avLst/>
                    </a:prstGeom>
                    <a:ln>
                      <a:solidFill>
                        <a:schemeClr val="tx1">
                          <a:lumMod val="50000"/>
                          <a:lumOff val="50000"/>
                        </a:schemeClr>
                      </a:solidFill>
                    </a:ln>
                  </pic:spPr>
                </pic:pic>
              </a:graphicData>
            </a:graphic>
          </wp:inline>
        </w:drawing>
      </w:r>
    </w:p>
    <w:p w:rsidR="00415BFD" w:rsidRPr="004C06E8" w:rsidRDefault="00415BFD" w:rsidP="00415BFD">
      <w:pPr>
        <w:pStyle w:val="MyFigure"/>
        <w:numPr>
          <w:ilvl w:val="4"/>
          <w:numId w:val="9"/>
        </w:numPr>
      </w:pPr>
      <w:bookmarkStart w:id="91" w:name="_Ref432923810"/>
      <w:bookmarkStart w:id="92" w:name="_Toc452066442"/>
      <w:r>
        <w:lastRenderedPageBreak/>
        <w:t xml:space="preserve">State </w:t>
      </w:r>
      <w:r w:rsidRPr="00F71FEA">
        <w:t>transition</w:t>
      </w:r>
      <w:r>
        <w:t xml:space="preserve"> diagram outlining the epidemiological transitions between three health states for indicated prevention</w:t>
      </w:r>
      <w:bookmarkEnd w:id="91"/>
      <w:bookmarkEnd w:id="92"/>
    </w:p>
    <w:p w:rsidR="00415BFD" w:rsidRDefault="00415BFD" w:rsidP="00FD3FC8">
      <w:pPr>
        <w:jc w:val="center"/>
      </w:pPr>
      <w:r>
        <w:rPr>
          <w:noProof/>
          <w:lang w:eastAsia="en-AU" w:bidi="ar-SA"/>
        </w:rPr>
        <w:drawing>
          <wp:inline distT="0" distB="0" distL="0" distR="0" wp14:anchorId="4C1067DC" wp14:editId="30DE1F5B">
            <wp:extent cx="3761033" cy="2916000"/>
            <wp:effectExtent l="19050" t="19050" r="11430" b="177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761033" cy="2916000"/>
                    </a:xfrm>
                    <a:prstGeom prst="rect">
                      <a:avLst/>
                    </a:prstGeom>
                    <a:ln>
                      <a:solidFill>
                        <a:schemeClr val="tx1">
                          <a:lumMod val="50000"/>
                          <a:lumOff val="50000"/>
                        </a:schemeClr>
                      </a:solidFill>
                    </a:ln>
                  </pic:spPr>
                </pic:pic>
              </a:graphicData>
            </a:graphic>
          </wp:inline>
        </w:drawing>
      </w:r>
    </w:p>
    <w:p w:rsidR="00415BFD" w:rsidRDefault="00415BFD" w:rsidP="00AF1090">
      <w:pPr>
        <w:rPr>
          <w:lang w:bidi="ar-SA"/>
        </w:rPr>
      </w:pPr>
    </w:p>
    <w:p w:rsidR="00415BFD" w:rsidRDefault="00415BFD" w:rsidP="00AF1090">
      <w:pPr>
        <w:rPr>
          <w:lang w:bidi="ar-SA"/>
        </w:rPr>
      </w:pPr>
      <w:r>
        <w:rPr>
          <w:lang w:bidi="ar-SA"/>
        </w:rPr>
        <w:t xml:space="preserve">The model assessed the comparative health benefits (i.e., DALYs averted) arising from changes in the epidemiological profile of an age-sex cohort over time under two opposing scenarios: (1) an ‘intervention’ scenario, where the eligible population participates in the proposed intervention; and (2) a ‘partial null’ comparator scenario, where the eligible population receives neither the proposed intervention nor any established prevention services currently being delivered by the education/health sector </w:t>
      </w:r>
      <w:r>
        <w:rPr>
          <w:noProof/>
          <w:lang w:bidi="ar-SA"/>
        </w:rPr>
        <w:t>[65]</w:t>
      </w:r>
      <w:r>
        <w:rPr>
          <w:lang w:bidi="ar-SA"/>
        </w:rPr>
        <w:t>. The partial null is qualitatively different from a ‘treatment as usual’ comparator, which models the epidemiological profile of an age-sex cohort under a scenario where they receive existing prevention services currently being delivered in the population. Due to the lack of data on the existing coverage of prevention interventions being delivered in Australian schools, we assumed that no interventions were currently in place. No back-calculation was thus required to calculate the partial null incidence that would occur if the health impact of all existing prevention interventions were removed. In turn, the partial null equated to a ‘no intervention’ scenario.</w:t>
      </w:r>
    </w:p>
    <w:p w:rsidR="00415BFD" w:rsidRDefault="00415BFD" w:rsidP="00AF1090">
      <w:pPr>
        <w:rPr>
          <w:lang w:bidi="ar-SA"/>
        </w:rPr>
      </w:pPr>
    </w:p>
    <w:p w:rsidR="00415BFD" w:rsidRDefault="00415BFD" w:rsidP="00AF1090">
      <w:pPr>
        <w:rPr>
          <w:lang w:bidi="ar-SA"/>
        </w:rPr>
      </w:pPr>
      <w:r w:rsidRPr="00366195">
        <w:t>Our model calculated the total life years lived under the intervention and comparator scenarios</w:t>
      </w:r>
      <w:r>
        <w:t xml:space="preserve">, whereby </w:t>
      </w:r>
      <w:r w:rsidRPr="00366195">
        <w:t xml:space="preserve">the impact of </w:t>
      </w:r>
      <w:r>
        <w:t>prevention involved</w:t>
      </w:r>
      <w:r w:rsidRPr="00366195">
        <w:t xml:space="preserve"> </w:t>
      </w:r>
      <w:r>
        <w:t>reductions</w:t>
      </w:r>
      <w:r w:rsidRPr="00366195">
        <w:t xml:space="preserve"> in the current incidence of major depression</w:t>
      </w:r>
      <w:r>
        <w:t xml:space="preserve"> – i.e., multiplying population</w:t>
      </w:r>
      <w:r w:rsidRPr="001A5458">
        <w:t xml:space="preserve"> </w:t>
      </w:r>
      <w:r>
        <w:t>incidence rates with the risk ratio of intervention efficacy at applicable time points over the 10-year time horizon</w:t>
      </w:r>
      <w:r w:rsidRPr="00366195">
        <w:t xml:space="preserve">. </w:t>
      </w:r>
      <w:r>
        <w:t xml:space="preserve">As stated in </w:t>
      </w:r>
      <w:r>
        <w:rPr>
          <w:lang w:bidi="ar-SA"/>
        </w:rPr>
        <w:t xml:space="preserve">sections </w:t>
      </w:r>
      <w:r>
        <w:rPr>
          <w:lang w:bidi="ar-SA"/>
        </w:rPr>
        <w:fldChar w:fldCharType="begin"/>
      </w:r>
      <w:r>
        <w:rPr>
          <w:lang w:bidi="ar-SA"/>
        </w:rPr>
        <w:instrText xml:space="preserve"> REF _Ref450826576 \n \h </w:instrText>
      </w:r>
      <w:r>
        <w:rPr>
          <w:lang w:bidi="ar-SA"/>
        </w:rPr>
      </w:r>
      <w:r>
        <w:rPr>
          <w:lang w:bidi="ar-SA"/>
        </w:rPr>
        <w:fldChar w:fldCharType="separate"/>
      </w:r>
      <w:r>
        <w:rPr>
          <w:lang w:bidi="ar-SA"/>
        </w:rPr>
        <w:t>2.3</w:t>
      </w:r>
      <w:r>
        <w:rPr>
          <w:lang w:bidi="ar-SA"/>
        </w:rPr>
        <w:fldChar w:fldCharType="end"/>
      </w:r>
      <w:r>
        <w:rPr>
          <w:lang w:bidi="ar-SA"/>
        </w:rPr>
        <w:t xml:space="preserve"> to </w:t>
      </w:r>
      <w:r>
        <w:rPr>
          <w:lang w:bidi="ar-SA"/>
        </w:rPr>
        <w:fldChar w:fldCharType="begin"/>
      </w:r>
      <w:r>
        <w:rPr>
          <w:lang w:bidi="ar-SA"/>
        </w:rPr>
        <w:instrText xml:space="preserve"> REF _Ref451271670 \n \h </w:instrText>
      </w:r>
      <w:r>
        <w:rPr>
          <w:lang w:bidi="ar-SA"/>
        </w:rPr>
      </w:r>
      <w:r>
        <w:rPr>
          <w:lang w:bidi="ar-SA"/>
        </w:rPr>
        <w:fldChar w:fldCharType="separate"/>
      </w:r>
      <w:r>
        <w:rPr>
          <w:lang w:bidi="ar-SA"/>
        </w:rPr>
        <w:t>2.6</w:t>
      </w:r>
      <w:r>
        <w:rPr>
          <w:lang w:bidi="ar-SA"/>
        </w:rPr>
        <w:fldChar w:fldCharType="end"/>
      </w:r>
      <w:r>
        <w:rPr>
          <w:lang w:bidi="ar-SA"/>
        </w:rPr>
        <w:t xml:space="preserve">, intervention effect sizes were applied over the follow-up time periods for which we obtained statistically significant risk ratios in the baseline analysis (with a null effect size of RR = 1.0 being applied to all remaining time periods). Mitigating the number of healthy (or subthreshold) people who transition to the depressed health state over the 10-year time horizon would lead to fewer prevalent cases of major depression over time, such that the 10-year cumulative prevalence of major depression is lower in the intervention population relative to the comparator. The reduction in prevalent cases would lead to fewer prevalent years lived </w:t>
      </w:r>
      <w:r>
        <w:rPr>
          <w:lang w:bidi="ar-SA"/>
        </w:rPr>
        <w:lastRenderedPageBreak/>
        <w:t xml:space="preserve">with disability, in addition to a greater number of life years lived in the intervention population via a </w:t>
      </w:r>
      <w:r w:rsidRPr="00366195">
        <w:t xml:space="preserve">reduction in </w:t>
      </w:r>
      <w:r>
        <w:t>excess deaths</w:t>
      </w:r>
      <w:r w:rsidRPr="00366195">
        <w:t xml:space="preserve"> attributable to major depression</w:t>
      </w:r>
      <w:r>
        <w:rPr>
          <w:lang w:bidi="ar-SA"/>
        </w:rPr>
        <w:t xml:space="preserve">. The joint effect of these morbidity and mortality impacts would, in turn, lead to a greater number of DALYs – as calculated using the formula presented in Equation </w:t>
      </w:r>
      <w:r>
        <w:rPr>
          <w:highlight w:val="yellow"/>
          <w:lang w:bidi="ar-SA"/>
        </w:rPr>
        <w:fldChar w:fldCharType="begin"/>
      </w:r>
      <w:r>
        <w:rPr>
          <w:lang w:bidi="ar-SA"/>
        </w:rPr>
        <w:instrText xml:space="preserve"> REF _Ref432926934 \h </w:instrText>
      </w:r>
      <w:r>
        <w:rPr>
          <w:highlight w:val="yellow"/>
          <w:lang w:bidi="ar-SA"/>
        </w:rPr>
      </w:r>
      <w:r>
        <w:rPr>
          <w:highlight w:val="yellow"/>
          <w:lang w:bidi="ar-SA"/>
        </w:rPr>
        <w:fldChar w:fldCharType="separate"/>
      </w:r>
      <w:r w:rsidRPr="0038332E">
        <w:t>(</w:t>
      </w:r>
      <w:r>
        <w:rPr>
          <w:noProof/>
        </w:rPr>
        <w:t>1</w:t>
      </w:r>
      <w:r w:rsidRPr="0038332E">
        <w:t>)</w:t>
      </w:r>
      <w:r>
        <w:rPr>
          <w:highlight w:val="yellow"/>
          <w:lang w:bidi="ar-SA"/>
        </w:rPr>
        <w:fldChar w:fldCharType="end"/>
      </w:r>
      <w:r>
        <w:rPr>
          <w:lang w:bidi="ar-SA"/>
        </w:rPr>
        <w:t>.</w:t>
      </w:r>
    </w:p>
    <w:p w:rsidR="00415BFD" w:rsidRDefault="00415BFD" w:rsidP="001A03D9">
      <w:pPr>
        <w:tabs>
          <w:tab w:val="left" w:pos="5842"/>
        </w:tabs>
        <w:rPr>
          <w:lang w:bidi="ar-SA"/>
        </w:rPr>
      </w:pPr>
      <w:r>
        <w:rPr>
          <w:lang w:bidi="ar-SA"/>
        </w:rPr>
        <w:tab/>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3"/>
        <w:gridCol w:w="628"/>
      </w:tblGrid>
      <w:tr w:rsidR="00415BFD" w:rsidRPr="0038332E" w:rsidTr="003D02F3">
        <w:trPr>
          <w:trHeight w:val="437"/>
        </w:trPr>
        <w:tc>
          <w:tcPr>
            <w:tcW w:w="7123" w:type="dxa"/>
            <w:vAlign w:val="center"/>
          </w:tcPr>
          <w:p w:rsidR="00415BFD" w:rsidRPr="0038332E" w:rsidRDefault="00415BFD" w:rsidP="00B26526">
            <w:pPr>
              <w:pStyle w:val="MyEquation"/>
              <w:tabs>
                <w:tab w:val="clear" w:pos="1701"/>
                <w:tab w:val="clear" w:pos="3402"/>
              </w:tabs>
              <w:spacing w:before="0" w:after="0"/>
              <w:rPr>
                <w:rFonts w:ascii="Georgia" w:hAnsi="Georgia"/>
              </w:rPr>
            </w:pPr>
            <m:oMathPara>
              <m:oMath>
                <m:r>
                  <m:rPr>
                    <m:nor/>
                  </m:rPr>
                  <w:rPr>
                    <w:sz w:val="24"/>
                  </w:rPr>
                  <m:t xml:space="preserve">DALYs = </m:t>
                </m:r>
                <m:nary>
                  <m:naryPr>
                    <m:chr m:val="∑"/>
                    <m:limLoc m:val="undOvr"/>
                    <m:ctrlPr>
                      <w:rPr>
                        <w:sz w:val="24"/>
                      </w:rPr>
                    </m:ctrlPr>
                  </m:naryPr>
                  <m:sub>
                    <m:r>
                      <m:rPr>
                        <m:nor/>
                      </m:rPr>
                      <w:rPr>
                        <w:sz w:val="24"/>
                      </w:rPr>
                      <m:t>t=0</m:t>
                    </m:r>
                  </m:sub>
                  <m:sup>
                    <m:r>
                      <m:rPr>
                        <m:nor/>
                      </m:rPr>
                      <w:rPr>
                        <w:sz w:val="24"/>
                      </w:rPr>
                      <m:t>10</m:t>
                    </m:r>
                  </m:sup>
                  <m:e>
                    <m:r>
                      <w:rPr>
                        <w:sz w:val="24"/>
                      </w:rPr>
                      <m:t xml:space="preserve"> </m:t>
                    </m:r>
                    <m:d>
                      <m:dPr>
                        <m:begChr m:val="["/>
                        <m:endChr m:val="]"/>
                        <m:ctrlPr>
                          <w:rPr>
                            <w:i/>
                            <w:sz w:val="24"/>
                          </w:rPr>
                        </m:ctrlPr>
                      </m:dPr>
                      <m:e>
                        <m:r>
                          <w:rPr>
                            <w:sz w:val="24"/>
                          </w:rPr>
                          <m:t xml:space="preserve"> </m:t>
                        </m:r>
                        <m:sSub>
                          <m:sSubPr>
                            <m:ctrlPr>
                              <w:rPr>
                                <w:sz w:val="24"/>
                              </w:rPr>
                            </m:ctrlPr>
                          </m:sSubPr>
                          <m:e>
                            <m:r>
                              <m:rPr>
                                <m:nor/>
                              </m:rPr>
                              <w:rPr>
                                <w:sz w:val="24"/>
                              </w:rPr>
                              <m:t xml:space="preserve">LY </m:t>
                            </m:r>
                          </m:e>
                          <m:sub>
                            <m:r>
                              <m:rPr>
                                <m:nor/>
                              </m:rPr>
                              <w:rPr>
                                <w:sz w:val="24"/>
                              </w:rPr>
                              <m:t>t</m:t>
                            </m:r>
                          </m:sub>
                        </m:sSub>
                        <m:r>
                          <m:rPr>
                            <m:nor/>
                          </m:rPr>
                          <w:rPr>
                            <w:sz w:val="24"/>
                          </w:rPr>
                          <m:t xml:space="preserve"> × </m:t>
                        </m:r>
                        <m:d>
                          <m:dPr>
                            <m:ctrlPr>
                              <w:rPr>
                                <w:sz w:val="24"/>
                              </w:rPr>
                            </m:ctrlPr>
                          </m:dPr>
                          <m:e>
                            <m:r>
                              <w:rPr>
                                <w:sz w:val="24"/>
                              </w:rPr>
                              <m:t>1-</m:t>
                            </m:r>
                            <m:sSub>
                              <m:sSubPr>
                                <m:ctrlPr>
                                  <w:rPr>
                                    <w:sz w:val="24"/>
                                  </w:rPr>
                                </m:ctrlPr>
                              </m:sSubPr>
                              <m:e>
                                <m:r>
                                  <m:rPr>
                                    <m:nor/>
                                  </m:rPr>
                                  <w:rPr>
                                    <w:sz w:val="24"/>
                                  </w:rPr>
                                  <m:t xml:space="preserve">Prev </m:t>
                                </m:r>
                              </m:e>
                              <m:sub>
                                <m:r>
                                  <m:rPr>
                                    <m:nor/>
                                  </m:rPr>
                                  <w:rPr>
                                    <w:sz w:val="24"/>
                                  </w:rPr>
                                  <m:t>t</m:t>
                                </m:r>
                              </m:sub>
                            </m:sSub>
                            <m:r>
                              <m:rPr>
                                <m:nor/>
                              </m:rPr>
                              <w:rPr>
                                <w:sz w:val="24"/>
                              </w:rPr>
                              <m:t xml:space="preserve"> × DW</m:t>
                            </m:r>
                          </m:e>
                        </m:d>
                        <m:r>
                          <w:rPr>
                            <w:sz w:val="24"/>
                          </w:rPr>
                          <m:t xml:space="preserve"> </m:t>
                        </m:r>
                      </m:e>
                    </m:d>
                  </m:e>
                </m:nary>
              </m:oMath>
            </m:oMathPara>
          </w:p>
        </w:tc>
        <w:tc>
          <w:tcPr>
            <w:tcW w:w="628" w:type="dxa"/>
            <w:vAlign w:val="center"/>
          </w:tcPr>
          <w:p w:rsidR="00415BFD" w:rsidRPr="0038332E" w:rsidRDefault="00415BFD" w:rsidP="00BD01D8">
            <w:pPr>
              <w:pStyle w:val="Caption"/>
              <w:jc w:val="right"/>
            </w:pPr>
            <w:bookmarkStart w:id="93" w:name="_Ref432926934"/>
            <w:r w:rsidRPr="0038332E">
              <w:t>(</w:t>
            </w:r>
            <w:fldSimple w:instr=" SEQ Equation \* ARABIC ">
              <w:r>
                <w:rPr>
                  <w:noProof/>
                </w:rPr>
                <w:t>1</w:t>
              </w:r>
            </w:fldSimple>
            <w:r w:rsidRPr="0038332E">
              <w:t>)</w:t>
            </w:r>
            <w:bookmarkEnd w:id="93"/>
          </w:p>
        </w:tc>
      </w:tr>
    </w:tbl>
    <w:p w:rsidR="00415BFD" w:rsidRDefault="00415BFD" w:rsidP="00AF1090">
      <w:pPr>
        <w:rPr>
          <w:lang w:bidi="ar-S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
        <w:gridCol w:w="6860"/>
      </w:tblGrid>
      <w:tr w:rsidR="00415BFD" w:rsidTr="00121035">
        <w:trPr>
          <w:jc w:val="center"/>
        </w:trPr>
        <w:tc>
          <w:tcPr>
            <w:tcW w:w="866" w:type="dxa"/>
          </w:tcPr>
          <w:p w:rsidR="00415BFD" w:rsidRDefault="00415BFD" w:rsidP="00AF1090">
            <w:pPr>
              <w:rPr>
                <w:lang w:bidi="ar-SA"/>
              </w:rPr>
            </w:pPr>
            <w:r>
              <w:rPr>
                <w:lang w:bidi="ar-SA"/>
              </w:rPr>
              <w:t>Where:</w:t>
            </w:r>
          </w:p>
        </w:tc>
        <w:tc>
          <w:tcPr>
            <w:tcW w:w="6860" w:type="dxa"/>
          </w:tcPr>
          <w:p w:rsidR="00415BFD" w:rsidRDefault="00415BFD" w:rsidP="00241D8A">
            <w:pPr>
              <w:rPr>
                <w:lang w:bidi="ar-SA"/>
              </w:rPr>
            </w:pPr>
            <w:r>
              <w:rPr>
                <w:i/>
                <w:lang w:bidi="ar-SA"/>
              </w:rPr>
              <w:t>LY</w:t>
            </w:r>
            <w:r>
              <w:rPr>
                <w:lang w:bidi="ar-SA"/>
              </w:rPr>
              <w:t xml:space="preserve"> is total number of life years lived by a population cohort in a single year</w:t>
            </w:r>
          </w:p>
        </w:tc>
      </w:tr>
      <w:tr w:rsidR="00415BFD" w:rsidTr="00121035">
        <w:trPr>
          <w:jc w:val="center"/>
        </w:trPr>
        <w:tc>
          <w:tcPr>
            <w:tcW w:w="866" w:type="dxa"/>
          </w:tcPr>
          <w:p w:rsidR="00415BFD" w:rsidRDefault="00415BFD" w:rsidP="00AF1090">
            <w:pPr>
              <w:rPr>
                <w:lang w:bidi="ar-SA"/>
              </w:rPr>
            </w:pPr>
          </w:p>
        </w:tc>
        <w:tc>
          <w:tcPr>
            <w:tcW w:w="6860" w:type="dxa"/>
          </w:tcPr>
          <w:p w:rsidR="00415BFD" w:rsidRDefault="00415BFD" w:rsidP="00651A0E">
            <w:pPr>
              <w:rPr>
                <w:lang w:bidi="ar-SA"/>
              </w:rPr>
            </w:pPr>
            <w:r w:rsidRPr="003F5625">
              <w:rPr>
                <w:i/>
                <w:lang w:bidi="ar-SA"/>
              </w:rPr>
              <w:t xml:space="preserve">Prev </w:t>
            </w:r>
            <w:r w:rsidRPr="003F5625">
              <w:rPr>
                <w:i/>
                <w:vertAlign w:val="subscript"/>
                <w:lang w:bidi="ar-SA"/>
              </w:rPr>
              <w:t>t</w:t>
            </w:r>
            <w:r>
              <w:rPr>
                <w:vertAlign w:val="subscript"/>
                <w:lang w:bidi="ar-SA"/>
              </w:rPr>
              <w:t xml:space="preserve"> </w:t>
            </w:r>
            <w:r>
              <w:rPr>
                <w:lang w:bidi="ar-SA"/>
              </w:rPr>
              <w:t xml:space="preserve"> is the prevalence of major depression at year t;</w:t>
            </w:r>
          </w:p>
        </w:tc>
      </w:tr>
      <w:tr w:rsidR="00415BFD" w:rsidTr="00121035">
        <w:trPr>
          <w:jc w:val="center"/>
        </w:trPr>
        <w:tc>
          <w:tcPr>
            <w:tcW w:w="866" w:type="dxa"/>
          </w:tcPr>
          <w:p w:rsidR="00415BFD" w:rsidRDefault="00415BFD" w:rsidP="00AF1090">
            <w:pPr>
              <w:rPr>
                <w:lang w:bidi="ar-SA"/>
              </w:rPr>
            </w:pPr>
          </w:p>
        </w:tc>
        <w:tc>
          <w:tcPr>
            <w:tcW w:w="6860" w:type="dxa"/>
          </w:tcPr>
          <w:p w:rsidR="00415BFD" w:rsidRDefault="00415BFD" w:rsidP="00AF1090">
            <w:pPr>
              <w:rPr>
                <w:lang w:bidi="ar-SA"/>
              </w:rPr>
            </w:pPr>
            <w:r w:rsidRPr="003F5625">
              <w:rPr>
                <w:i/>
                <w:lang w:bidi="ar-SA"/>
              </w:rPr>
              <w:t>DW</w:t>
            </w:r>
            <w:r>
              <w:rPr>
                <w:lang w:bidi="ar-SA"/>
              </w:rPr>
              <w:t xml:space="preserve"> is the disability weight of major depression taken from GBD 2013; and</w:t>
            </w:r>
          </w:p>
        </w:tc>
      </w:tr>
      <w:tr w:rsidR="00415BFD" w:rsidTr="00121035">
        <w:trPr>
          <w:jc w:val="center"/>
        </w:trPr>
        <w:tc>
          <w:tcPr>
            <w:tcW w:w="866" w:type="dxa"/>
          </w:tcPr>
          <w:p w:rsidR="00415BFD" w:rsidRDefault="00415BFD" w:rsidP="00AF1090">
            <w:pPr>
              <w:rPr>
                <w:lang w:bidi="ar-SA"/>
              </w:rPr>
            </w:pPr>
          </w:p>
        </w:tc>
        <w:tc>
          <w:tcPr>
            <w:tcW w:w="6860" w:type="dxa"/>
          </w:tcPr>
          <w:p w:rsidR="00415BFD" w:rsidRDefault="00415BFD" w:rsidP="003228B0">
            <w:pPr>
              <w:rPr>
                <w:lang w:bidi="ar-SA"/>
              </w:rPr>
            </w:pPr>
            <w:r w:rsidRPr="003F5625">
              <w:rPr>
                <w:i/>
                <w:lang w:bidi="ar-SA"/>
              </w:rPr>
              <w:t xml:space="preserve">t </w:t>
            </w:r>
            <w:r>
              <w:rPr>
                <w:lang w:bidi="ar-SA"/>
              </w:rPr>
              <w:t>denotes the year in the model time horizon (between 0 to 10 years)</w:t>
            </w:r>
          </w:p>
        </w:tc>
      </w:tr>
    </w:tbl>
    <w:p w:rsidR="00415BFD" w:rsidRDefault="00415BFD" w:rsidP="00AF1090">
      <w:pPr>
        <w:rPr>
          <w:lang w:bidi="ar-SA"/>
        </w:rPr>
      </w:pPr>
    </w:p>
    <w:p w:rsidR="00415BFD" w:rsidRDefault="00415BFD" w:rsidP="00AF1090">
      <w:pPr>
        <w:rPr>
          <w:lang w:bidi="ar-SA"/>
        </w:rPr>
      </w:pPr>
      <w:r>
        <w:rPr>
          <w:lang w:bidi="ar-SA"/>
        </w:rPr>
        <w:t>The comparative difference in the total DALYs calculated for intervention and comparator scenarios respectively, is the total DALYs averted</w:t>
      </w:r>
      <w:r w:rsidRPr="001D6884">
        <w:rPr>
          <w:rStyle w:val="FootnoteReference"/>
          <w:lang w:bidi="ar-SA"/>
        </w:rPr>
        <w:footnoteReference w:id="6"/>
      </w:r>
      <w:r>
        <w:rPr>
          <w:lang w:bidi="ar-SA"/>
        </w:rPr>
        <w:t xml:space="preserve"> by an intervention. In summary, health benefits were measured as the incremental DALYs averted that occur between intervention and comparator scenarios, for each age-sex cohort simulated in the model. The following sections describe the derivation of input epidemiological parameters used in the multiple cohort Markov model outlined above: disease duration; incidence; case fatality; remission; other mortality; and the disability weight.</w:t>
      </w:r>
    </w:p>
    <w:p w:rsidR="00415BFD" w:rsidRDefault="00415BFD" w:rsidP="00C11FE2">
      <w:pPr>
        <w:rPr>
          <w:lang w:bidi="ar-SA"/>
        </w:rPr>
      </w:pPr>
    </w:p>
    <w:p w:rsidR="00415BFD" w:rsidRPr="00C62C3E" w:rsidRDefault="00415BFD" w:rsidP="00D0013B">
      <w:pPr>
        <w:pStyle w:val="Heading3"/>
      </w:pPr>
      <w:bookmarkStart w:id="94" w:name="_Ref450825487"/>
      <w:bookmarkStart w:id="95" w:name="_Ref450826787"/>
      <w:bookmarkStart w:id="96" w:name="_Toc452066400"/>
      <w:r>
        <w:t>Duration parameter</w:t>
      </w:r>
      <w:bookmarkEnd w:id="94"/>
      <w:bookmarkEnd w:id="95"/>
      <w:bookmarkEnd w:id="96"/>
    </w:p>
    <w:p w:rsidR="00415BFD" w:rsidRDefault="00415BFD" w:rsidP="003228B0">
      <w:pPr>
        <w:tabs>
          <w:tab w:val="left" w:pos="1920"/>
        </w:tabs>
        <w:rPr>
          <w:rFonts w:eastAsia="MS PGothic"/>
          <w:bCs/>
          <w:i/>
          <w:szCs w:val="20"/>
          <w:lang w:bidi="ar-SA"/>
        </w:rPr>
      </w:pPr>
      <w:r>
        <w:rPr>
          <w:lang w:bidi="ar-SA"/>
        </w:rPr>
        <w:t xml:space="preserve">Previous Australian studies on the national burden of depression and the cost-effectiveness of depression treatments have assumed that a prevalent case of depression has an </w:t>
      </w:r>
      <w:r>
        <w:t xml:space="preserve">average </w:t>
      </w:r>
      <w:r>
        <w:rPr>
          <w:lang w:bidi="ar-SA"/>
        </w:rPr>
        <w:t xml:space="preserve">duration of 29.9 weeks (including two weeks minimum duration) </w:t>
      </w:r>
      <w:r>
        <w:rPr>
          <w:noProof/>
        </w:rPr>
        <w:t>[5,69]</w:t>
      </w:r>
      <w:r>
        <w:rPr>
          <w:lang w:bidi="ar-SA"/>
        </w:rPr>
        <w:t xml:space="preserve">. This figure was based on natural history models synthesising data from four longitudinal studies of major depression in community-based samples </w:t>
      </w:r>
      <w:r>
        <w:rPr>
          <w:noProof/>
          <w:lang w:bidi="ar-SA"/>
        </w:rPr>
        <w:t>[70-73]</w:t>
      </w:r>
      <w:r>
        <w:rPr>
          <w:lang w:bidi="ar-SA"/>
        </w:rPr>
        <w:t xml:space="preserve">. By contrast, the GBD 2013 study calculated an </w:t>
      </w:r>
      <w:r>
        <w:t xml:space="preserve">average </w:t>
      </w:r>
      <w:r>
        <w:rPr>
          <w:lang w:bidi="ar-SA"/>
        </w:rPr>
        <w:t xml:space="preserve">duration of 37.7 week </w:t>
      </w:r>
      <w:r>
        <w:rPr>
          <w:noProof/>
          <w:lang w:bidi="ar-SA"/>
        </w:rPr>
        <w:t>[18,74]</w:t>
      </w:r>
      <w:r>
        <w:rPr>
          <w:lang w:bidi="ar-SA"/>
        </w:rPr>
        <w:t xml:space="preserve">. This figure was based on a natural history model which used similar methods and identical data sources to the 29.9 weeks duration figure, in addition to data from the Dutch NEMESIS study </w:t>
      </w:r>
      <w:r>
        <w:rPr>
          <w:noProof/>
          <w:lang w:bidi="ar-SA"/>
        </w:rPr>
        <w:t>[75]</w:t>
      </w:r>
      <w:r>
        <w:rPr>
          <w:lang w:bidi="ar-SA"/>
        </w:rPr>
        <w:t xml:space="preserve">. Our models assumed an </w:t>
      </w:r>
      <w:r>
        <w:t xml:space="preserve">average </w:t>
      </w:r>
      <w:r>
        <w:rPr>
          <w:lang w:bidi="ar-SA"/>
        </w:rPr>
        <w:t>duration of 29.9 weeks for depression</w:t>
      </w:r>
      <w:r w:rsidRPr="007C40DE">
        <w:t xml:space="preserve"> </w:t>
      </w:r>
      <w:r>
        <w:t xml:space="preserve">to be consistent with </w:t>
      </w:r>
      <w:r>
        <w:rPr>
          <w:lang w:bidi="ar-SA"/>
        </w:rPr>
        <w:t>previous burden of disease and cost-effectiveness studies on depression. This, in turn, necessitated the adjustment of incidence rates obtained from the GBD 2013 study so that they would reflect a</w:t>
      </w:r>
      <w:r w:rsidRPr="00FD578F">
        <w:rPr>
          <w:lang w:bidi="ar-SA"/>
        </w:rPr>
        <w:t xml:space="preserve"> </w:t>
      </w:r>
      <w:r>
        <w:rPr>
          <w:lang w:bidi="ar-SA"/>
        </w:rPr>
        <w:t>duration of 29.9 weeks, rather than 37.7 weeks. This process is outlined in the following section outlining the derivation of incidence parameters.</w:t>
      </w:r>
      <w:r>
        <w:br w:type="page"/>
      </w:r>
    </w:p>
    <w:p w:rsidR="00415BFD" w:rsidRDefault="00415BFD" w:rsidP="00F079D4">
      <w:pPr>
        <w:pStyle w:val="Heading3"/>
      </w:pPr>
      <w:bookmarkStart w:id="97" w:name="_Ref450823605"/>
      <w:bookmarkStart w:id="98" w:name="_Ref450823632"/>
      <w:bookmarkStart w:id="99" w:name="_Ref450825555"/>
      <w:bookmarkStart w:id="100" w:name="_Toc452066401"/>
      <w:r>
        <w:lastRenderedPageBreak/>
        <w:t>Incidence parameter</w:t>
      </w:r>
      <w:bookmarkEnd w:id="97"/>
      <w:bookmarkEnd w:id="98"/>
      <w:bookmarkEnd w:id="99"/>
      <w:bookmarkEnd w:id="100"/>
    </w:p>
    <w:p w:rsidR="00415BFD" w:rsidRDefault="00415BFD" w:rsidP="009B74C9">
      <w:pPr>
        <w:rPr>
          <w:lang w:bidi="ar-SA"/>
        </w:rPr>
      </w:pPr>
      <w:r>
        <w:rPr>
          <w:lang w:bidi="ar-SA"/>
        </w:rPr>
        <w:t>We obtained male and female incidence rates from the GBD 2013 study for the Australian population, aged 11-27 years</w:t>
      </w:r>
      <w:r w:rsidRPr="006961B1">
        <w:rPr>
          <w:vertAlign w:val="superscript"/>
        </w:rPr>
        <w:footnoteReference w:id="7"/>
      </w:r>
      <w:r>
        <w:rPr>
          <w:lang w:bidi="ar-SA"/>
        </w:rPr>
        <w:t xml:space="preserve"> </w:t>
      </w:r>
      <w:r>
        <w:rPr>
          <w:noProof/>
        </w:rPr>
        <w:t>[13]</w:t>
      </w:r>
      <w:r>
        <w:t>.</w:t>
      </w:r>
      <w:r>
        <w:rPr>
          <w:lang w:bidi="ar-SA"/>
        </w:rPr>
        <w:t xml:space="preserve"> As stated previously, we adjusted GBD 2013 incidence rates so that they would reflect an </w:t>
      </w:r>
      <w:r>
        <w:t xml:space="preserve">average </w:t>
      </w:r>
      <w:r>
        <w:rPr>
          <w:lang w:bidi="ar-SA"/>
        </w:rPr>
        <w:t>duration of 29.9 weeks. To do this, we first assumed that prevalence was constant between 29.9 weeks prevalence estimates and 37.7 week prevalence estimates. Second, we employed the epidemiological relationship where prevalence is the product of incidence times duration. Solving these equations led to:</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3"/>
        <w:gridCol w:w="628"/>
      </w:tblGrid>
      <w:tr w:rsidR="00415BFD" w:rsidRPr="0038332E" w:rsidTr="00B27107">
        <w:trPr>
          <w:trHeight w:val="437"/>
        </w:trPr>
        <w:tc>
          <w:tcPr>
            <w:tcW w:w="7123" w:type="dxa"/>
            <w:vAlign w:val="center"/>
          </w:tcPr>
          <w:p w:rsidR="00415BFD" w:rsidRPr="0038332E" w:rsidRDefault="00415BFD" w:rsidP="00F8016F">
            <w:pPr>
              <w:pStyle w:val="MyEquation"/>
              <w:tabs>
                <w:tab w:val="clear" w:pos="1701"/>
                <w:tab w:val="clear" w:pos="3402"/>
              </w:tabs>
              <w:rPr>
                <w:rFonts w:ascii="Georgia" w:hAnsi="Georgia"/>
              </w:rPr>
            </w:pPr>
            <m:oMathPara>
              <m:oMath>
                <m:sSub>
                  <m:sSubPr>
                    <m:ctrlPr/>
                  </m:sSubPr>
                  <m:e>
                    <m:r>
                      <m:rPr>
                        <m:nor/>
                      </m:rPr>
                      <m:t xml:space="preserve">Incidence </m:t>
                    </m:r>
                  </m:e>
                  <m:sub>
                    <m:r>
                      <m:rPr>
                        <m:nor/>
                      </m:rPr>
                      <m:t xml:space="preserve">29.9 weeks </m:t>
                    </m:r>
                  </m:sub>
                </m:sSub>
                <m:r>
                  <m:rPr>
                    <m:nor/>
                  </m:rPr>
                  <m:t xml:space="preserve">× </m:t>
                </m:r>
                <m:sSub>
                  <m:sSubPr>
                    <m:ctrlPr/>
                  </m:sSubPr>
                  <m:e>
                    <m:r>
                      <m:rPr>
                        <m:nor/>
                      </m:rPr>
                      <m:t>Duration</m:t>
                    </m:r>
                  </m:e>
                  <m:sub>
                    <m:r>
                      <m:rPr>
                        <m:nor/>
                      </m:rPr>
                      <m:t xml:space="preserve"> 29.9 weeks </m:t>
                    </m:r>
                  </m:sub>
                </m:sSub>
                <m:r>
                  <m:rPr>
                    <m:nor/>
                  </m:rPr>
                  <m:t xml:space="preserve">= </m:t>
                </m:r>
                <m:sSub>
                  <m:sSubPr>
                    <m:ctrlPr/>
                  </m:sSubPr>
                  <m:e>
                    <m:r>
                      <m:rPr>
                        <m:nor/>
                      </m:rPr>
                      <m:t xml:space="preserve">Incidence </m:t>
                    </m:r>
                  </m:e>
                  <m:sub>
                    <m:r>
                      <m:rPr>
                        <m:nor/>
                      </m:rPr>
                      <m:t>37.7 weeks</m:t>
                    </m:r>
                  </m:sub>
                </m:sSub>
                <m:r>
                  <m:rPr>
                    <m:nor/>
                  </m:rPr>
                  <m:t xml:space="preserve">× </m:t>
                </m:r>
                <m:sSub>
                  <m:sSubPr>
                    <m:ctrlPr/>
                  </m:sSubPr>
                  <m:e>
                    <m:r>
                      <m:rPr>
                        <m:nor/>
                      </m:rPr>
                      <m:t xml:space="preserve">Duration </m:t>
                    </m:r>
                  </m:e>
                  <m:sub>
                    <m:r>
                      <m:rPr>
                        <m:nor/>
                      </m:rPr>
                      <m:t>37.7 weeks</m:t>
                    </m:r>
                  </m:sub>
                </m:sSub>
              </m:oMath>
            </m:oMathPara>
            <w:bookmarkStart w:id="101" w:name="_Ref420358632"/>
          </w:p>
        </w:tc>
        <w:tc>
          <w:tcPr>
            <w:tcW w:w="628" w:type="dxa"/>
            <w:vAlign w:val="center"/>
          </w:tcPr>
          <w:p w:rsidR="00415BFD" w:rsidRPr="0038332E" w:rsidRDefault="00415BFD" w:rsidP="00C127CE">
            <w:pPr>
              <w:pStyle w:val="MyEquation"/>
              <w:tabs>
                <w:tab w:val="clear" w:pos="1701"/>
                <w:tab w:val="clear" w:pos="3402"/>
              </w:tabs>
              <w:jc w:val="right"/>
            </w:pPr>
            <w:bookmarkStart w:id="102" w:name="_Ref420359599"/>
            <w:r w:rsidRPr="0038332E">
              <w:t>(</w:t>
            </w:r>
            <w:fldSimple w:instr=" SEQ Equation \* ARABIC ">
              <w:r>
                <w:rPr>
                  <w:noProof/>
                </w:rPr>
                <w:t>2</w:t>
              </w:r>
            </w:fldSimple>
            <w:bookmarkEnd w:id="101"/>
            <w:r w:rsidRPr="0038332E">
              <w:t>)</w:t>
            </w:r>
            <w:bookmarkEnd w:id="102"/>
          </w:p>
        </w:tc>
      </w:tr>
    </w:tbl>
    <w:p w:rsidR="00415BFD" w:rsidRDefault="00415BFD" w:rsidP="003F16B9">
      <w:r>
        <w:t xml:space="preserve">Re-arranging Equation </w:t>
      </w:r>
      <w:r>
        <w:fldChar w:fldCharType="begin"/>
      </w:r>
      <w:r>
        <w:instrText xml:space="preserve"> REF _Ref420359599 \h </w:instrText>
      </w:r>
      <w:r>
        <w:fldChar w:fldCharType="separate"/>
      </w:r>
      <w:r w:rsidRPr="0038332E">
        <w:t>(</w:t>
      </w:r>
      <w:r>
        <w:rPr>
          <w:noProof/>
        </w:rPr>
        <w:t>2</w:t>
      </w:r>
      <w:r w:rsidRPr="0038332E">
        <w:t>)</w:t>
      </w:r>
      <w:r>
        <w:fldChar w:fldCharType="end"/>
      </w:r>
      <w:r>
        <w:t>, in turn, led to:</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3"/>
        <w:gridCol w:w="628"/>
      </w:tblGrid>
      <w:tr w:rsidR="00415BFD" w:rsidRPr="0038332E" w:rsidTr="00B27107">
        <w:trPr>
          <w:trHeight w:val="437"/>
        </w:trPr>
        <w:tc>
          <w:tcPr>
            <w:tcW w:w="7123" w:type="dxa"/>
            <w:vAlign w:val="center"/>
          </w:tcPr>
          <w:p w:rsidR="00415BFD" w:rsidRPr="0038332E" w:rsidRDefault="00415BFD" w:rsidP="00F8016F">
            <w:pPr>
              <w:pStyle w:val="MyEquation"/>
              <w:tabs>
                <w:tab w:val="clear" w:pos="1701"/>
                <w:tab w:val="clear" w:pos="3402"/>
              </w:tabs>
              <w:rPr>
                <w:rFonts w:ascii="Georgia" w:hAnsi="Georgia"/>
              </w:rPr>
            </w:pPr>
            <m:oMathPara>
              <m:oMath>
                <m:sSub>
                  <m:sSubPr>
                    <m:ctrlPr/>
                  </m:sSubPr>
                  <m:e>
                    <m:r>
                      <m:rPr>
                        <m:nor/>
                      </m:rPr>
                      <m:t xml:space="preserve">Incidence </m:t>
                    </m:r>
                  </m:e>
                  <m:sub>
                    <m:r>
                      <m:rPr>
                        <m:nor/>
                      </m:rPr>
                      <m:t xml:space="preserve">29.9 weeks </m:t>
                    </m:r>
                  </m:sub>
                </m:sSub>
                <m:r>
                  <m:rPr>
                    <m:nor/>
                  </m:rPr>
                  <m:t xml:space="preserve"> = </m:t>
                </m:r>
                <m:sSub>
                  <m:sSubPr>
                    <m:ctrlPr/>
                  </m:sSubPr>
                  <m:e>
                    <m:r>
                      <m:rPr>
                        <m:nor/>
                      </m:rPr>
                      <m:t xml:space="preserve">Incidence </m:t>
                    </m:r>
                  </m:e>
                  <m:sub>
                    <m:r>
                      <m:rPr>
                        <m:nor/>
                      </m:rPr>
                      <m:t>37.7 weeks</m:t>
                    </m:r>
                  </m:sub>
                </m:sSub>
                <m:r>
                  <m:rPr>
                    <m:nor/>
                  </m:rPr>
                  <m:t xml:space="preserve">× </m:t>
                </m:r>
                <m:d>
                  <m:dPr>
                    <m:ctrlPr/>
                  </m:dPr>
                  <m:e>
                    <m:r>
                      <m:t xml:space="preserve"> </m:t>
                    </m:r>
                    <m:f>
                      <m:fPr>
                        <m:ctrlPr/>
                      </m:fPr>
                      <m:num>
                        <m:sSub>
                          <m:sSubPr>
                            <m:ctrlPr/>
                          </m:sSubPr>
                          <m:e>
                            <m:r>
                              <m:rPr>
                                <m:nor/>
                              </m:rPr>
                              <m:t xml:space="preserve">Duration </m:t>
                            </m:r>
                          </m:e>
                          <m:sub>
                            <m:r>
                              <m:rPr>
                                <m:nor/>
                              </m:rPr>
                              <m:t>37.7 weeks</m:t>
                            </m:r>
                          </m:sub>
                        </m:sSub>
                      </m:num>
                      <m:den>
                        <m:sSub>
                          <m:sSubPr>
                            <m:ctrlPr/>
                          </m:sSubPr>
                          <m:e>
                            <m:r>
                              <m:rPr>
                                <m:nor/>
                              </m:rPr>
                              <m:t>Duration</m:t>
                            </m:r>
                          </m:e>
                          <m:sub>
                            <m:r>
                              <m:rPr>
                                <m:nor/>
                              </m:rPr>
                              <m:t xml:space="preserve"> 29.9 weeks </m:t>
                            </m:r>
                          </m:sub>
                        </m:sSub>
                      </m:den>
                    </m:f>
                    <m:r>
                      <m:t xml:space="preserve"> </m:t>
                    </m:r>
                  </m:e>
                </m:d>
              </m:oMath>
            </m:oMathPara>
          </w:p>
        </w:tc>
        <w:tc>
          <w:tcPr>
            <w:tcW w:w="628" w:type="dxa"/>
            <w:vAlign w:val="center"/>
          </w:tcPr>
          <w:p w:rsidR="00415BFD" w:rsidRPr="0038332E" w:rsidRDefault="00415BFD" w:rsidP="00B27107">
            <w:pPr>
              <w:pStyle w:val="Caption"/>
              <w:jc w:val="right"/>
            </w:pPr>
            <w:bookmarkStart w:id="103" w:name="_Ref420359994"/>
            <w:r w:rsidRPr="0038332E">
              <w:t>(</w:t>
            </w:r>
            <w:fldSimple w:instr=" SEQ Equation \* ARABIC ">
              <w:r>
                <w:rPr>
                  <w:noProof/>
                </w:rPr>
                <w:t>3</w:t>
              </w:r>
            </w:fldSimple>
            <w:r w:rsidRPr="0038332E">
              <w:t>)</w:t>
            </w:r>
            <w:bookmarkEnd w:id="103"/>
          </w:p>
        </w:tc>
      </w:tr>
    </w:tbl>
    <w:p w:rsidR="00415BFD" w:rsidRDefault="00415BFD" w:rsidP="0017159F">
      <w:r>
        <w:rPr>
          <w:lang w:bidi="ar-SA"/>
        </w:rPr>
        <w:t xml:space="preserve">Where </w:t>
      </w:r>
      <w:r>
        <w:t xml:space="preserve">Equation </w:t>
      </w:r>
      <w:r>
        <w:fldChar w:fldCharType="begin"/>
      </w:r>
      <w:r>
        <w:instrText xml:space="preserve"> REF _Ref420359994 \h </w:instrText>
      </w:r>
      <w:r>
        <w:fldChar w:fldCharType="separate"/>
      </w:r>
      <w:r w:rsidRPr="0038332E">
        <w:t>(</w:t>
      </w:r>
      <w:r>
        <w:rPr>
          <w:noProof/>
        </w:rPr>
        <w:t>3</w:t>
      </w:r>
      <w:r w:rsidRPr="0038332E">
        <w:t>)</w:t>
      </w:r>
      <w:r>
        <w:fldChar w:fldCharType="end"/>
      </w:r>
      <w:r>
        <w:t xml:space="preserve"> calculates the incidence of depression resulting from a </w:t>
      </w:r>
      <w:r>
        <w:rPr>
          <w:lang w:bidi="ar-SA"/>
        </w:rPr>
        <w:t xml:space="preserve">29.9 weeks </w:t>
      </w:r>
      <w:r>
        <w:t>duration by multiplying the incidence associated with a 37.7 weeks duration with the ratio of duration estimates.</w:t>
      </w:r>
    </w:p>
    <w:p w:rsidR="00415BFD" w:rsidRDefault="00415BFD" w:rsidP="0017159F"/>
    <w:p w:rsidR="00415BFD" w:rsidRDefault="00415BFD" w:rsidP="003D318F">
      <w:r>
        <w:t xml:space="preserve">Incidence rates for the indicated prevention models required additional adjustments to reflect the higher incidence risk that would occur among youth with subthreshold depression. We conducted a separate meta-review (unpublished) which found three systematic reviews that examined longitudinal community-based studies with data on the risk of major depression among children and adolescents with subthreshold depression (relative to those in the general population) </w:t>
      </w:r>
      <w:r>
        <w:rPr>
          <w:noProof/>
        </w:rPr>
        <w:t>[76-78]</w:t>
      </w:r>
      <w:r>
        <w:t xml:space="preserve">. </w:t>
      </w:r>
      <w:r>
        <w:fldChar w:fldCharType="begin"/>
      </w:r>
      <w:r>
        <w:instrText xml:space="preserve"> REF _Ref432949320 \n \h </w:instrText>
      </w:r>
      <w:r>
        <w:fldChar w:fldCharType="separate"/>
      </w:r>
      <w:r>
        <w:t>Table 11</w:t>
      </w:r>
      <w:r>
        <w:fldChar w:fldCharType="end"/>
      </w:r>
      <w:r>
        <w:t xml:space="preserve"> presents all studies with extractable data on the incidence rate ratio (IRR) of major depression among youth with subthreshold depression relative to the general population. Extracted data were meta-analysed using the ‘inverse variance heterogeneity’ (IVhet) model – which calculates an estimator </w:t>
      </w:r>
      <w:r w:rsidRPr="00322A7E">
        <w:t>under the fixed effect model assumption with a quasi-likelihood based variance structure</w:t>
      </w:r>
      <w:r>
        <w:t xml:space="preserve"> </w:t>
      </w:r>
      <w:r>
        <w:rPr>
          <w:noProof/>
        </w:rPr>
        <w:t>[63]</w:t>
      </w:r>
      <w:r>
        <w:t xml:space="preserve">. All meta-analyses were conducted using MetaXL 3.0 </w:t>
      </w:r>
      <w:r w:rsidRPr="00161431">
        <w:t xml:space="preserve">(Epigear International, Sunrise Beach, Australia; </w:t>
      </w:r>
      <w:r>
        <w:t xml:space="preserve">available at: </w:t>
      </w:r>
      <w:hyperlink r:id="rId26" w:history="1">
        <w:r w:rsidRPr="001B6828">
          <w:rPr>
            <w:rStyle w:val="Hyperlink"/>
          </w:rPr>
          <w:t>http://www.epigear.com/</w:t>
        </w:r>
      </w:hyperlink>
      <w:r w:rsidRPr="00161431">
        <w:t>)</w:t>
      </w:r>
      <w:r>
        <w:t>.</w:t>
      </w:r>
      <w:r w:rsidRPr="00161431">
        <w:t xml:space="preserve"> </w:t>
      </w:r>
      <w:r w:rsidRPr="00CA79D9">
        <w:t>We calculated an IRR of 2.56 (95% CI: 1.02 - 6.43), a</w:t>
      </w:r>
      <w:r>
        <w:t xml:space="preserve">s depicted by the Forest plot in </w:t>
      </w:r>
      <w:r>
        <w:fldChar w:fldCharType="begin"/>
      </w:r>
      <w:r>
        <w:instrText xml:space="preserve"> REF _Ref432949343 \n \h </w:instrText>
      </w:r>
      <w:r>
        <w:fldChar w:fldCharType="separate"/>
      </w:r>
      <w:r>
        <w:t>Figure 17</w:t>
      </w:r>
      <w:r>
        <w:fldChar w:fldCharType="end"/>
      </w:r>
      <w:r>
        <w:t>.</w:t>
      </w:r>
      <w:r w:rsidRPr="00CA79D9">
        <w:t xml:space="preserve"> The</w:t>
      </w:r>
      <w:r>
        <w:t xml:space="preserve"> incidence of major depression among the subthreshold population was calculated by multiplying the GBD 2013 incidence (which is reflective of the general population) by the IRR calculated above. </w:t>
      </w:r>
      <w:r>
        <w:fldChar w:fldCharType="begin"/>
      </w:r>
      <w:r>
        <w:instrText xml:space="preserve"> REF _Ref432937634 \n \h </w:instrText>
      </w:r>
      <w:r>
        <w:fldChar w:fldCharType="separate"/>
      </w:r>
      <w:r>
        <w:t>Table 12</w:t>
      </w:r>
      <w:r>
        <w:fldChar w:fldCharType="end"/>
      </w:r>
      <w:r>
        <w:t xml:space="preserve"> presents the incidence rates of depression among: (1) the general Australian population aged 11-27 years after adjusting for an average duration of 26.7 weeks; and (2) the corresponding population sub-group with subthreshold depression.</w:t>
      </w:r>
    </w:p>
    <w:p w:rsidR="00415BFD" w:rsidRDefault="00415BFD" w:rsidP="0017159F"/>
    <w:p w:rsidR="00415BFD" w:rsidRDefault="00415BFD" w:rsidP="0017159F"/>
    <w:p w:rsidR="00415BFD" w:rsidRDefault="00415BFD">
      <w:pPr>
        <w:spacing w:line="240" w:lineRule="auto"/>
        <w:jc w:val="left"/>
        <w:rPr>
          <w:b/>
          <w:lang w:eastAsia="en-AU" w:bidi="ar-SA"/>
        </w:rPr>
      </w:pPr>
      <w:bookmarkStart w:id="104" w:name="_Ref423189430"/>
      <w:r>
        <w:br w:type="page"/>
      </w:r>
    </w:p>
    <w:p w:rsidR="00415BFD" w:rsidRDefault="00415BFD" w:rsidP="00415BFD">
      <w:pPr>
        <w:pStyle w:val="MyTable"/>
        <w:numPr>
          <w:ilvl w:val="3"/>
          <w:numId w:val="9"/>
        </w:numPr>
      </w:pPr>
      <w:bookmarkStart w:id="105" w:name="_Ref432949320"/>
      <w:bookmarkStart w:id="106" w:name="_Toc452066456"/>
      <w:bookmarkStart w:id="107" w:name="_Ref432937156"/>
      <w:r>
        <w:lastRenderedPageBreak/>
        <w:t>Community-based studies containing data on the incidence rate ratio of major depression in children and adolescents with subthreshold depression</w:t>
      </w:r>
      <w:bookmarkEnd w:id="105"/>
      <w:bookmarkEnd w:id="106"/>
    </w:p>
    <w:tbl>
      <w:tblPr>
        <w:tblStyle w:val="MediumShading1-Accent4"/>
        <w:tblW w:w="9208" w:type="dxa"/>
        <w:tblLook w:val="04A0" w:firstRow="1" w:lastRow="0" w:firstColumn="1" w:lastColumn="0" w:noHBand="0" w:noVBand="1"/>
      </w:tblPr>
      <w:tblGrid>
        <w:gridCol w:w="1531"/>
        <w:gridCol w:w="827"/>
        <w:gridCol w:w="1928"/>
        <w:gridCol w:w="2035"/>
        <w:gridCol w:w="1470"/>
        <w:gridCol w:w="1417"/>
      </w:tblGrid>
      <w:tr w:rsidR="00415BFD" w:rsidRPr="002C50DE" w:rsidTr="00A05051">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531" w:type="dxa"/>
            <w:noWrap/>
            <w:hideMark/>
          </w:tcPr>
          <w:p w:rsidR="00415BFD" w:rsidRPr="002C50DE" w:rsidRDefault="00415BFD" w:rsidP="009C7FE7">
            <w:pPr>
              <w:spacing w:before="120" w:after="120" w:line="271" w:lineRule="auto"/>
              <w:jc w:val="left"/>
              <w:rPr>
                <w:rFonts w:ascii="Arial" w:eastAsia="Times New Roman" w:hAnsi="Arial" w:cs="Arial"/>
                <w:sz w:val="18"/>
                <w:szCs w:val="16"/>
                <w:lang w:eastAsia="en-AU" w:bidi="ar-SA"/>
              </w:rPr>
            </w:pPr>
            <w:r w:rsidRPr="002C50DE">
              <w:rPr>
                <w:rFonts w:ascii="Arial" w:eastAsia="Times New Roman" w:hAnsi="Arial" w:cs="Arial"/>
                <w:sz w:val="18"/>
                <w:szCs w:val="16"/>
                <w:lang w:eastAsia="en-AU" w:bidi="ar-SA"/>
              </w:rPr>
              <w:t>Study name</w:t>
            </w:r>
          </w:p>
        </w:tc>
        <w:tc>
          <w:tcPr>
            <w:tcW w:w="827" w:type="dxa"/>
          </w:tcPr>
          <w:p w:rsidR="00415BFD" w:rsidRPr="002C50DE" w:rsidRDefault="00415BFD" w:rsidP="009C7FE7">
            <w:pPr>
              <w:spacing w:before="120" w:after="120" w:line="271"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6"/>
                <w:lang w:eastAsia="en-AU" w:bidi="ar-SA"/>
              </w:rPr>
            </w:pPr>
            <w:r w:rsidRPr="002C50DE">
              <w:rPr>
                <w:rFonts w:ascii="Arial" w:eastAsia="Times New Roman" w:hAnsi="Arial" w:cs="Arial"/>
                <w:bCs w:val="0"/>
                <w:sz w:val="18"/>
                <w:szCs w:val="16"/>
                <w:lang w:eastAsia="en-AU" w:bidi="ar-SA"/>
              </w:rPr>
              <w:t>Source</w:t>
            </w:r>
          </w:p>
        </w:tc>
        <w:tc>
          <w:tcPr>
            <w:tcW w:w="1928" w:type="dxa"/>
            <w:hideMark/>
          </w:tcPr>
          <w:p w:rsidR="00415BFD" w:rsidRPr="002C50DE" w:rsidRDefault="00415BFD" w:rsidP="009C7FE7">
            <w:pPr>
              <w:spacing w:before="120" w:after="120" w:line="271"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6"/>
                <w:lang w:eastAsia="en-AU" w:bidi="ar-SA"/>
              </w:rPr>
            </w:pPr>
            <w:r w:rsidRPr="002C50DE">
              <w:rPr>
                <w:rFonts w:ascii="Arial" w:eastAsia="Times New Roman" w:hAnsi="Arial" w:cs="Arial"/>
                <w:sz w:val="18"/>
                <w:szCs w:val="16"/>
                <w:lang w:eastAsia="en-AU" w:bidi="ar-SA"/>
              </w:rPr>
              <w:t>Cohort name</w:t>
            </w:r>
          </w:p>
        </w:tc>
        <w:tc>
          <w:tcPr>
            <w:tcW w:w="2035" w:type="dxa"/>
            <w:hideMark/>
          </w:tcPr>
          <w:p w:rsidR="00415BFD" w:rsidRPr="002C50DE" w:rsidRDefault="00415BFD" w:rsidP="008515BA">
            <w:pPr>
              <w:spacing w:before="120" w:after="120" w:line="271"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6"/>
                <w:lang w:eastAsia="en-AU" w:bidi="ar-SA"/>
              </w:rPr>
            </w:pPr>
            <w:r>
              <w:rPr>
                <w:rFonts w:ascii="Arial" w:eastAsia="Times New Roman" w:hAnsi="Arial" w:cs="Arial"/>
                <w:sz w:val="18"/>
                <w:szCs w:val="16"/>
                <w:lang w:eastAsia="en-AU" w:bidi="ar-SA"/>
              </w:rPr>
              <w:t>C</w:t>
            </w:r>
            <w:r w:rsidRPr="002C50DE">
              <w:rPr>
                <w:rFonts w:ascii="Arial" w:eastAsia="Times New Roman" w:hAnsi="Arial" w:cs="Arial"/>
                <w:sz w:val="18"/>
                <w:szCs w:val="16"/>
                <w:lang w:eastAsia="en-AU" w:bidi="ar-SA"/>
              </w:rPr>
              <w:t>ase definition</w:t>
            </w:r>
            <w:r>
              <w:rPr>
                <w:rFonts w:ascii="Arial" w:eastAsia="Times New Roman" w:hAnsi="Arial" w:cs="Arial"/>
                <w:sz w:val="18"/>
                <w:szCs w:val="16"/>
                <w:lang w:eastAsia="en-AU" w:bidi="ar-SA"/>
              </w:rPr>
              <w:t xml:space="preserve"> of subthreshold depression</w:t>
            </w:r>
          </w:p>
        </w:tc>
        <w:tc>
          <w:tcPr>
            <w:tcW w:w="1470" w:type="dxa"/>
            <w:hideMark/>
          </w:tcPr>
          <w:p w:rsidR="00415BFD" w:rsidRPr="002C50DE" w:rsidRDefault="00415BFD" w:rsidP="006B5A02">
            <w:pPr>
              <w:spacing w:before="120" w:after="120" w:line="271"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6"/>
                <w:lang w:eastAsia="en-AU" w:bidi="ar-SA"/>
              </w:rPr>
            </w:pPr>
            <w:r w:rsidRPr="002C50DE">
              <w:rPr>
                <w:rFonts w:ascii="Arial" w:eastAsia="Times New Roman" w:hAnsi="Arial" w:cs="Arial"/>
                <w:sz w:val="18"/>
                <w:szCs w:val="16"/>
                <w:lang w:eastAsia="en-AU" w:bidi="ar-SA"/>
              </w:rPr>
              <w:t xml:space="preserve">Previous </w:t>
            </w:r>
            <w:r>
              <w:rPr>
                <w:rFonts w:ascii="Arial" w:eastAsia="Times New Roman" w:hAnsi="Arial" w:cs="Arial"/>
                <w:sz w:val="18"/>
                <w:szCs w:val="16"/>
                <w:lang w:eastAsia="en-AU" w:bidi="ar-SA"/>
              </w:rPr>
              <w:t>cases of MDD</w:t>
            </w:r>
            <w:r w:rsidRPr="002C50DE">
              <w:rPr>
                <w:rFonts w:ascii="Arial" w:eastAsia="Times New Roman" w:hAnsi="Arial" w:cs="Arial"/>
                <w:sz w:val="18"/>
                <w:szCs w:val="16"/>
                <w:lang w:eastAsia="en-AU" w:bidi="ar-SA"/>
              </w:rPr>
              <w:t xml:space="preserve"> excluded?</w:t>
            </w:r>
          </w:p>
        </w:tc>
        <w:tc>
          <w:tcPr>
            <w:tcW w:w="1417" w:type="dxa"/>
            <w:hideMark/>
          </w:tcPr>
          <w:p w:rsidR="00415BFD" w:rsidRPr="002C50DE" w:rsidRDefault="00415BFD" w:rsidP="008515BA">
            <w:pPr>
              <w:spacing w:before="120" w:after="120" w:line="271"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6"/>
                <w:lang w:eastAsia="en-AU" w:bidi="ar-SA"/>
              </w:rPr>
            </w:pPr>
            <w:r w:rsidRPr="002C50DE">
              <w:rPr>
                <w:rFonts w:ascii="Arial" w:eastAsia="Times New Roman" w:hAnsi="Arial" w:cs="Arial"/>
                <w:sz w:val="18"/>
                <w:szCs w:val="16"/>
                <w:lang w:eastAsia="en-AU" w:bidi="ar-SA"/>
              </w:rPr>
              <w:t xml:space="preserve">Recency of </w:t>
            </w:r>
            <w:r>
              <w:rPr>
                <w:rFonts w:ascii="Arial" w:eastAsia="Times New Roman" w:hAnsi="Arial" w:cs="Arial"/>
                <w:sz w:val="18"/>
                <w:szCs w:val="16"/>
                <w:lang w:eastAsia="en-AU" w:bidi="ar-SA"/>
              </w:rPr>
              <w:t>subthreshold depression</w:t>
            </w:r>
          </w:p>
        </w:tc>
      </w:tr>
      <w:tr w:rsidR="00415BFD" w:rsidRPr="002C50DE" w:rsidTr="00A0505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31" w:type="dxa"/>
            <w:noWrap/>
            <w:hideMark/>
          </w:tcPr>
          <w:p w:rsidR="00415BFD" w:rsidRPr="002C50DE" w:rsidRDefault="00415BFD" w:rsidP="009C7FE7">
            <w:pPr>
              <w:spacing w:before="120" w:after="120" w:line="271" w:lineRule="auto"/>
              <w:jc w:val="left"/>
              <w:rPr>
                <w:rFonts w:ascii="Arial" w:eastAsia="Times New Roman" w:hAnsi="Arial" w:cs="Arial"/>
                <w:b w:val="0"/>
                <w:color w:val="000000"/>
                <w:sz w:val="18"/>
                <w:szCs w:val="16"/>
                <w:lang w:eastAsia="en-AU" w:bidi="ar-SA"/>
              </w:rPr>
            </w:pPr>
            <w:r w:rsidRPr="002C50DE">
              <w:rPr>
                <w:rFonts w:ascii="Arial" w:eastAsia="Times New Roman" w:hAnsi="Arial" w:cs="Arial"/>
                <w:b w:val="0"/>
                <w:color w:val="000000"/>
                <w:sz w:val="18"/>
                <w:szCs w:val="16"/>
                <w:lang w:eastAsia="en-AU" w:bidi="ar-SA"/>
              </w:rPr>
              <w:t>Fergusson 2005</w:t>
            </w:r>
          </w:p>
        </w:tc>
        <w:tc>
          <w:tcPr>
            <w:tcW w:w="827" w:type="dxa"/>
          </w:tcPr>
          <w:p w:rsidR="00415BFD" w:rsidRPr="002C50DE" w:rsidRDefault="00415BFD" w:rsidP="00DE649A">
            <w:pPr>
              <w:spacing w:before="120" w:after="120" w:line="271"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6"/>
                <w:lang w:eastAsia="en-AU" w:bidi="ar-SA"/>
              </w:rPr>
            </w:pPr>
            <w:r>
              <w:rPr>
                <w:rFonts w:ascii="Arial" w:eastAsia="Times New Roman" w:hAnsi="Arial" w:cs="Arial"/>
                <w:noProof/>
                <w:color w:val="000000"/>
                <w:sz w:val="18"/>
                <w:szCs w:val="16"/>
                <w:lang w:eastAsia="en-AU" w:bidi="ar-SA"/>
              </w:rPr>
              <w:t>[79]</w:t>
            </w:r>
          </w:p>
        </w:tc>
        <w:tc>
          <w:tcPr>
            <w:tcW w:w="1928" w:type="dxa"/>
            <w:noWrap/>
            <w:hideMark/>
          </w:tcPr>
          <w:p w:rsidR="00415BFD" w:rsidRPr="002C50DE" w:rsidRDefault="00415BFD" w:rsidP="009C7FE7">
            <w:pPr>
              <w:spacing w:before="120" w:after="120" w:line="271"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Christchurch Health and Development Study (CHDP)</w:t>
            </w:r>
          </w:p>
        </w:tc>
        <w:tc>
          <w:tcPr>
            <w:tcW w:w="2035" w:type="dxa"/>
            <w:noWrap/>
            <w:hideMark/>
          </w:tcPr>
          <w:p w:rsidR="00415BFD" w:rsidRPr="002C50DE" w:rsidRDefault="00415BFD" w:rsidP="004F1157">
            <w:pPr>
              <w:spacing w:before="120" w:after="120" w:line="271"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 xml:space="preserve">I. Meeting </w:t>
            </w:r>
            <w:r>
              <w:rPr>
                <w:rFonts w:ascii="Arial" w:eastAsia="Times New Roman" w:hAnsi="Arial" w:cs="Arial"/>
                <w:color w:val="000000"/>
                <w:sz w:val="18"/>
                <w:szCs w:val="16"/>
                <w:lang w:eastAsia="en-AU" w:bidi="ar-SA"/>
              </w:rPr>
              <w:t>criteria for</w:t>
            </w:r>
            <w:r w:rsidRPr="002C50DE">
              <w:rPr>
                <w:rFonts w:ascii="Arial" w:eastAsia="Times New Roman" w:hAnsi="Arial" w:cs="Arial"/>
                <w:color w:val="000000"/>
                <w:sz w:val="18"/>
                <w:szCs w:val="16"/>
                <w:lang w:eastAsia="en-AU" w:bidi="ar-SA"/>
              </w:rPr>
              <w:t xml:space="preserve"> min</w:t>
            </w:r>
            <w:r>
              <w:rPr>
                <w:rFonts w:ascii="Arial" w:eastAsia="Times New Roman" w:hAnsi="Arial" w:cs="Arial"/>
                <w:color w:val="000000"/>
                <w:sz w:val="18"/>
                <w:szCs w:val="16"/>
                <w:lang w:eastAsia="en-AU" w:bidi="ar-SA"/>
              </w:rPr>
              <w:t>or depression</w:t>
            </w:r>
          </w:p>
        </w:tc>
        <w:tc>
          <w:tcPr>
            <w:tcW w:w="1470" w:type="dxa"/>
            <w:noWrap/>
            <w:hideMark/>
          </w:tcPr>
          <w:p w:rsidR="00415BFD" w:rsidRPr="002C50DE" w:rsidRDefault="00415BFD" w:rsidP="009C7FE7">
            <w:pPr>
              <w:spacing w:before="120" w:after="120" w:line="271"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Not reported</w:t>
            </w:r>
          </w:p>
        </w:tc>
        <w:tc>
          <w:tcPr>
            <w:tcW w:w="1417" w:type="dxa"/>
            <w:noWrap/>
            <w:hideMark/>
          </w:tcPr>
          <w:p w:rsidR="00415BFD" w:rsidRPr="002C50DE" w:rsidRDefault="00415BFD" w:rsidP="009C7FE7">
            <w:pPr>
              <w:spacing w:before="120" w:after="120" w:line="271"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Current</w:t>
            </w:r>
          </w:p>
        </w:tc>
      </w:tr>
      <w:tr w:rsidR="00415BFD" w:rsidRPr="002C50DE" w:rsidTr="00A0505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31" w:type="dxa"/>
            <w:noWrap/>
            <w:hideMark/>
          </w:tcPr>
          <w:p w:rsidR="00415BFD" w:rsidRPr="002C50DE" w:rsidRDefault="00415BFD" w:rsidP="009C7FE7">
            <w:pPr>
              <w:spacing w:before="120" w:after="120" w:line="271" w:lineRule="auto"/>
              <w:jc w:val="left"/>
              <w:rPr>
                <w:rFonts w:ascii="Arial" w:eastAsia="Times New Roman" w:hAnsi="Arial" w:cs="Arial"/>
                <w:b w:val="0"/>
                <w:color w:val="000000"/>
                <w:sz w:val="18"/>
                <w:szCs w:val="16"/>
                <w:lang w:eastAsia="en-AU" w:bidi="ar-SA"/>
              </w:rPr>
            </w:pPr>
            <w:r w:rsidRPr="002C50DE">
              <w:rPr>
                <w:rFonts w:ascii="Arial" w:eastAsia="Times New Roman" w:hAnsi="Arial" w:cs="Arial"/>
                <w:b w:val="0"/>
                <w:color w:val="000000"/>
                <w:sz w:val="18"/>
                <w:szCs w:val="16"/>
                <w:lang w:eastAsia="en-AU" w:bidi="ar-SA"/>
              </w:rPr>
              <w:t>Johnson 2009</w:t>
            </w:r>
          </w:p>
        </w:tc>
        <w:tc>
          <w:tcPr>
            <w:tcW w:w="827" w:type="dxa"/>
          </w:tcPr>
          <w:p w:rsidR="00415BFD" w:rsidRPr="002C50DE" w:rsidRDefault="00415BFD" w:rsidP="00DE649A">
            <w:pPr>
              <w:spacing w:before="120" w:after="120" w:line="271" w:lineRule="auto"/>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6"/>
                <w:lang w:eastAsia="en-AU" w:bidi="ar-SA"/>
              </w:rPr>
            </w:pPr>
            <w:r>
              <w:rPr>
                <w:rFonts w:ascii="Arial" w:eastAsia="Times New Roman" w:hAnsi="Arial" w:cs="Arial"/>
                <w:noProof/>
                <w:color w:val="000000"/>
                <w:sz w:val="18"/>
                <w:szCs w:val="16"/>
                <w:lang w:eastAsia="en-AU" w:bidi="ar-SA"/>
              </w:rPr>
              <w:t>[80]</w:t>
            </w:r>
          </w:p>
        </w:tc>
        <w:tc>
          <w:tcPr>
            <w:tcW w:w="1928" w:type="dxa"/>
            <w:noWrap/>
            <w:hideMark/>
          </w:tcPr>
          <w:p w:rsidR="00415BFD" w:rsidRPr="002C50DE" w:rsidRDefault="00415BFD" w:rsidP="009C7FE7">
            <w:pPr>
              <w:spacing w:before="120" w:after="120" w:line="271" w:lineRule="auto"/>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Children in the Community Study (CICS)</w:t>
            </w:r>
          </w:p>
        </w:tc>
        <w:tc>
          <w:tcPr>
            <w:tcW w:w="2035" w:type="dxa"/>
            <w:noWrap/>
            <w:hideMark/>
          </w:tcPr>
          <w:p w:rsidR="00415BFD" w:rsidRPr="002C50DE" w:rsidRDefault="00415BFD" w:rsidP="004F1157">
            <w:pPr>
              <w:spacing w:before="120" w:after="120" w:line="271" w:lineRule="auto"/>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 xml:space="preserve">I. Meeting </w:t>
            </w:r>
            <w:r>
              <w:rPr>
                <w:rFonts w:ascii="Arial" w:eastAsia="Times New Roman" w:hAnsi="Arial" w:cs="Arial"/>
                <w:color w:val="000000"/>
                <w:sz w:val="18"/>
                <w:szCs w:val="16"/>
                <w:lang w:eastAsia="en-AU" w:bidi="ar-SA"/>
              </w:rPr>
              <w:t>criteria for</w:t>
            </w:r>
            <w:r w:rsidRPr="002C50DE">
              <w:rPr>
                <w:rFonts w:ascii="Arial" w:eastAsia="Times New Roman" w:hAnsi="Arial" w:cs="Arial"/>
                <w:color w:val="000000"/>
                <w:sz w:val="18"/>
                <w:szCs w:val="16"/>
                <w:lang w:eastAsia="en-AU" w:bidi="ar-SA"/>
              </w:rPr>
              <w:t xml:space="preserve"> min</w:t>
            </w:r>
            <w:r>
              <w:rPr>
                <w:rFonts w:ascii="Arial" w:eastAsia="Times New Roman" w:hAnsi="Arial" w:cs="Arial"/>
                <w:color w:val="000000"/>
                <w:sz w:val="18"/>
                <w:szCs w:val="16"/>
                <w:lang w:eastAsia="en-AU" w:bidi="ar-SA"/>
              </w:rPr>
              <w:t>or depression</w:t>
            </w:r>
          </w:p>
        </w:tc>
        <w:tc>
          <w:tcPr>
            <w:tcW w:w="1470" w:type="dxa"/>
            <w:noWrap/>
            <w:hideMark/>
          </w:tcPr>
          <w:p w:rsidR="00415BFD" w:rsidRPr="002C50DE" w:rsidRDefault="00415BFD" w:rsidP="009C7FE7">
            <w:pPr>
              <w:spacing w:before="120" w:after="120" w:line="271" w:lineRule="auto"/>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Not reported</w:t>
            </w:r>
          </w:p>
        </w:tc>
        <w:tc>
          <w:tcPr>
            <w:tcW w:w="1417" w:type="dxa"/>
            <w:noWrap/>
            <w:hideMark/>
          </w:tcPr>
          <w:p w:rsidR="00415BFD" w:rsidRPr="002C50DE" w:rsidRDefault="00415BFD" w:rsidP="009C7FE7">
            <w:pPr>
              <w:spacing w:before="120" w:after="120" w:line="271" w:lineRule="auto"/>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Past year</w:t>
            </w:r>
          </w:p>
        </w:tc>
      </w:tr>
      <w:tr w:rsidR="00415BFD" w:rsidRPr="002C50DE" w:rsidTr="00A0505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31" w:type="dxa"/>
            <w:noWrap/>
            <w:hideMark/>
          </w:tcPr>
          <w:p w:rsidR="00415BFD" w:rsidRPr="002C50DE" w:rsidRDefault="00415BFD" w:rsidP="009C7FE7">
            <w:pPr>
              <w:spacing w:before="120" w:after="120" w:line="271" w:lineRule="auto"/>
              <w:jc w:val="left"/>
              <w:rPr>
                <w:rFonts w:ascii="Arial" w:eastAsia="Times New Roman" w:hAnsi="Arial" w:cs="Arial"/>
                <w:b w:val="0"/>
                <w:color w:val="000000"/>
                <w:sz w:val="18"/>
                <w:szCs w:val="16"/>
                <w:lang w:eastAsia="en-AU" w:bidi="ar-SA"/>
              </w:rPr>
            </w:pPr>
            <w:r w:rsidRPr="002C50DE">
              <w:rPr>
                <w:rFonts w:ascii="Arial" w:eastAsia="Times New Roman" w:hAnsi="Arial" w:cs="Arial"/>
                <w:b w:val="0"/>
                <w:color w:val="000000"/>
                <w:sz w:val="18"/>
                <w:szCs w:val="16"/>
                <w:lang w:eastAsia="en-AU" w:bidi="ar-SA"/>
              </w:rPr>
              <w:t>Shankman 2009</w:t>
            </w:r>
          </w:p>
        </w:tc>
        <w:tc>
          <w:tcPr>
            <w:tcW w:w="827" w:type="dxa"/>
          </w:tcPr>
          <w:p w:rsidR="00415BFD" w:rsidRPr="002C50DE" w:rsidRDefault="00415BFD" w:rsidP="00DE649A">
            <w:pPr>
              <w:spacing w:before="120" w:after="120" w:line="271"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6"/>
                <w:lang w:eastAsia="en-AU" w:bidi="ar-SA"/>
              </w:rPr>
            </w:pPr>
            <w:r>
              <w:rPr>
                <w:rFonts w:ascii="Arial" w:eastAsia="Times New Roman" w:hAnsi="Arial" w:cs="Arial"/>
                <w:noProof/>
                <w:color w:val="000000"/>
                <w:sz w:val="18"/>
                <w:szCs w:val="16"/>
                <w:lang w:eastAsia="en-AU" w:bidi="ar-SA"/>
              </w:rPr>
              <w:t>[81]</w:t>
            </w:r>
          </w:p>
        </w:tc>
        <w:tc>
          <w:tcPr>
            <w:tcW w:w="1928" w:type="dxa"/>
            <w:noWrap/>
            <w:hideMark/>
          </w:tcPr>
          <w:p w:rsidR="00415BFD" w:rsidRPr="002C50DE" w:rsidRDefault="00415BFD" w:rsidP="009C7FE7">
            <w:pPr>
              <w:spacing w:before="120" w:after="120" w:line="271"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Oregon Adolescent Depression Project (OADP)</w:t>
            </w:r>
          </w:p>
        </w:tc>
        <w:tc>
          <w:tcPr>
            <w:tcW w:w="2035" w:type="dxa"/>
            <w:noWrap/>
            <w:hideMark/>
          </w:tcPr>
          <w:p w:rsidR="00415BFD" w:rsidRPr="002C50DE" w:rsidRDefault="00415BFD" w:rsidP="004F1157">
            <w:pPr>
              <w:spacing w:before="120" w:after="120" w:line="271"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 xml:space="preserve">I. Meeting </w:t>
            </w:r>
            <w:r>
              <w:rPr>
                <w:rFonts w:ascii="Arial" w:eastAsia="Times New Roman" w:hAnsi="Arial" w:cs="Arial"/>
                <w:color w:val="000000"/>
                <w:sz w:val="18"/>
                <w:szCs w:val="16"/>
                <w:lang w:eastAsia="en-AU" w:bidi="ar-SA"/>
              </w:rPr>
              <w:t>criteria for</w:t>
            </w:r>
            <w:r w:rsidRPr="002C50DE">
              <w:rPr>
                <w:rFonts w:ascii="Arial" w:eastAsia="Times New Roman" w:hAnsi="Arial" w:cs="Arial"/>
                <w:color w:val="000000"/>
                <w:sz w:val="18"/>
                <w:szCs w:val="16"/>
                <w:lang w:eastAsia="en-AU" w:bidi="ar-SA"/>
              </w:rPr>
              <w:t xml:space="preserve"> min</w:t>
            </w:r>
            <w:r>
              <w:rPr>
                <w:rFonts w:ascii="Arial" w:eastAsia="Times New Roman" w:hAnsi="Arial" w:cs="Arial"/>
                <w:color w:val="000000"/>
                <w:sz w:val="18"/>
                <w:szCs w:val="16"/>
                <w:lang w:eastAsia="en-AU" w:bidi="ar-SA"/>
              </w:rPr>
              <w:t>or depression</w:t>
            </w:r>
          </w:p>
        </w:tc>
        <w:tc>
          <w:tcPr>
            <w:tcW w:w="1470" w:type="dxa"/>
            <w:noWrap/>
            <w:hideMark/>
          </w:tcPr>
          <w:p w:rsidR="00415BFD" w:rsidRPr="002C50DE" w:rsidRDefault="00415BFD" w:rsidP="009C7FE7">
            <w:pPr>
              <w:spacing w:before="120" w:after="120" w:line="271"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Yes</w:t>
            </w:r>
          </w:p>
        </w:tc>
        <w:tc>
          <w:tcPr>
            <w:tcW w:w="1417" w:type="dxa"/>
            <w:noWrap/>
            <w:hideMark/>
          </w:tcPr>
          <w:p w:rsidR="00415BFD" w:rsidRPr="002C50DE" w:rsidRDefault="00415BFD" w:rsidP="009C7FE7">
            <w:pPr>
              <w:spacing w:before="120" w:after="120" w:line="271"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Current</w:t>
            </w:r>
          </w:p>
        </w:tc>
      </w:tr>
      <w:tr w:rsidR="00415BFD" w:rsidRPr="002C50DE" w:rsidTr="00A0505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31" w:type="dxa"/>
            <w:noWrap/>
            <w:hideMark/>
          </w:tcPr>
          <w:p w:rsidR="00415BFD" w:rsidRPr="002C50DE" w:rsidRDefault="00415BFD" w:rsidP="009C7FE7">
            <w:pPr>
              <w:spacing w:before="120" w:after="120" w:line="271" w:lineRule="auto"/>
              <w:jc w:val="left"/>
              <w:rPr>
                <w:rFonts w:ascii="Arial" w:eastAsia="Times New Roman" w:hAnsi="Arial" w:cs="Arial"/>
                <w:b w:val="0"/>
                <w:color w:val="000000"/>
                <w:sz w:val="18"/>
                <w:szCs w:val="16"/>
                <w:lang w:eastAsia="en-AU" w:bidi="ar-SA"/>
              </w:rPr>
            </w:pPr>
            <w:r w:rsidRPr="002C50DE">
              <w:rPr>
                <w:rFonts w:ascii="Arial" w:eastAsia="Times New Roman" w:hAnsi="Arial" w:cs="Arial"/>
                <w:b w:val="0"/>
                <w:color w:val="000000"/>
                <w:sz w:val="18"/>
                <w:szCs w:val="16"/>
                <w:lang w:eastAsia="en-AU" w:bidi="ar-SA"/>
              </w:rPr>
              <w:t>Oldehinkel 1999</w:t>
            </w:r>
          </w:p>
        </w:tc>
        <w:tc>
          <w:tcPr>
            <w:tcW w:w="827" w:type="dxa"/>
          </w:tcPr>
          <w:p w:rsidR="00415BFD" w:rsidRPr="002C50DE" w:rsidRDefault="00415BFD" w:rsidP="00DE649A">
            <w:pPr>
              <w:spacing w:before="120" w:after="120" w:line="271" w:lineRule="auto"/>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6"/>
                <w:lang w:eastAsia="en-AU" w:bidi="ar-SA"/>
              </w:rPr>
            </w:pPr>
            <w:r>
              <w:rPr>
                <w:rFonts w:ascii="Arial" w:eastAsia="Times New Roman" w:hAnsi="Arial" w:cs="Arial"/>
                <w:noProof/>
                <w:color w:val="000000"/>
                <w:sz w:val="18"/>
                <w:szCs w:val="16"/>
                <w:lang w:eastAsia="en-AU" w:bidi="ar-SA"/>
              </w:rPr>
              <w:t>[82]</w:t>
            </w:r>
          </w:p>
        </w:tc>
        <w:tc>
          <w:tcPr>
            <w:tcW w:w="1928" w:type="dxa"/>
            <w:noWrap/>
            <w:hideMark/>
          </w:tcPr>
          <w:p w:rsidR="00415BFD" w:rsidRPr="002C50DE" w:rsidRDefault="00415BFD" w:rsidP="009C7FE7">
            <w:pPr>
              <w:spacing w:before="120" w:after="120" w:line="271" w:lineRule="auto"/>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Early Development Stages of Psycho</w:t>
            </w:r>
            <w:r>
              <w:rPr>
                <w:rFonts w:ascii="Arial" w:eastAsia="Times New Roman" w:hAnsi="Arial" w:cs="Arial"/>
                <w:color w:val="000000"/>
                <w:sz w:val="18"/>
                <w:szCs w:val="16"/>
                <w:lang w:eastAsia="en-AU" w:bidi="ar-SA"/>
              </w:rPr>
              <w:t>-</w:t>
            </w:r>
            <w:r w:rsidRPr="002C50DE">
              <w:rPr>
                <w:rFonts w:ascii="Arial" w:eastAsia="Times New Roman" w:hAnsi="Arial" w:cs="Arial"/>
                <w:color w:val="000000"/>
                <w:sz w:val="18"/>
                <w:szCs w:val="16"/>
                <w:lang w:eastAsia="en-AU" w:bidi="ar-SA"/>
              </w:rPr>
              <w:t>pathology (EDSP) study</w:t>
            </w:r>
          </w:p>
        </w:tc>
        <w:tc>
          <w:tcPr>
            <w:tcW w:w="2035" w:type="dxa"/>
            <w:noWrap/>
            <w:hideMark/>
          </w:tcPr>
          <w:p w:rsidR="00415BFD" w:rsidRPr="002C50DE" w:rsidRDefault="00415BFD" w:rsidP="009C7FE7">
            <w:pPr>
              <w:spacing w:before="120" w:after="120" w:line="271" w:lineRule="auto"/>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 xml:space="preserve">I. Meeting </w:t>
            </w:r>
            <w:r>
              <w:rPr>
                <w:rFonts w:ascii="Arial" w:eastAsia="Times New Roman" w:hAnsi="Arial" w:cs="Arial"/>
                <w:color w:val="000000"/>
                <w:sz w:val="18"/>
                <w:szCs w:val="16"/>
                <w:lang w:eastAsia="en-AU" w:bidi="ar-SA"/>
              </w:rPr>
              <w:t>criteria for</w:t>
            </w:r>
            <w:r w:rsidRPr="002C50DE">
              <w:rPr>
                <w:rFonts w:ascii="Arial" w:eastAsia="Times New Roman" w:hAnsi="Arial" w:cs="Arial"/>
                <w:color w:val="000000"/>
                <w:sz w:val="18"/>
                <w:szCs w:val="16"/>
                <w:lang w:eastAsia="en-AU" w:bidi="ar-SA"/>
              </w:rPr>
              <w:t xml:space="preserve"> min</w:t>
            </w:r>
            <w:r>
              <w:rPr>
                <w:rFonts w:ascii="Arial" w:eastAsia="Times New Roman" w:hAnsi="Arial" w:cs="Arial"/>
                <w:color w:val="000000"/>
                <w:sz w:val="18"/>
                <w:szCs w:val="16"/>
                <w:lang w:eastAsia="en-AU" w:bidi="ar-SA"/>
              </w:rPr>
              <w:t>or depression</w:t>
            </w:r>
          </w:p>
        </w:tc>
        <w:tc>
          <w:tcPr>
            <w:tcW w:w="1470" w:type="dxa"/>
            <w:noWrap/>
            <w:hideMark/>
          </w:tcPr>
          <w:p w:rsidR="00415BFD" w:rsidRPr="002C50DE" w:rsidRDefault="00415BFD" w:rsidP="009C7FE7">
            <w:pPr>
              <w:spacing w:before="120" w:after="120" w:line="271" w:lineRule="auto"/>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Yes</w:t>
            </w:r>
          </w:p>
        </w:tc>
        <w:tc>
          <w:tcPr>
            <w:tcW w:w="1417" w:type="dxa"/>
            <w:noWrap/>
            <w:hideMark/>
          </w:tcPr>
          <w:p w:rsidR="00415BFD" w:rsidRPr="002C50DE" w:rsidRDefault="00415BFD" w:rsidP="009C7FE7">
            <w:pPr>
              <w:spacing w:before="120" w:after="120" w:line="271" w:lineRule="auto"/>
              <w:jc w:val="lef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Past year</w:t>
            </w:r>
          </w:p>
        </w:tc>
      </w:tr>
      <w:tr w:rsidR="00415BFD" w:rsidRPr="002C50DE" w:rsidTr="00A0505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31" w:type="dxa"/>
            <w:noWrap/>
            <w:hideMark/>
          </w:tcPr>
          <w:p w:rsidR="00415BFD" w:rsidRPr="002C50DE" w:rsidRDefault="00415BFD" w:rsidP="009C7FE7">
            <w:pPr>
              <w:spacing w:before="120" w:after="120" w:line="271" w:lineRule="auto"/>
              <w:jc w:val="left"/>
              <w:rPr>
                <w:rFonts w:ascii="Arial" w:eastAsia="Times New Roman" w:hAnsi="Arial" w:cs="Arial"/>
                <w:b w:val="0"/>
                <w:color w:val="000000"/>
                <w:sz w:val="18"/>
                <w:szCs w:val="16"/>
                <w:lang w:eastAsia="en-AU" w:bidi="ar-SA"/>
              </w:rPr>
            </w:pPr>
            <w:r w:rsidRPr="002C50DE">
              <w:rPr>
                <w:rFonts w:ascii="Arial" w:eastAsia="Times New Roman" w:hAnsi="Arial" w:cs="Arial"/>
                <w:b w:val="0"/>
                <w:color w:val="000000"/>
                <w:sz w:val="18"/>
                <w:szCs w:val="16"/>
                <w:lang w:eastAsia="en-AU" w:bidi="ar-SA"/>
              </w:rPr>
              <w:t>Jonsson 2011</w:t>
            </w:r>
          </w:p>
        </w:tc>
        <w:tc>
          <w:tcPr>
            <w:tcW w:w="827" w:type="dxa"/>
          </w:tcPr>
          <w:p w:rsidR="00415BFD" w:rsidRPr="002C50DE" w:rsidRDefault="00415BFD" w:rsidP="00DE649A">
            <w:pPr>
              <w:spacing w:before="120" w:after="120" w:line="271"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6"/>
                <w:lang w:eastAsia="en-AU" w:bidi="ar-SA"/>
              </w:rPr>
            </w:pPr>
            <w:r>
              <w:rPr>
                <w:rFonts w:ascii="Arial" w:eastAsia="Times New Roman" w:hAnsi="Arial" w:cs="Arial"/>
                <w:noProof/>
                <w:color w:val="000000"/>
                <w:sz w:val="18"/>
                <w:szCs w:val="16"/>
                <w:lang w:eastAsia="en-AU" w:bidi="ar-SA"/>
              </w:rPr>
              <w:t>[83]</w:t>
            </w:r>
          </w:p>
        </w:tc>
        <w:tc>
          <w:tcPr>
            <w:tcW w:w="1928" w:type="dxa"/>
            <w:noWrap/>
            <w:hideMark/>
          </w:tcPr>
          <w:p w:rsidR="00415BFD" w:rsidRPr="002C50DE" w:rsidRDefault="00415BFD" w:rsidP="009C7FE7">
            <w:pPr>
              <w:spacing w:before="120" w:after="120" w:line="271"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Unspecified Uppsala cohort</w:t>
            </w:r>
          </w:p>
        </w:tc>
        <w:tc>
          <w:tcPr>
            <w:tcW w:w="2035" w:type="dxa"/>
            <w:noWrap/>
            <w:hideMark/>
          </w:tcPr>
          <w:p w:rsidR="00415BFD" w:rsidRPr="002C50DE" w:rsidRDefault="00415BFD" w:rsidP="009C7FE7">
            <w:pPr>
              <w:spacing w:before="120" w:after="120" w:line="271"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IV. Elevated scores of depression on a self-reported measure.</w:t>
            </w:r>
          </w:p>
        </w:tc>
        <w:tc>
          <w:tcPr>
            <w:tcW w:w="1470" w:type="dxa"/>
            <w:noWrap/>
            <w:hideMark/>
          </w:tcPr>
          <w:p w:rsidR="00415BFD" w:rsidRPr="002C50DE" w:rsidRDefault="00415BFD" w:rsidP="009C7FE7">
            <w:pPr>
              <w:spacing w:before="120" w:after="120" w:line="271"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Not reported</w:t>
            </w:r>
          </w:p>
        </w:tc>
        <w:tc>
          <w:tcPr>
            <w:tcW w:w="1417" w:type="dxa"/>
            <w:noWrap/>
            <w:hideMark/>
          </w:tcPr>
          <w:p w:rsidR="00415BFD" w:rsidRPr="002C50DE" w:rsidRDefault="00415BFD" w:rsidP="009C7FE7">
            <w:pPr>
              <w:spacing w:before="120" w:after="120" w:line="271"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6"/>
                <w:lang w:eastAsia="en-AU" w:bidi="ar-SA"/>
              </w:rPr>
            </w:pPr>
            <w:r w:rsidRPr="002C50DE">
              <w:rPr>
                <w:rFonts w:ascii="Arial" w:eastAsia="Times New Roman" w:hAnsi="Arial" w:cs="Arial"/>
                <w:color w:val="000000"/>
                <w:sz w:val="18"/>
                <w:szCs w:val="16"/>
                <w:lang w:eastAsia="en-AU" w:bidi="ar-SA"/>
              </w:rPr>
              <w:t>Current</w:t>
            </w:r>
          </w:p>
        </w:tc>
      </w:tr>
    </w:tbl>
    <w:p w:rsidR="00415BFD" w:rsidRPr="00E67719" w:rsidRDefault="00415BFD" w:rsidP="002C50DE">
      <w:pPr>
        <w:pStyle w:val="Tabletext"/>
        <w:rPr>
          <w:i/>
        </w:rPr>
      </w:pPr>
      <w:r w:rsidRPr="00E67719">
        <w:rPr>
          <w:i/>
        </w:rPr>
        <w:t>MDD – major depressive disorder</w:t>
      </w:r>
    </w:p>
    <w:p w:rsidR="00415BFD" w:rsidRDefault="00415BFD" w:rsidP="002C50DE"/>
    <w:p w:rsidR="00415BFD" w:rsidRDefault="00415BFD" w:rsidP="002C50DE"/>
    <w:p w:rsidR="00415BFD" w:rsidRDefault="00415BFD" w:rsidP="00415BFD">
      <w:pPr>
        <w:pStyle w:val="MyFigure"/>
        <w:numPr>
          <w:ilvl w:val="4"/>
          <w:numId w:val="9"/>
        </w:numPr>
      </w:pPr>
      <w:bookmarkStart w:id="108" w:name="_Ref432949343"/>
      <w:bookmarkStart w:id="109" w:name="_Toc452066443"/>
      <w:r>
        <w:t>Forest plot showing the increased risk of later onset major depression in subthreshold depressive cases relative to the non-depressed population</w:t>
      </w:r>
      <w:bookmarkEnd w:id="104"/>
      <w:bookmarkEnd w:id="107"/>
      <w:bookmarkEnd w:id="108"/>
      <w:bookmarkEnd w:id="109"/>
    </w:p>
    <w:p w:rsidR="00415BFD" w:rsidRDefault="00415BFD" w:rsidP="00B55AB2">
      <w:pPr>
        <w:jc w:val="center"/>
      </w:pPr>
      <w:r>
        <w:rPr>
          <w:noProof/>
          <w:lang w:eastAsia="en-AU" w:bidi="ar-SA"/>
        </w:rPr>
        <w:drawing>
          <wp:inline distT="0" distB="0" distL="0" distR="0" wp14:anchorId="7498C3D4" wp14:editId="239D9E3E">
            <wp:extent cx="4680000" cy="2824141"/>
            <wp:effectExtent l="19050" t="19050" r="635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0000" cy="2824141"/>
                    </a:xfrm>
                    <a:prstGeom prst="rect">
                      <a:avLst/>
                    </a:prstGeom>
                    <a:noFill/>
                    <a:ln>
                      <a:solidFill>
                        <a:schemeClr val="tx1">
                          <a:lumMod val="50000"/>
                          <a:lumOff val="50000"/>
                        </a:schemeClr>
                      </a:solidFill>
                    </a:ln>
                    <a:extLst/>
                  </pic:spPr>
                </pic:pic>
              </a:graphicData>
            </a:graphic>
          </wp:inline>
        </w:drawing>
      </w:r>
    </w:p>
    <w:p w:rsidR="00415BFD" w:rsidRDefault="00415BFD">
      <w:pPr>
        <w:spacing w:line="240" w:lineRule="auto"/>
        <w:jc w:val="left"/>
      </w:pPr>
      <w:r>
        <w:br w:type="page"/>
      </w:r>
    </w:p>
    <w:p w:rsidR="00415BFD" w:rsidRDefault="00415BFD" w:rsidP="00415BFD">
      <w:pPr>
        <w:pStyle w:val="MyTable"/>
        <w:numPr>
          <w:ilvl w:val="3"/>
          <w:numId w:val="9"/>
        </w:numPr>
      </w:pPr>
      <w:bookmarkStart w:id="110" w:name="_Ref432937634"/>
      <w:bookmarkStart w:id="111" w:name="_Toc452066457"/>
      <w:r>
        <w:lastRenderedPageBreak/>
        <w:t>Incidence rates for the 2013 Australian population categorised by population type, age and sex</w:t>
      </w:r>
      <w:bookmarkEnd w:id="110"/>
      <w:bookmarkEnd w:id="111"/>
    </w:p>
    <w:tbl>
      <w:tblPr>
        <w:tblStyle w:val="MediumShading1-Accent4"/>
        <w:tblW w:w="0" w:type="auto"/>
        <w:jc w:val="center"/>
        <w:tblLook w:val="04A0" w:firstRow="1" w:lastRow="0" w:firstColumn="1" w:lastColumn="0" w:noHBand="0" w:noVBand="1"/>
      </w:tblPr>
      <w:tblGrid>
        <w:gridCol w:w="850"/>
        <w:gridCol w:w="238"/>
        <w:gridCol w:w="1247"/>
        <w:gridCol w:w="236"/>
        <w:gridCol w:w="1247"/>
        <w:gridCol w:w="238"/>
        <w:gridCol w:w="1247"/>
        <w:gridCol w:w="238"/>
        <w:gridCol w:w="1247"/>
      </w:tblGrid>
      <w:tr w:rsidR="00415BFD" w:rsidTr="008C21CE">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850" w:type="dxa"/>
            <w:vMerge w:val="restart"/>
            <w:vAlign w:val="center"/>
          </w:tcPr>
          <w:p w:rsidR="00415BFD" w:rsidRPr="004A6AA7" w:rsidRDefault="00415BFD" w:rsidP="008C21CE">
            <w:pPr>
              <w:pStyle w:val="Tabletext"/>
              <w:spacing w:beforeLines="30" w:before="72" w:afterLines="30" w:after="72" w:line="240" w:lineRule="auto"/>
              <w:jc w:val="center"/>
            </w:pPr>
            <w:r w:rsidRPr="004A6AA7">
              <w:t>Age</w:t>
            </w:r>
          </w:p>
          <w:p w:rsidR="00415BFD" w:rsidRPr="004A6AA7" w:rsidRDefault="00415BFD" w:rsidP="008C21CE">
            <w:pPr>
              <w:pStyle w:val="Tabletext"/>
              <w:spacing w:beforeLines="30" w:before="72" w:afterLines="30" w:after="72" w:line="240" w:lineRule="auto"/>
              <w:jc w:val="center"/>
            </w:pPr>
            <w:r w:rsidRPr="004A6AA7">
              <w:t>(years)</w:t>
            </w:r>
          </w:p>
        </w:tc>
        <w:tc>
          <w:tcPr>
            <w:tcW w:w="238" w:type="dxa"/>
            <w:vAlign w:val="center"/>
          </w:tcPr>
          <w:p w:rsidR="00415BFD" w:rsidRPr="004A6AA7" w:rsidRDefault="00415BFD" w:rsidP="008C21CE">
            <w:pPr>
              <w:pStyle w:val="Tabletext"/>
              <w:spacing w:beforeLines="30" w:before="72" w:afterLines="30" w:after="72" w:line="240" w:lineRule="auto"/>
              <w:jc w:val="center"/>
              <w:cnfStyle w:val="100000000000" w:firstRow="1" w:lastRow="0" w:firstColumn="0" w:lastColumn="0" w:oddVBand="0" w:evenVBand="0" w:oddHBand="0" w:evenHBand="0" w:firstRowFirstColumn="0" w:firstRowLastColumn="0" w:lastRowFirstColumn="0" w:lastRowLastColumn="0"/>
            </w:pPr>
          </w:p>
        </w:tc>
        <w:tc>
          <w:tcPr>
            <w:tcW w:w="2730" w:type="dxa"/>
            <w:gridSpan w:val="3"/>
            <w:vAlign w:val="center"/>
          </w:tcPr>
          <w:p w:rsidR="00415BFD" w:rsidRPr="004A6AA7" w:rsidRDefault="00415BFD" w:rsidP="008C21CE">
            <w:pPr>
              <w:pStyle w:val="Tabletext"/>
              <w:spacing w:beforeLines="30" w:before="72" w:afterLines="30" w:after="72" w:line="312" w:lineRule="auto"/>
              <w:jc w:val="center"/>
              <w:cnfStyle w:val="100000000000" w:firstRow="1" w:lastRow="0" w:firstColumn="0" w:lastColumn="0" w:oddVBand="0" w:evenVBand="0" w:oddHBand="0" w:evenHBand="0" w:firstRowFirstColumn="0" w:firstRowLastColumn="0" w:lastRowFirstColumn="0" w:lastRowLastColumn="0"/>
            </w:pPr>
            <w:r w:rsidRPr="004A6AA7">
              <w:t>General Australian population</w:t>
            </w:r>
          </w:p>
        </w:tc>
        <w:tc>
          <w:tcPr>
            <w:tcW w:w="238" w:type="dxa"/>
            <w:tcBorders>
              <w:top w:val="nil"/>
              <w:bottom w:val="nil"/>
            </w:tcBorders>
            <w:vAlign w:val="center"/>
          </w:tcPr>
          <w:p w:rsidR="00415BFD" w:rsidRPr="004A6AA7" w:rsidRDefault="00415BFD" w:rsidP="008C21CE">
            <w:pPr>
              <w:pStyle w:val="Tabletext"/>
              <w:spacing w:beforeLines="30" w:before="72" w:afterLines="30" w:after="72" w:line="312" w:lineRule="auto"/>
              <w:jc w:val="center"/>
              <w:cnfStyle w:val="100000000000" w:firstRow="1" w:lastRow="0" w:firstColumn="0" w:lastColumn="0" w:oddVBand="0" w:evenVBand="0" w:oddHBand="0" w:evenHBand="0" w:firstRowFirstColumn="0" w:firstRowLastColumn="0" w:lastRowFirstColumn="0" w:lastRowLastColumn="0"/>
            </w:pPr>
          </w:p>
        </w:tc>
        <w:tc>
          <w:tcPr>
            <w:tcW w:w="2732" w:type="dxa"/>
            <w:gridSpan w:val="3"/>
            <w:vAlign w:val="center"/>
          </w:tcPr>
          <w:p w:rsidR="00415BFD" w:rsidRPr="004A6AA7" w:rsidRDefault="00415BFD" w:rsidP="008C21CE">
            <w:pPr>
              <w:pStyle w:val="Tabletext"/>
              <w:spacing w:beforeLines="30" w:before="72" w:afterLines="30" w:after="72" w:line="312" w:lineRule="auto"/>
              <w:jc w:val="center"/>
              <w:cnfStyle w:val="100000000000" w:firstRow="1" w:lastRow="0" w:firstColumn="0" w:lastColumn="0" w:oddVBand="0" w:evenVBand="0" w:oddHBand="0" w:evenHBand="0" w:firstRowFirstColumn="0" w:firstRowLastColumn="0" w:lastRowFirstColumn="0" w:lastRowLastColumn="0"/>
            </w:pPr>
            <w:r w:rsidRPr="004A6AA7">
              <w:t>Australian population with subthreshold depression</w:t>
            </w:r>
          </w:p>
        </w:tc>
      </w:tr>
      <w:tr w:rsidR="00415BFD" w:rsidRPr="004A6AA7" w:rsidTr="008C21CE">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850" w:type="dxa"/>
            <w:vMerge/>
            <w:shd w:val="clear" w:color="auto" w:fill="8064A2" w:themeFill="accent4"/>
            <w:vAlign w:val="center"/>
          </w:tcPr>
          <w:p w:rsidR="00415BFD" w:rsidRPr="004A6AA7" w:rsidRDefault="00415BFD" w:rsidP="008C21CE">
            <w:pPr>
              <w:pStyle w:val="Tabletext"/>
              <w:spacing w:beforeLines="30" w:before="72" w:afterLines="30" w:after="72" w:line="240" w:lineRule="auto"/>
              <w:jc w:val="center"/>
              <w:rPr>
                <w:color w:val="FFFFFF" w:themeColor="background1"/>
              </w:rPr>
            </w:pPr>
          </w:p>
        </w:tc>
        <w:tc>
          <w:tcPr>
            <w:tcW w:w="238" w:type="dxa"/>
            <w:shd w:val="clear" w:color="auto" w:fill="8064A2" w:themeFill="accent4"/>
            <w:vAlign w:val="center"/>
          </w:tcPr>
          <w:p w:rsidR="00415BFD" w:rsidRPr="004A6AA7" w:rsidRDefault="00415BFD" w:rsidP="008C21CE">
            <w:pPr>
              <w:pStyle w:val="Tabletext"/>
              <w:spacing w:beforeLines="30" w:before="72" w:afterLines="30" w:after="72"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p>
        </w:tc>
        <w:tc>
          <w:tcPr>
            <w:tcW w:w="1247" w:type="dxa"/>
            <w:shd w:val="clear" w:color="auto" w:fill="8064A2" w:themeFill="accent4"/>
            <w:vAlign w:val="center"/>
          </w:tcPr>
          <w:p w:rsidR="00415BFD" w:rsidRPr="004A6AA7" w:rsidRDefault="00415BFD" w:rsidP="008C21CE">
            <w:pPr>
              <w:pStyle w:val="Tabletext"/>
              <w:spacing w:beforeLines="30" w:before="72" w:afterLines="30" w:after="72"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4A6AA7">
              <w:rPr>
                <w:b/>
                <w:color w:val="FFFFFF" w:themeColor="background1"/>
              </w:rPr>
              <w:t>Male</w:t>
            </w:r>
          </w:p>
        </w:tc>
        <w:tc>
          <w:tcPr>
            <w:tcW w:w="236" w:type="dxa"/>
            <w:shd w:val="clear" w:color="auto" w:fill="8064A2" w:themeFill="accent4"/>
            <w:vAlign w:val="center"/>
          </w:tcPr>
          <w:p w:rsidR="00415BFD" w:rsidRPr="004A6AA7" w:rsidRDefault="00415BFD" w:rsidP="008C21CE">
            <w:pPr>
              <w:pStyle w:val="Tabletext"/>
              <w:spacing w:beforeLines="30" w:before="72" w:afterLines="30" w:after="72"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p>
        </w:tc>
        <w:tc>
          <w:tcPr>
            <w:tcW w:w="1247" w:type="dxa"/>
            <w:shd w:val="clear" w:color="auto" w:fill="8064A2" w:themeFill="accent4"/>
            <w:vAlign w:val="center"/>
          </w:tcPr>
          <w:p w:rsidR="00415BFD" w:rsidRPr="004A6AA7" w:rsidRDefault="00415BFD" w:rsidP="008C21CE">
            <w:pPr>
              <w:pStyle w:val="Tabletext"/>
              <w:spacing w:beforeLines="30" w:before="72" w:afterLines="30" w:after="72"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4A6AA7">
              <w:rPr>
                <w:b/>
                <w:color w:val="FFFFFF" w:themeColor="background1"/>
              </w:rPr>
              <w:t>Female</w:t>
            </w:r>
          </w:p>
        </w:tc>
        <w:tc>
          <w:tcPr>
            <w:tcW w:w="238" w:type="dxa"/>
            <w:tcBorders>
              <w:top w:val="nil"/>
            </w:tcBorders>
            <w:shd w:val="clear" w:color="auto" w:fill="8064A2" w:themeFill="accent4"/>
            <w:vAlign w:val="center"/>
          </w:tcPr>
          <w:p w:rsidR="00415BFD" w:rsidRPr="004A6AA7" w:rsidRDefault="00415BFD" w:rsidP="008C21CE">
            <w:pPr>
              <w:pStyle w:val="Tabletext"/>
              <w:spacing w:beforeLines="30" w:before="72" w:afterLines="30" w:after="72"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p>
        </w:tc>
        <w:tc>
          <w:tcPr>
            <w:tcW w:w="1247" w:type="dxa"/>
            <w:shd w:val="clear" w:color="auto" w:fill="8064A2" w:themeFill="accent4"/>
            <w:vAlign w:val="center"/>
          </w:tcPr>
          <w:p w:rsidR="00415BFD" w:rsidRPr="004A6AA7" w:rsidRDefault="00415BFD" w:rsidP="008C21CE">
            <w:pPr>
              <w:pStyle w:val="Tabletext"/>
              <w:spacing w:beforeLines="30" w:before="72" w:afterLines="30" w:after="72"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4A6AA7">
              <w:rPr>
                <w:b/>
                <w:color w:val="FFFFFF" w:themeColor="background1"/>
              </w:rPr>
              <w:t>Male</w:t>
            </w:r>
          </w:p>
        </w:tc>
        <w:tc>
          <w:tcPr>
            <w:tcW w:w="238" w:type="dxa"/>
            <w:shd w:val="clear" w:color="auto" w:fill="8064A2" w:themeFill="accent4"/>
            <w:vAlign w:val="center"/>
          </w:tcPr>
          <w:p w:rsidR="00415BFD" w:rsidRPr="004A6AA7" w:rsidRDefault="00415BFD" w:rsidP="008C21CE">
            <w:pPr>
              <w:pStyle w:val="Tabletext"/>
              <w:spacing w:beforeLines="30" w:before="72" w:afterLines="30" w:after="72"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p>
        </w:tc>
        <w:tc>
          <w:tcPr>
            <w:tcW w:w="1247" w:type="dxa"/>
            <w:shd w:val="clear" w:color="auto" w:fill="8064A2" w:themeFill="accent4"/>
            <w:vAlign w:val="center"/>
          </w:tcPr>
          <w:p w:rsidR="00415BFD" w:rsidRPr="004A6AA7" w:rsidRDefault="00415BFD" w:rsidP="008C21CE">
            <w:pPr>
              <w:pStyle w:val="Tabletext"/>
              <w:spacing w:beforeLines="30" w:before="72" w:afterLines="30" w:after="72"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4A6AA7">
              <w:rPr>
                <w:b/>
                <w:color w:val="FFFFFF" w:themeColor="background1"/>
              </w:rPr>
              <w:t>Female</w:t>
            </w:r>
          </w:p>
        </w:tc>
      </w:tr>
      <w:tr w:rsidR="00415BFD" w:rsidTr="00FB78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Pr="001E23EC" w:rsidRDefault="00415BFD" w:rsidP="00FB7890">
            <w:pPr>
              <w:pStyle w:val="Tabletext"/>
              <w:spacing w:beforeLines="30" w:before="72" w:afterLines="30" w:after="72" w:line="240" w:lineRule="auto"/>
              <w:jc w:val="center"/>
              <w:rPr>
                <w:b w:val="0"/>
              </w:rPr>
            </w:pPr>
            <w:r w:rsidRPr="001E23EC">
              <w:rPr>
                <w:b w:val="0"/>
              </w:rPr>
              <w:t>11</w:t>
            </w:r>
          </w:p>
        </w:tc>
        <w:tc>
          <w:tcPr>
            <w:tcW w:w="238" w:type="dxa"/>
            <w:vAlign w:val="center"/>
          </w:tcPr>
          <w:p w:rsidR="00415BFD" w:rsidRPr="00CA5124" w:rsidRDefault="00415BFD" w:rsidP="00FB7890">
            <w:pPr>
              <w:pStyle w:val="Tabletext"/>
              <w:spacing w:beforeLines="30" w:before="72" w:afterLines="30" w:after="72"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1B543B"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1B543B">
              <w:t>0.036</w:t>
            </w:r>
          </w:p>
        </w:tc>
        <w:tc>
          <w:tcPr>
            <w:tcW w:w="236"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48723B"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48723B">
              <w:t>0.058</w:t>
            </w:r>
          </w:p>
        </w:tc>
        <w:tc>
          <w:tcPr>
            <w:tcW w:w="238"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1168C5"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1168C5">
              <w:t>0.093</w:t>
            </w:r>
          </w:p>
        </w:tc>
        <w:tc>
          <w:tcPr>
            <w:tcW w:w="238"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DB4469"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DB4469">
              <w:t>0.149</w:t>
            </w:r>
          </w:p>
        </w:tc>
      </w:tr>
      <w:tr w:rsidR="00415BFD" w:rsidTr="00FB78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Pr="001E23EC" w:rsidRDefault="00415BFD" w:rsidP="00FB7890">
            <w:pPr>
              <w:pStyle w:val="Tabletext"/>
              <w:spacing w:beforeLines="30" w:before="72" w:afterLines="30" w:after="72" w:line="240" w:lineRule="auto"/>
              <w:jc w:val="center"/>
              <w:rPr>
                <w:b w:val="0"/>
              </w:rPr>
            </w:pPr>
            <w:r w:rsidRPr="001E23EC">
              <w:rPr>
                <w:b w:val="0"/>
              </w:rPr>
              <w:t>12</w:t>
            </w:r>
          </w:p>
        </w:tc>
        <w:tc>
          <w:tcPr>
            <w:tcW w:w="238" w:type="dxa"/>
            <w:vAlign w:val="center"/>
          </w:tcPr>
          <w:p w:rsidR="00415BFD" w:rsidRPr="00CA5124" w:rsidRDefault="00415BFD" w:rsidP="00FB7890">
            <w:pPr>
              <w:pStyle w:val="Tabletext"/>
              <w:spacing w:beforeLines="30" w:before="72" w:afterLines="30" w:after="72"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1B543B"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1B543B">
              <w:t>0.042</w:t>
            </w:r>
          </w:p>
        </w:tc>
        <w:tc>
          <w:tcPr>
            <w:tcW w:w="236"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48723B"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48723B">
              <w:t>0.069</w:t>
            </w:r>
          </w:p>
        </w:tc>
        <w:tc>
          <w:tcPr>
            <w:tcW w:w="238"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1168C5"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1168C5">
              <w:t>0.106</w:t>
            </w:r>
          </w:p>
        </w:tc>
        <w:tc>
          <w:tcPr>
            <w:tcW w:w="238"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DB4469"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DB4469">
              <w:t>0.176</w:t>
            </w:r>
          </w:p>
        </w:tc>
      </w:tr>
      <w:tr w:rsidR="00415BFD" w:rsidTr="00FB78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Pr="001E23EC" w:rsidRDefault="00415BFD" w:rsidP="00FB7890">
            <w:pPr>
              <w:pStyle w:val="Tabletext"/>
              <w:spacing w:beforeLines="30" w:before="72" w:afterLines="30" w:after="72" w:line="240" w:lineRule="auto"/>
              <w:jc w:val="center"/>
              <w:rPr>
                <w:b w:val="0"/>
              </w:rPr>
            </w:pPr>
            <w:r w:rsidRPr="001E23EC">
              <w:rPr>
                <w:b w:val="0"/>
              </w:rPr>
              <w:t>13</w:t>
            </w:r>
          </w:p>
        </w:tc>
        <w:tc>
          <w:tcPr>
            <w:tcW w:w="238" w:type="dxa"/>
            <w:vAlign w:val="center"/>
          </w:tcPr>
          <w:p w:rsidR="00415BFD" w:rsidRPr="00CA5124" w:rsidRDefault="00415BFD" w:rsidP="00FB7890">
            <w:pPr>
              <w:pStyle w:val="Tabletext"/>
              <w:spacing w:beforeLines="30" w:before="72" w:afterLines="30" w:after="72"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1B543B"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1B543B">
              <w:t>0.047</w:t>
            </w:r>
          </w:p>
        </w:tc>
        <w:tc>
          <w:tcPr>
            <w:tcW w:w="236"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48723B"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48723B">
              <w:t>0.080</w:t>
            </w:r>
          </w:p>
        </w:tc>
        <w:tc>
          <w:tcPr>
            <w:tcW w:w="238"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1168C5"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1168C5">
              <w:t>0.121</w:t>
            </w:r>
          </w:p>
        </w:tc>
        <w:tc>
          <w:tcPr>
            <w:tcW w:w="238"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DB4469"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DB4469">
              <w:t>0.205</w:t>
            </w:r>
          </w:p>
        </w:tc>
      </w:tr>
      <w:tr w:rsidR="00415BFD" w:rsidTr="00FB78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Pr="001E23EC" w:rsidRDefault="00415BFD" w:rsidP="00FB7890">
            <w:pPr>
              <w:pStyle w:val="Tabletext"/>
              <w:spacing w:beforeLines="30" w:before="72" w:afterLines="30" w:after="72" w:line="240" w:lineRule="auto"/>
              <w:jc w:val="center"/>
              <w:rPr>
                <w:b w:val="0"/>
              </w:rPr>
            </w:pPr>
            <w:r w:rsidRPr="001E23EC">
              <w:rPr>
                <w:b w:val="0"/>
              </w:rPr>
              <w:t>14</w:t>
            </w:r>
          </w:p>
        </w:tc>
        <w:tc>
          <w:tcPr>
            <w:tcW w:w="238" w:type="dxa"/>
            <w:vAlign w:val="center"/>
          </w:tcPr>
          <w:p w:rsidR="00415BFD" w:rsidRPr="00CA5124" w:rsidRDefault="00415BFD" w:rsidP="00FB7890">
            <w:pPr>
              <w:pStyle w:val="Tabletext"/>
              <w:spacing w:beforeLines="30" w:before="72" w:afterLines="30" w:after="72"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1B543B"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1B543B">
              <w:t>0.054</w:t>
            </w:r>
          </w:p>
        </w:tc>
        <w:tc>
          <w:tcPr>
            <w:tcW w:w="236"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48723B"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48723B">
              <w:t>0.093</w:t>
            </w:r>
          </w:p>
        </w:tc>
        <w:tc>
          <w:tcPr>
            <w:tcW w:w="238"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1168C5"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1168C5">
              <w:t>0.137</w:t>
            </w:r>
          </w:p>
        </w:tc>
        <w:tc>
          <w:tcPr>
            <w:tcW w:w="238"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DB4469"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DB4469">
              <w:t>0.237</w:t>
            </w:r>
          </w:p>
        </w:tc>
      </w:tr>
      <w:tr w:rsidR="00415BFD" w:rsidTr="00FB78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Pr="001E23EC" w:rsidRDefault="00415BFD" w:rsidP="00FB7890">
            <w:pPr>
              <w:pStyle w:val="Tabletext"/>
              <w:spacing w:beforeLines="30" w:before="72" w:afterLines="30" w:after="72" w:line="240" w:lineRule="auto"/>
              <w:jc w:val="center"/>
              <w:rPr>
                <w:b w:val="0"/>
              </w:rPr>
            </w:pPr>
            <w:r w:rsidRPr="001E23EC">
              <w:rPr>
                <w:b w:val="0"/>
              </w:rPr>
              <w:t>15</w:t>
            </w:r>
          </w:p>
        </w:tc>
        <w:tc>
          <w:tcPr>
            <w:tcW w:w="238" w:type="dxa"/>
            <w:vAlign w:val="center"/>
          </w:tcPr>
          <w:p w:rsidR="00415BFD" w:rsidRPr="00CA5124" w:rsidRDefault="00415BFD" w:rsidP="00FB7890">
            <w:pPr>
              <w:pStyle w:val="Tabletext"/>
              <w:spacing w:beforeLines="30" w:before="72" w:afterLines="30" w:after="72"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1B543B"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1B543B">
              <w:t>0.060</w:t>
            </w:r>
          </w:p>
        </w:tc>
        <w:tc>
          <w:tcPr>
            <w:tcW w:w="236"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48723B"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48723B">
              <w:t>0.105</w:t>
            </w:r>
          </w:p>
        </w:tc>
        <w:tc>
          <w:tcPr>
            <w:tcW w:w="238"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1168C5"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1168C5">
              <w:t>0.153</w:t>
            </w:r>
          </w:p>
        </w:tc>
        <w:tc>
          <w:tcPr>
            <w:tcW w:w="238"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DB4469"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DB4469">
              <w:t>0.270</w:t>
            </w:r>
          </w:p>
        </w:tc>
      </w:tr>
      <w:tr w:rsidR="00415BFD" w:rsidTr="00FB78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Pr="001E23EC" w:rsidRDefault="00415BFD" w:rsidP="00FB7890">
            <w:pPr>
              <w:pStyle w:val="Tabletext"/>
              <w:spacing w:beforeLines="30" w:before="72" w:afterLines="30" w:after="72" w:line="240" w:lineRule="auto"/>
              <w:jc w:val="center"/>
              <w:rPr>
                <w:b w:val="0"/>
              </w:rPr>
            </w:pPr>
            <w:r w:rsidRPr="001E23EC">
              <w:rPr>
                <w:b w:val="0"/>
              </w:rPr>
              <w:t>16</w:t>
            </w:r>
          </w:p>
        </w:tc>
        <w:tc>
          <w:tcPr>
            <w:tcW w:w="238" w:type="dxa"/>
            <w:vAlign w:val="center"/>
          </w:tcPr>
          <w:p w:rsidR="00415BFD" w:rsidRPr="00CA5124" w:rsidRDefault="00415BFD" w:rsidP="00FB7890">
            <w:pPr>
              <w:pStyle w:val="Tabletext"/>
              <w:spacing w:beforeLines="30" w:before="72" w:afterLines="30" w:after="72"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1B543B"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1B543B">
              <w:t>0.066</w:t>
            </w:r>
          </w:p>
        </w:tc>
        <w:tc>
          <w:tcPr>
            <w:tcW w:w="236"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48723B"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48723B">
              <w:t>0.118</w:t>
            </w:r>
          </w:p>
        </w:tc>
        <w:tc>
          <w:tcPr>
            <w:tcW w:w="238"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1168C5"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1168C5">
              <w:t>0.168</w:t>
            </w:r>
          </w:p>
        </w:tc>
        <w:tc>
          <w:tcPr>
            <w:tcW w:w="238"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DB4469"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DB4469">
              <w:t>0.301</w:t>
            </w:r>
          </w:p>
        </w:tc>
      </w:tr>
      <w:tr w:rsidR="00415BFD" w:rsidTr="00FB78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Pr="001E23EC" w:rsidRDefault="00415BFD" w:rsidP="00FB7890">
            <w:pPr>
              <w:pStyle w:val="Tabletext"/>
              <w:spacing w:beforeLines="30" w:before="72" w:afterLines="30" w:after="72" w:line="240" w:lineRule="auto"/>
              <w:jc w:val="center"/>
              <w:rPr>
                <w:b w:val="0"/>
              </w:rPr>
            </w:pPr>
            <w:r w:rsidRPr="001E23EC">
              <w:rPr>
                <w:b w:val="0"/>
              </w:rPr>
              <w:t>17</w:t>
            </w:r>
          </w:p>
        </w:tc>
        <w:tc>
          <w:tcPr>
            <w:tcW w:w="238" w:type="dxa"/>
            <w:vAlign w:val="center"/>
          </w:tcPr>
          <w:p w:rsidR="00415BFD" w:rsidRPr="00CA5124" w:rsidRDefault="00415BFD" w:rsidP="00FB7890">
            <w:pPr>
              <w:pStyle w:val="Tabletext"/>
              <w:spacing w:beforeLines="30" w:before="72" w:afterLines="30" w:after="72"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1B543B"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1B543B">
              <w:t>0.071</w:t>
            </w:r>
          </w:p>
        </w:tc>
        <w:tc>
          <w:tcPr>
            <w:tcW w:w="236"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48723B"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48723B">
              <w:t>0.129</w:t>
            </w:r>
          </w:p>
        </w:tc>
        <w:tc>
          <w:tcPr>
            <w:tcW w:w="238"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1168C5"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1168C5">
              <w:t>0.182</w:t>
            </w:r>
          </w:p>
        </w:tc>
        <w:tc>
          <w:tcPr>
            <w:tcW w:w="238"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DB4469"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DB4469">
              <w:t>0.330</w:t>
            </w:r>
          </w:p>
        </w:tc>
      </w:tr>
      <w:tr w:rsidR="00415BFD" w:rsidTr="00FB78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Pr="001E23EC" w:rsidRDefault="00415BFD" w:rsidP="00FB7890">
            <w:pPr>
              <w:pStyle w:val="Tabletext"/>
              <w:spacing w:beforeLines="30" w:before="72" w:afterLines="30" w:after="72" w:line="240" w:lineRule="auto"/>
              <w:jc w:val="center"/>
              <w:rPr>
                <w:b w:val="0"/>
              </w:rPr>
            </w:pPr>
            <w:r w:rsidRPr="001E23EC">
              <w:rPr>
                <w:b w:val="0"/>
              </w:rPr>
              <w:t>18</w:t>
            </w:r>
          </w:p>
        </w:tc>
        <w:tc>
          <w:tcPr>
            <w:tcW w:w="238" w:type="dxa"/>
            <w:vAlign w:val="center"/>
          </w:tcPr>
          <w:p w:rsidR="00415BFD" w:rsidRPr="00CA5124" w:rsidRDefault="00415BFD" w:rsidP="00FB7890">
            <w:pPr>
              <w:pStyle w:val="Tabletext"/>
              <w:spacing w:beforeLines="30" w:before="72" w:afterLines="30" w:after="72"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1B543B"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1B543B">
              <w:t>0.076</w:t>
            </w:r>
          </w:p>
        </w:tc>
        <w:tc>
          <w:tcPr>
            <w:tcW w:w="236"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48723B"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48723B">
              <w:t>0.139</w:t>
            </w:r>
          </w:p>
        </w:tc>
        <w:tc>
          <w:tcPr>
            <w:tcW w:w="238"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1168C5"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1168C5">
              <w:t>0.195</w:t>
            </w:r>
          </w:p>
        </w:tc>
        <w:tc>
          <w:tcPr>
            <w:tcW w:w="238"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DB4469"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DB4469">
              <w:t>0.356</w:t>
            </w:r>
          </w:p>
        </w:tc>
      </w:tr>
      <w:tr w:rsidR="00415BFD" w:rsidTr="00FB78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Pr="001E23EC" w:rsidRDefault="00415BFD" w:rsidP="00FB7890">
            <w:pPr>
              <w:pStyle w:val="Tabletext"/>
              <w:spacing w:beforeLines="30" w:before="72" w:afterLines="30" w:after="72" w:line="240" w:lineRule="auto"/>
              <w:jc w:val="center"/>
              <w:rPr>
                <w:b w:val="0"/>
              </w:rPr>
            </w:pPr>
            <w:r w:rsidRPr="001E23EC">
              <w:rPr>
                <w:b w:val="0"/>
              </w:rPr>
              <w:t>19</w:t>
            </w:r>
          </w:p>
        </w:tc>
        <w:tc>
          <w:tcPr>
            <w:tcW w:w="238" w:type="dxa"/>
            <w:vAlign w:val="center"/>
          </w:tcPr>
          <w:p w:rsidR="00415BFD" w:rsidRPr="00CA5124" w:rsidRDefault="00415BFD" w:rsidP="00FB7890">
            <w:pPr>
              <w:pStyle w:val="Tabletext"/>
              <w:spacing w:beforeLines="30" w:before="72" w:afterLines="30" w:after="72"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1B543B"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1B543B">
              <w:t>0.080</w:t>
            </w:r>
          </w:p>
        </w:tc>
        <w:tc>
          <w:tcPr>
            <w:tcW w:w="236"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48723B"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48723B">
              <w:t>0.147</w:t>
            </w:r>
          </w:p>
        </w:tc>
        <w:tc>
          <w:tcPr>
            <w:tcW w:w="238"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1168C5"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1168C5">
              <w:t>0.206</w:t>
            </w:r>
          </w:p>
        </w:tc>
        <w:tc>
          <w:tcPr>
            <w:tcW w:w="238"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DB4469"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DB4469">
              <w:t>0.376</w:t>
            </w:r>
          </w:p>
        </w:tc>
      </w:tr>
      <w:tr w:rsidR="00415BFD" w:rsidTr="00FB78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Pr="001E23EC" w:rsidRDefault="00415BFD" w:rsidP="00FB7890">
            <w:pPr>
              <w:pStyle w:val="Tabletext"/>
              <w:spacing w:beforeLines="30" w:before="72" w:afterLines="30" w:after="72" w:line="240" w:lineRule="auto"/>
              <w:jc w:val="center"/>
              <w:rPr>
                <w:b w:val="0"/>
              </w:rPr>
            </w:pPr>
            <w:r w:rsidRPr="001E23EC">
              <w:rPr>
                <w:b w:val="0"/>
              </w:rPr>
              <w:t>20</w:t>
            </w:r>
          </w:p>
        </w:tc>
        <w:tc>
          <w:tcPr>
            <w:tcW w:w="238" w:type="dxa"/>
            <w:vAlign w:val="center"/>
          </w:tcPr>
          <w:p w:rsidR="00415BFD" w:rsidRPr="00CA5124" w:rsidRDefault="00415BFD" w:rsidP="00FB7890">
            <w:pPr>
              <w:pStyle w:val="Tabletext"/>
              <w:spacing w:beforeLines="30" w:before="72" w:afterLines="30" w:after="72"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1B543B"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1B543B">
              <w:t>0.084</w:t>
            </w:r>
          </w:p>
        </w:tc>
        <w:tc>
          <w:tcPr>
            <w:tcW w:w="236"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48723B"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48723B">
              <w:t>0.153</w:t>
            </w:r>
          </w:p>
        </w:tc>
        <w:tc>
          <w:tcPr>
            <w:tcW w:w="238"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1168C5"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1168C5">
              <w:t>0.215</w:t>
            </w:r>
          </w:p>
        </w:tc>
        <w:tc>
          <w:tcPr>
            <w:tcW w:w="238"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DB4469"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DB4469">
              <w:t>0.392</w:t>
            </w:r>
          </w:p>
        </w:tc>
      </w:tr>
      <w:tr w:rsidR="00415BFD" w:rsidTr="00FB78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Pr="001E23EC" w:rsidRDefault="00415BFD" w:rsidP="00FB7890">
            <w:pPr>
              <w:pStyle w:val="Tabletext"/>
              <w:spacing w:beforeLines="30" w:before="72" w:afterLines="30" w:after="72" w:line="240" w:lineRule="auto"/>
              <w:jc w:val="center"/>
              <w:rPr>
                <w:b w:val="0"/>
              </w:rPr>
            </w:pPr>
            <w:r w:rsidRPr="001E23EC">
              <w:rPr>
                <w:b w:val="0"/>
              </w:rPr>
              <w:t>21</w:t>
            </w:r>
          </w:p>
        </w:tc>
        <w:tc>
          <w:tcPr>
            <w:tcW w:w="238" w:type="dxa"/>
            <w:vAlign w:val="center"/>
          </w:tcPr>
          <w:p w:rsidR="00415BFD" w:rsidRPr="00CA5124" w:rsidRDefault="00415BFD" w:rsidP="00FB7890">
            <w:pPr>
              <w:pStyle w:val="Tabletext"/>
              <w:spacing w:beforeLines="30" w:before="72" w:afterLines="30" w:after="72"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1B543B"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1B543B">
              <w:t>0.087</w:t>
            </w:r>
          </w:p>
        </w:tc>
        <w:tc>
          <w:tcPr>
            <w:tcW w:w="236"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48723B"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48723B">
              <w:t>0.157</w:t>
            </w:r>
          </w:p>
        </w:tc>
        <w:tc>
          <w:tcPr>
            <w:tcW w:w="238"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1168C5"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1168C5">
              <w:t>0.221</w:t>
            </w:r>
          </w:p>
        </w:tc>
        <w:tc>
          <w:tcPr>
            <w:tcW w:w="238"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DB4469"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DB4469">
              <w:t>0.403</w:t>
            </w:r>
          </w:p>
        </w:tc>
      </w:tr>
      <w:tr w:rsidR="00415BFD" w:rsidTr="00FB78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Pr="001E23EC" w:rsidRDefault="00415BFD" w:rsidP="00FB7890">
            <w:pPr>
              <w:pStyle w:val="Tabletext"/>
              <w:spacing w:beforeLines="30" w:before="72" w:afterLines="30" w:after="72" w:line="240" w:lineRule="auto"/>
              <w:jc w:val="center"/>
              <w:rPr>
                <w:b w:val="0"/>
              </w:rPr>
            </w:pPr>
            <w:r w:rsidRPr="001E23EC">
              <w:rPr>
                <w:b w:val="0"/>
              </w:rPr>
              <w:t>22</w:t>
            </w:r>
          </w:p>
        </w:tc>
        <w:tc>
          <w:tcPr>
            <w:tcW w:w="238" w:type="dxa"/>
            <w:vAlign w:val="center"/>
          </w:tcPr>
          <w:p w:rsidR="00415BFD" w:rsidRPr="00CA5124" w:rsidRDefault="00415BFD" w:rsidP="00FB7890">
            <w:pPr>
              <w:pStyle w:val="Tabletext"/>
              <w:spacing w:beforeLines="30" w:before="72" w:afterLines="30" w:after="72"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1B543B"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1B543B">
              <w:t>0.089</w:t>
            </w:r>
          </w:p>
        </w:tc>
        <w:tc>
          <w:tcPr>
            <w:tcW w:w="236"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48723B"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48723B">
              <w:t>0.160</w:t>
            </w:r>
          </w:p>
        </w:tc>
        <w:tc>
          <w:tcPr>
            <w:tcW w:w="238"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1168C5"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1168C5">
              <w:t>0.226</w:t>
            </w:r>
          </w:p>
        </w:tc>
        <w:tc>
          <w:tcPr>
            <w:tcW w:w="238"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DB4469"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DB4469">
              <w:t>0.409</w:t>
            </w:r>
          </w:p>
        </w:tc>
      </w:tr>
      <w:tr w:rsidR="00415BFD" w:rsidTr="00FB78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Pr="001E23EC" w:rsidRDefault="00415BFD" w:rsidP="00FB7890">
            <w:pPr>
              <w:pStyle w:val="Tabletext"/>
              <w:spacing w:beforeLines="30" w:before="72" w:afterLines="30" w:after="72" w:line="240" w:lineRule="auto"/>
              <w:jc w:val="center"/>
              <w:rPr>
                <w:b w:val="0"/>
              </w:rPr>
            </w:pPr>
            <w:r w:rsidRPr="001E23EC">
              <w:rPr>
                <w:b w:val="0"/>
              </w:rPr>
              <w:t>23</w:t>
            </w:r>
          </w:p>
        </w:tc>
        <w:tc>
          <w:tcPr>
            <w:tcW w:w="238" w:type="dxa"/>
            <w:vAlign w:val="center"/>
          </w:tcPr>
          <w:p w:rsidR="00415BFD" w:rsidRPr="00CA5124" w:rsidRDefault="00415BFD" w:rsidP="00FB7890">
            <w:pPr>
              <w:pStyle w:val="Tabletext"/>
              <w:spacing w:beforeLines="30" w:before="72" w:afterLines="30" w:after="72"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1B543B"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1B543B">
              <w:t>0.090</w:t>
            </w:r>
          </w:p>
        </w:tc>
        <w:tc>
          <w:tcPr>
            <w:tcW w:w="236"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48723B"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48723B">
              <w:t>0.161</w:t>
            </w:r>
          </w:p>
        </w:tc>
        <w:tc>
          <w:tcPr>
            <w:tcW w:w="238"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1168C5"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1168C5">
              <w:t>0.230</w:t>
            </w:r>
          </w:p>
        </w:tc>
        <w:tc>
          <w:tcPr>
            <w:tcW w:w="238"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DB4469"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DB4469">
              <w:t>0.412</w:t>
            </w:r>
          </w:p>
        </w:tc>
      </w:tr>
      <w:tr w:rsidR="00415BFD" w:rsidTr="00FB78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Pr="001E23EC" w:rsidRDefault="00415BFD" w:rsidP="00FB7890">
            <w:pPr>
              <w:pStyle w:val="Tabletext"/>
              <w:spacing w:beforeLines="30" w:before="72" w:afterLines="30" w:after="72" w:line="240" w:lineRule="auto"/>
              <w:jc w:val="center"/>
              <w:rPr>
                <w:b w:val="0"/>
              </w:rPr>
            </w:pPr>
            <w:r w:rsidRPr="001E23EC">
              <w:rPr>
                <w:b w:val="0"/>
              </w:rPr>
              <w:t>24</w:t>
            </w:r>
          </w:p>
        </w:tc>
        <w:tc>
          <w:tcPr>
            <w:tcW w:w="238" w:type="dxa"/>
            <w:vAlign w:val="center"/>
          </w:tcPr>
          <w:p w:rsidR="00415BFD" w:rsidRPr="00CA5124" w:rsidRDefault="00415BFD" w:rsidP="00FB7890">
            <w:pPr>
              <w:pStyle w:val="Tabletext"/>
              <w:spacing w:beforeLines="30" w:before="72" w:afterLines="30" w:after="72"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1B543B"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1B543B">
              <w:t>0.090</w:t>
            </w:r>
          </w:p>
        </w:tc>
        <w:tc>
          <w:tcPr>
            <w:tcW w:w="236"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48723B"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48723B">
              <w:t>0.161</w:t>
            </w:r>
          </w:p>
        </w:tc>
        <w:tc>
          <w:tcPr>
            <w:tcW w:w="238"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1168C5"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1168C5">
              <w:t>0.231</w:t>
            </w:r>
          </w:p>
        </w:tc>
        <w:tc>
          <w:tcPr>
            <w:tcW w:w="238"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DB4469"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DB4469">
              <w:t>0.411</w:t>
            </w:r>
          </w:p>
        </w:tc>
      </w:tr>
      <w:tr w:rsidR="00415BFD" w:rsidTr="00FB78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Pr="001E23EC" w:rsidRDefault="00415BFD" w:rsidP="00FB7890">
            <w:pPr>
              <w:pStyle w:val="Tabletext"/>
              <w:spacing w:beforeLines="30" w:before="72" w:afterLines="30" w:after="72" w:line="240" w:lineRule="auto"/>
              <w:jc w:val="center"/>
              <w:rPr>
                <w:b w:val="0"/>
              </w:rPr>
            </w:pPr>
            <w:r w:rsidRPr="001E23EC">
              <w:rPr>
                <w:b w:val="0"/>
              </w:rPr>
              <w:t>25</w:t>
            </w:r>
          </w:p>
        </w:tc>
        <w:tc>
          <w:tcPr>
            <w:tcW w:w="238" w:type="dxa"/>
            <w:vAlign w:val="center"/>
          </w:tcPr>
          <w:p w:rsidR="00415BFD" w:rsidRPr="00CA5124" w:rsidRDefault="00415BFD" w:rsidP="00FB7890">
            <w:pPr>
              <w:pStyle w:val="Tabletext"/>
              <w:spacing w:beforeLines="30" w:before="72" w:afterLines="30" w:after="72"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1B543B"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1B543B">
              <w:t>0.091</w:t>
            </w:r>
          </w:p>
        </w:tc>
        <w:tc>
          <w:tcPr>
            <w:tcW w:w="236"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48723B"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48723B">
              <w:t>0.159</w:t>
            </w:r>
          </w:p>
        </w:tc>
        <w:tc>
          <w:tcPr>
            <w:tcW w:w="238"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1168C5"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1168C5">
              <w:t>0.232</w:t>
            </w:r>
          </w:p>
        </w:tc>
        <w:tc>
          <w:tcPr>
            <w:tcW w:w="238"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DB4469"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DB4469">
              <w:t>0.407</w:t>
            </w:r>
          </w:p>
        </w:tc>
      </w:tr>
      <w:tr w:rsidR="00415BFD" w:rsidTr="00FB78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Pr="001E23EC" w:rsidRDefault="00415BFD" w:rsidP="00FB7890">
            <w:pPr>
              <w:pStyle w:val="Tabletext"/>
              <w:spacing w:beforeLines="30" w:before="72" w:afterLines="30" w:after="72" w:line="240" w:lineRule="auto"/>
              <w:jc w:val="center"/>
              <w:rPr>
                <w:b w:val="0"/>
              </w:rPr>
            </w:pPr>
            <w:r w:rsidRPr="001E23EC">
              <w:rPr>
                <w:b w:val="0"/>
              </w:rPr>
              <w:t>26</w:t>
            </w:r>
          </w:p>
        </w:tc>
        <w:tc>
          <w:tcPr>
            <w:tcW w:w="238" w:type="dxa"/>
            <w:vAlign w:val="center"/>
          </w:tcPr>
          <w:p w:rsidR="00415BFD" w:rsidRPr="00CA5124" w:rsidRDefault="00415BFD" w:rsidP="00FB7890">
            <w:pPr>
              <w:pStyle w:val="Tabletext"/>
              <w:spacing w:beforeLines="30" w:before="72" w:afterLines="30" w:after="72"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1B543B"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1B543B">
              <w:t>0.091</w:t>
            </w:r>
          </w:p>
        </w:tc>
        <w:tc>
          <w:tcPr>
            <w:tcW w:w="236"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48723B"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48723B">
              <w:t>0.157</w:t>
            </w:r>
          </w:p>
        </w:tc>
        <w:tc>
          <w:tcPr>
            <w:tcW w:w="238"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1168C5"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1168C5">
              <w:t>0.232</w:t>
            </w:r>
          </w:p>
        </w:tc>
        <w:tc>
          <w:tcPr>
            <w:tcW w:w="238" w:type="dxa"/>
            <w:vAlign w:val="center"/>
          </w:tcPr>
          <w:p w:rsidR="00415BFD" w:rsidRPr="00E82698"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DB4469" w:rsidRDefault="00415BFD" w:rsidP="00FB7890">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DB4469">
              <w:t>0.401</w:t>
            </w:r>
          </w:p>
        </w:tc>
      </w:tr>
      <w:tr w:rsidR="00415BFD" w:rsidTr="00FB78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Pr="001E23EC" w:rsidRDefault="00415BFD" w:rsidP="00FB7890">
            <w:pPr>
              <w:pStyle w:val="Tabletext"/>
              <w:spacing w:beforeLines="30" w:before="72" w:afterLines="30" w:after="72" w:line="240" w:lineRule="auto"/>
              <w:jc w:val="center"/>
              <w:rPr>
                <w:b w:val="0"/>
              </w:rPr>
            </w:pPr>
            <w:r w:rsidRPr="001E23EC">
              <w:rPr>
                <w:b w:val="0"/>
              </w:rPr>
              <w:t>27</w:t>
            </w:r>
          </w:p>
        </w:tc>
        <w:tc>
          <w:tcPr>
            <w:tcW w:w="238" w:type="dxa"/>
            <w:vAlign w:val="center"/>
          </w:tcPr>
          <w:p w:rsidR="00415BFD" w:rsidRPr="00CA5124" w:rsidRDefault="00415BFD" w:rsidP="00FB7890">
            <w:pPr>
              <w:pStyle w:val="Tabletext"/>
              <w:spacing w:beforeLines="30" w:before="72" w:afterLines="30" w:after="72"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1B543B">
              <w:t>0.091</w:t>
            </w:r>
          </w:p>
        </w:tc>
        <w:tc>
          <w:tcPr>
            <w:tcW w:w="236"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48723B">
              <w:t>0.155</w:t>
            </w:r>
          </w:p>
        </w:tc>
        <w:tc>
          <w:tcPr>
            <w:tcW w:w="238"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1168C5">
              <w:t>0.231</w:t>
            </w:r>
          </w:p>
        </w:tc>
        <w:tc>
          <w:tcPr>
            <w:tcW w:w="238" w:type="dxa"/>
            <w:vAlign w:val="center"/>
          </w:tcPr>
          <w:p w:rsidR="00415BFD" w:rsidRPr="00E82698"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Default="00415BFD" w:rsidP="00FB7890">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DB4469">
              <w:t>0.396</w:t>
            </w:r>
          </w:p>
        </w:tc>
      </w:tr>
    </w:tbl>
    <w:p w:rsidR="00415BFD" w:rsidRDefault="00415BFD" w:rsidP="00FB7890">
      <w:pPr>
        <w:tabs>
          <w:tab w:val="left" w:pos="2717"/>
          <w:tab w:val="left" w:pos="7064"/>
        </w:tabs>
      </w:pPr>
      <w:r>
        <w:tab/>
      </w:r>
      <w:r>
        <w:tab/>
      </w:r>
    </w:p>
    <w:p w:rsidR="00415BFD" w:rsidRDefault="00415BFD" w:rsidP="00B55AB2"/>
    <w:p w:rsidR="00415BFD" w:rsidRDefault="00415BFD">
      <w:pPr>
        <w:spacing w:line="240" w:lineRule="auto"/>
        <w:jc w:val="left"/>
      </w:pPr>
      <w:r>
        <w:br w:type="page"/>
      </w:r>
    </w:p>
    <w:p w:rsidR="00415BFD" w:rsidRDefault="00415BFD" w:rsidP="00661CC4">
      <w:pPr>
        <w:pStyle w:val="Heading3"/>
      </w:pPr>
      <w:bookmarkStart w:id="112" w:name="_Ref450828354"/>
      <w:bookmarkStart w:id="113" w:name="_Toc452066402"/>
      <w:r>
        <w:lastRenderedPageBreak/>
        <w:t>Other-cause mortality parameter</w:t>
      </w:r>
      <w:bookmarkEnd w:id="112"/>
      <w:bookmarkEnd w:id="113"/>
    </w:p>
    <w:p w:rsidR="00415BFD" w:rsidRDefault="00415BFD" w:rsidP="00661CC4">
      <w:r>
        <w:t xml:space="preserve">Other-cause mortality estimates were based on all-cause mortality estimates derived from deaths data obtained from the Australian Bureau of Statistics </w:t>
      </w:r>
      <w:r>
        <w:rPr>
          <w:noProof/>
        </w:rPr>
        <w:t>[14]</w:t>
      </w:r>
      <w:r>
        <w:t xml:space="preserve">. These estimates were adjusted by removing the number of deaths attributable to suicide – a leading cause of death among youth where depression is a leading risk factor </w:t>
      </w:r>
      <w:r>
        <w:rPr>
          <w:noProof/>
        </w:rPr>
        <w:t>[18]</w:t>
      </w:r>
      <w:r>
        <w:t xml:space="preserve">. Suicide death estimates were sourced from GBD 2013 by using self-harm cause of death estimates as a proxy </w:t>
      </w:r>
      <w:r>
        <w:rPr>
          <w:noProof/>
        </w:rPr>
        <w:t>[15]</w:t>
      </w:r>
      <w:r>
        <w:t xml:space="preserve">. Age-sex estimates for other mortality are shown in </w:t>
      </w:r>
      <w:r>
        <w:fldChar w:fldCharType="begin"/>
      </w:r>
      <w:r>
        <w:instrText xml:space="preserve"> REF _Ref432949753 \n \h </w:instrText>
      </w:r>
      <w:r>
        <w:fldChar w:fldCharType="separate"/>
      </w:r>
      <w:r>
        <w:t>Table 13</w:t>
      </w:r>
      <w:r>
        <w:fldChar w:fldCharType="end"/>
      </w:r>
      <w:r>
        <w:t>.</w:t>
      </w:r>
    </w:p>
    <w:p w:rsidR="00415BFD" w:rsidRDefault="00415BFD" w:rsidP="00661CC4">
      <w:pPr>
        <w:rPr>
          <w:lang w:bidi="ar-SA"/>
        </w:rPr>
      </w:pPr>
      <w:bookmarkStart w:id="114" w:name="_Ref432943036"/>
    </w:p>
    <w:p w:rsidR="00415BFD" w:rsidRDefault="00415BFD" w:rsidP="00661CC4">
      <w:pPr>
        <w:rPr>
          <w:lang w:bidi="ar-SA"/>
        </w:rPr>
      </w:pPr>
    </w:p>
    <w:p w:rsidR="00415BFD" w:rsidRDefault="00415BFD" w:rsidP="00415BFD">
      <w:pPr>
        <w:pStyle w:val="MyTable"/>
        <w:numPr>
          <w:ilvl w:val="3"/>
          <w:numId w:val="9"/>
        </w:numPr>
        <w:rPr>
          <w:lang w:bidi="ar-SA"/>
        </w:rPr>
      </w:pPr>
      <w:bookmarkStart w:id="115" w:name="_Ref432949753"/>
      <w:bookmarkStart w:id="116" w:name="_Toc452066458"/>
      <w:r>
        <w:rPr>
          <w:lang w:bidi="ar-SA"/>
        </w:rPr>
        <w:t>Other-cause mortality</w:t>
      </w:r>
      <w:r w:rsidRPr="001E23EC">
        <w:rPr>
          <w:lang w:bidi="ar-SA"/>
        </w:rPr>
        <w:t xml:space="preserve"> for the 2013 Australian population</w:t>
      </w:r>
      <w:r>
        <w:rPr>
          <w:lang w:bidi="ar-SA"/>
        </w:rPr>
        <w:t xml:space="preserve"> by age and sex</w:t>
      </w:r>
      <w:bookmarkEnd w:id="115"/>
      <w:bookmarkEnd w:id="116"/>
    </w:p>
    <w:tbl>
      <w:tblPr>
        <w:tblStyle w:val="MediumShading1-Accent2"/>
        <w:tblW w:w="0" w:type="auto"/>
        <w:jc w:val="center"/>
        <w:tblLook w:val="04A0" w:firstRow="1" w:lastRow="0" w:firstColumn="1" w:lastColumn="0" w:noHBand="0" w:noVBand="1"/>
      </w:tblPr>
      <w:tblGrid>
        <w:gridCol w:w="850"/>
        <w:gridCol w:w="238"/>
        <w:gridCol w:w="1247"/>
        <w:gridCol w:w="236"/>
        <w:gridCol w:w="1247"/>
      </w:tblGrid>
      <w:tr w:rsidR="00415BFD" w:rsidTr="002B1271">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850" w:type="dxa"/>
            <w:vMerge w:val="restart"/>
            <w:vAlign w:val="center"/>
          </w:tcPr>
          <w:p w:rsidR="00415BFD" w:rsidRPr="004A6AA7" w:rsidRDefault="00415BFD" w:rsidP="002B1271">
            <w:pPr>
              <w:pStyle w:val="Tabletext"/>
              <w:jc w:val="center"/>
            </w:pPr>
            <w:r w:rsidRPr="004A6AA7">
              <w:t>Age</w:t>
            </w:r>
            <w:r>
              <w:t xml:space="preserve"> </w:t>
            </w:r>
            <w:r w:rsidRPr="004A6AA7">
              <w:t>(years)</w:t>
            </w:r>
          </w:p>
        </w:tc>
        <w:tc>
          <w:tcPr>
            <w:tcW w:w="238" w:type="dxa"/>
          </w:tcPr>
          <w:p w:rsidR="00415BFD" w:rsidRPr="004A6AA7" w:rsidRDefault="00415BFD" w:rsidP="002B1271">
            <w:pPr>
              <w:pStyle w:val="Tabletext"/>
              <w:jc w:val="center"/>
              <w:cnfStyle w:val="100000000000" w:firstRow="1" w:lastRow="0" w:firstColumn="0" w:lastColumn="0" w:oddVBand="0" w:evenVBand="0" w:oddHBand="0" w:evenHBand="0" w:firstRowFirstColumn="0" w:firstRowLastColumn="0" w:lastRowFirstColumn="0" w:lastRowLastColumn="0"/>
            </w:pPr>
          </w:p>
        </w:tc>
        <w:tc>
          <w:tcPr>
            <w:tcW w:w="2730" w:type="dxa"/>
            <w:gridSpan w:val="3"/>
          </w:tcPr>
          <w:p w:rsidR="00415BFD" w:rsidRPr="004A6AA7" w:rsidRDefault="00415BFD" w:rsidP="002B1271">
            <w:pPr>
              <w:pStyle w:val="Tabletext"/>
              <w:jc w:val="center"/>
              <w:cnfStyle w:val="100000000000" w:firstRow="1" w:lastRow="0" w:firstColumn="0" w:lastColumn="0" w:oddVBand="0" w:evenVBand="0" w:oddHBand="0" w:evenHBand="0" w:firstRowFirstColumn="0" w:firstRowLastColumn="0" w:lastRowFirstColumn="0" w:lastRowLastColumn="0"/>
            </w:pPr>
            <w:r w:rsidRPr="004A6AA7">
              <w:t>General Australian population</w:t>
            </w:r>
          </w:p>
        </w:tc>
      </w:tr>
      <w:tr w:rsidR="00415BFD" w:rsidRPr="004A6AA7" w:rsidTr="002B1271">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850" w:type="dxa"/>
            <w:vMerge/>
          </w:tcPr>
          <w:p w:rsidR="00415BFD" w:rsidRPr="004A6AA7" w:rsidRDefault="00415BFD" w:rsidP="002B1271">
            <w:pPr>
              <w:pStyle w:val="Tabletext"/>
              <w:jc w:val="center"/>
            </w:pPr>
          </w:p>
        </w:tc>
        <w:tc>
          <w:tcPr>
            <w:tcW w:w="238" w:type="dxa"/>
            <w:shd w:val="clear" w:color="auto" w:fill="C0504D" w:themeFill="accent2"/>
          </w:tcPr>
          <w:p w:rsidR="00415BFD" w:rsidRPr="004A6AA7" w:rsidRDefault="00415BFD" w:rsidP="002B1271">
            <w:pPr>
              <w:pStyle w:val="Tabletext"/>
              <w:jc w:val="center"/>
              <w:cnfStyle w:val="000000100000" w:firstRow="0" w:lastRow="0" w:firstColumn="0" w:lastColumn="0" w:oddVBand="0" w:evenVBand="0" w:oddHBand="1" w:evenHBand="0" w:firstRowFirstColumn="0" w:firstRowLastColumn="0" w:lastRowFirstColumn="0" w:lastRowLastColumn="0"/>
            </w:pPr>
          </w:p>
        </w:tc>
        <w:tc>
          <w:tcPr>
            <w:tcW w:w="1247" w:type="dxa"/>
            <w:shd w:val="clear" w:color="auto" w:fill="C0504D" w:themeFill="accent2"/>
          </w:tcPr>
          <w:p w:rsidR="00415BFD" w:rsidRPr="001E23EC" w:rsidRDefault="00415BFD" w:rsidP="002B1271">
            <w:pPr>
              <w:pStyle w:val="Tabletext"/>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1E23EC">
              <w:rPr>
                <w:b/>
                <w:color w:val="FFFFFF" w:themeColor="background1"/>
              </w:rPr>
              <w:t>Male</w:t>
            </w:r>
          </w:p>
        </w:tc>
        <w:tc>
          <w:tcPr>
            <w:tcW w:w="236" w:type="dxa"/>
            <w:shd w:val="clear" w:color="auto" w:fill="C0504D" w:themeFill="accent2"/>
          </w:tcPr>
          <w:p w:rsidR="00415BFD" w:rsidRPr="001E23EC" w:rsidRDefault="00415BFD" w:rsidP="002B1271">
            <w:pPr>
              <w:pStyle w:val="Tabletext"/>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p>
        </w:tc>
        <w:tc>
          <w:tcPr>
            <w:tcW w:w="1247" w:type="dxa"/>
            <w:shd w:val="clear" w:color="auto" w:fill="C0504D" w:themeFill="accent2"/>
          </w:tcPr>
          <w:p w:rsidR="00415BFD" w:rsidRPr="001E23EC" w:rsidRDefault="00415BFD" w:rsidP="002B1271">
            <w:pPr>
              <w:pStyle w:val="Tabletext"/>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1E23EC">
              <w:rPr>
                <w:b/>
                <w:color w:val="FFFFFF" w:themeColor="background1"/>
              </w:rPr>
              <w:t>Female</w:t>
            </w:r>
          </w:p>
        </w:tc>
      </w:tr>
      <w:tr w:rsidR="00415BFD" w:rsidTr="002B1271">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2B1271">
            <w:pPr>
              <w:pStyle w:val="Tabletext"/>
              <w:spacing w:beforeLines="20" w:before="48" w:afterLines="20" w:after="48" w:line="240" w:lineRule="auto"/>
              <w:jc w:val="center"/>
              <w:rPr>
                <w:b w:val="0"/>
              </w:rPr>
            </w:pPr>
            <w:r w:rsidRPr="006327E1">
              <w:rPr>
                <w:b w:val="0"/>
              </w:rPr>
              <w:t>11</w:t>
            </w:r>
          </w:p>
        </w:tc>
        <w:tc>
          <w:tcPr>
            <w:tcW w:w="238" w:type="dxa"/>
          </w:tcPr>
          <w:p w:rsidR="00415BFD" w:rsidRPr="00CA5124"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7B3EAF" w:rsidRDefault="00415BFD" w:rsidP="002B127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7B3EAF">
              <w:t>0.00009</w:t>
            </w:r>
          </w:p>
        </w:tc>
        <w:tc>
          <w:tcPr>
            <w:tcW w:w="236" w:type="dxa"/>
            <w:vAlign w:val="center"/>
          </w:tcPr>
          <w:p w:rsidR="00415BFD" w:rsidRPr="00CA5124"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22646F"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r w:rsidRPr="0022646F">
              <w:t>0.00007</w:t>
            </w:r>
          </w:p>
        </w:tc>
      </w:tr>
      <w:tr w:rsidR="00415BFD" w:rsidTr="002B127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2B1271">
            <w:pPr>
              <w:pStyle w:val="Tabletext"/>
              <w:spacing w:beforeLines="20" w:before="48" w:afterLines="20" w:after="48" w:line="240" w:lineRule="auto"/>
              <w:jc w:val="center"/>
              <w:rPr>
                <w:b w:val="0"/>
              </w:rPr>
            </w:pPr>
            <w:r w:rsidRPr="006327E1">
              <w:rPr>
                <w:b w:val="0"/>
              </w:rPr>
              <w:t>12</w:t>
            </w:r>
          </w:p>
        </w:tc>
        <w:tc>
          <w:tcPr>
            <w:tcW w:w="238" w:type="dxa"/>
          </w:tcPr>
          <w:p w:rsidR="00415BFD" w:rsidRPr="00CA5124"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7B3EAF" w:rsidRDefault="00415BFD" w:rsidP="002B127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7B3EAF">
              <w:t>0.00011</w:t>
            </w:r>
          </w:p>
        </w:tc>
        <w:tc>
          <w:tcPr>
            <w:tcW w:w="236" w:type="dxa"/>
            <w:vAlign w:val="center"/>
          </w:tcPr>
          <w:p w:rsidR="00415BFD" w:rsidRPr="00CA5124"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22646F"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r w:rsidRPr="0022646F">
              <w:t>0.00008</w:t>
            </w:r>
          </w:p>
        </w:tc>
      </w:tr>
      <w:tr w:rsidR="00415BFD" w:rsidTr="002B1271">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2B1271">
            <w:pPr>
              <w:pStyle w:val="Tabletext"/>
              <w:spacing w:beforeLines="20" w:before="48" w:afterLines="20" w:after="48" w:line="240" w:lineRule="auto"/>
              <w:jc w:val="center"/>
              <w:rPr>
                <w:b w:val="0"/>
              </w:rPr>
            </w:pPr>
            <w:r w:rsidRPr="006327E1">
              <w:rPr>
                <w:b w:val="0"/>
              </w:rPr>
              <w:t>13</w:t>
            </w:r>
          </w:p>
        </w:tc>
        <w:tc>
          <w:tcPr>
            <w:tcW w:w="238" w:type="dxa"/>
          </w:tcPr>
          <w:p w:rsidR="00415BFD" w:rsidRPr="00CA5124"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7B3EAF" w:rsidRDefault="00415BFD" w:rsidP="002B127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7B3EAF">
              <w:t>0.00016</w:t>
            </w:r>
          </w:p>
        </w:tc>
        <w:tc>
          <w:tcPr>
            <w:tcW w:w="236" w:type="dxa"/>
            <w:vAlign w:val="center"/>
          </w:tcPr>
          <w:p w:rsidR="00415BFD" w:rsidRPr="00CA5124"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22646F"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r w:rsidRPr="0022646F">
              <w:t>0.00010</w:t>
            </w:r>
          </w:p>
        </w:tc>
      </w:tr>
      <w:tr w:rsidR="00415BFD" w:rsidTr="002B127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2B1271">
            <w:pPr>
              <w:pStyle w:val="Tabletext"/>
              <w:spacing w:beforeLines="20" w:before="48" w:afterLines="20" w:after="48" w:line="240" w:lineRule="auto"/>
              <w:jc w:val="center"/>
              <w:rPr>
                <w:b w:val="0"/>
              </w:rPr>
            </w:pPr>
            <w:r w:rsidRPr="006327E1">
              <w:rPr>
                <w:b w:val="0"/>
              </w:rPr>
              <w:t>14</w:t>
            </w:r>
          </w:p>
        </w:tc>
        <w:tc>
          <w:tcPr>
            <w:tcW w:w="238" w:type="dxa"/>
          </w:tcPr>
          <w:p w:rsidR="00415BFD" w:rsidRPr="00CA5124"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7B3EAF" w:rsidRDefault="00415BFD" w:rsidP="002B127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7B3EAF">
              <w:t>0.00022</w:t>
            </w:r>
          </w:p>
        </w:tc>
        <w:tc>
          <w:tcPr>
            <w:tcW w:w="236" w:type="dxa"/>
            <w:vAlign w:val="center"/>
          </w:tcPr>
          <w:p w:rsidR="00415BFD" w:rsidRPr="00CA5124"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22646F"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r w:rsidRPr="0022646F">
              <w:t>0.00013</w:t>
            </w:r>
          </w:p>
        </w:tc>
      </w:tr>
      <w:tr w:rsidR="00415BFD" w:rsidTr="002B1271">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2B1271">
            <w:pPr>
              <w:pStyle w:val="Tabletext"/>
              <w:spacing w:beforeLines="20" w:before="48" w:afterLines="20" w:after="48" w:line="240" w:lineRule="auto"/>
              <w:jc w:val="center"/>
              <w:rPr>
                <w:b w:val="0"/>
              </w:rPr>
            </w:pPr>
            <w:r w:rsidRPr="006327E1">
              <w:rPr>
                <w:b w:val="0"/>
              </w:rPr>
              <w:t>15</w:t>
            </w:r>
          </w:p>
        </w:tc>
        <w:tc>
          <w:tcPr>
            <w:tcW w:w="238" w:type="dxa"/>
          </w:tcPr>
          <w:p w:rsidR="00415BFD" w:rsidRPr="00CA5124"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7B3EAF" w:rsidRDefault="00415BFD" w:rsidP="002B127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7B3EAF">
              <w:t>0.00028</w:t>
            </w:r>
          </w:p>
        </w:tc>
        <w:tc>
          <w:tcPr>
            <w:tcW w:w="236" w:type="dxa"/>
            <w:vAlign w:val="center"/>
          </w:tcPr>
          <w:p w:rsidR="00415BFD" w:rsidRPr="00CA5124"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22646F"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r w:rsidRPr="0022646F">
              <w:t>0.00016</w:t>
            </w:r>
          </w:p>
        </w:tc>
      </w:tr>
      <w:tr w:rsidR="00415BFD" w:rsidTr="002B127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2B1271">
            <w:pPr>
              <w:pStyle w:val="Tabletext"/>
              <w:spacing w:beforeLines="20" w:before="48" w:afterLines="20" w:after="48" w:line="240" w:lineRule="auto"/>
              <w:jc w:val="center"/>
              <w:rPr>
                <w:b w:val="0"/>
              </w:rPr>
            </w:pPr>
            <w:r w:rsidRPr="006327E1">
              <w:rPr>
                <w:b w:val="0"/>
              </w:rPr>
              <w:t>16</w:t>
            </w:r>
          </w:p>
        </w:tc>
        <w:tc>
          <w:tcPr>
            <w:tcW w:w="238" w:type="dxa"/>
          </w:tcPr>
          <w:p w:rsidR="00415BFD" w:rsidRPr="00CA5124"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7B3EAF" w:rsidRDefault="00415BFD" w:rsidP="002B127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7B3EAF">
              <w:t>0.00034</w:t>
            </w:r>
          </w:p>
        </w:tc>
        <w:tc>
          <w:tcPr>
            <w:tcW w:w="236" w:type="dxa"/>
            <w:vAlign w:val="center"/>
          </w:tcPr>
          <w:p w:rsidR="00415BFD" w:rsidRPr="00CA5124"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22646F"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r w:rsidRPr="0022646F">
              <w:t>0.00019</w:t>
            </w:r>
          </w:p>
        </w:tc>
      </w:tr>
      <w:tr w:rsidR="00415BFD" w:rsidTr="002B1271">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2B1271">
            <w:pPr>
              <w:pStyle w:val="Tabletext"/>
              <w:spacing w:beforeLines="20" w:before="48" w:afterLines="20" w:after="48" w:line="240" w:lineRule="auto"/>
              <w:jc w:val="center"/>
              <w:rPr>
                <w:b w:val="0"/>
              </w:rPr>
            </w:pPr>
            <w:r w:rsidRPr="006327E1">
              <w:rPr>
                <w:b w:val="0"/>
              </w:rPr>
              <w:t>17</w:t>
            </w:r>
          </w:p>
        </w:tc>
        <w:tc>
          <w:tcPr>
            <w:tcW w:w="238" w:type="dxa"/>
          </w:tcPr>
          <w:p w:rsidR="00415BFD" w:rsidRPr="00CA5124"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7B3EAF" w:rsidRDefault="00415BFD" w:rsidP="002B127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7B3EAF">
              <w:t>0.00040</w:t>
            </w:r>
          </w:p>
        </w:tc>
        <w:tc>
          <w:tcPr>
            <w:tcW w:w="236" w:type="dxa"/>
            <w:vAlign w:val="center"/>
          </w:tcPr>
          <w:p w:rsidR="00415BFD" w:rsidRPr="00CA5124"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22646F"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r w:rsidRPr="0022646F">
              <w:t>0.00021</w:t>
            </w:r>
          </w:p>
        </w:tc>
      </w:tr>
      <w:tr w:rsidR="00415BFD" w:rsidTr="002B127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2B1271">
            <w:pPr>
              <w:pStyle w:val="Tabletext"/>
              <w:spacing w:beforeLines="20" w:before="48" w:afterLines="20" w:after="48" w:line="240" w:lineRule="auto"/>
              <w:jc w:val="center"/>
              <w:rPr>
                <w:b w:val="0"/>
              </w:rPr>
            </w:pPr>
            <w:r w:rsidRPr="006327E1">
              <w:rPr>
                <w:b w:val="0"/>
              </w:rPr>
              <w:t>18</w:t>
            </w:r>
          </w:p>
        </w:tc>
        <w:tc>
          <w:tcPr>
            <w:tcW w:w="238" w:type="dxa"/>
          </w:tcPr>
          <w:p w:rsidR="00415BFD" w:rsidRPr="00CA5124"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7B3EAF" w:rsidRDefault="00415BFD" w:rsidP="002B127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7B3EAF">
              <w:t>0.00045</w:t>
            </w:r>
          </w:p>
        </w:tc>
        <w:tc>
          <w:tcPr>
            <w:tcW w:w="236" w:type="dxa"/>
            <w:vAlign w:val="center"/>
          </w:tcPr>
          <w:p w:rsidR="00415BFD" w:rsidRPr="00CA5124"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22646F"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r w:rsidRPr="0022646F">
              <w:t>0.00023</w:t>
            </w:r>
          </w:p>
        </w:tc>
      </w:tr>
      <w:tr w:rsidR="00415BFD" w:rsidTr="002B1271">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2B1271">
            <w:pPr>
              <w:pStyle w:val="Tabletext"/>
              <w:spacing w:beforeLines="20" w:before="48" w:afterLines="20" w:after="48" w:line="240" w:lineRule="auto"/>
              <w:jc w:val="center"/>
              <w:rPr>
                <w:b w:val="0"/>
              </w:rPr>
            </w:pPr>
            <w:r w:rsidRPr="006327E1">
              <w:rPr>
                <w:b w:val="0"/>
              </w:rPr>
              <w:t>19</w:t>
            </w:r>
          </w:p>
        </w:tc>
        <w:tc>
          <w:tcPr>
            <w:tcW w:w="238" w:type="dxa"/>
          </w:tcPr>
          <w:p w:rsidR="00415BFD" w:rsidRPr="00CA5124"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7B3EAF" w:rsidRDefault="00415BFD" w:rsidP="002B127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7B3EAF">
              <w:t>0.00049</w:t>
            </w:r>
          </w:p>
        </w:tc>
        <w:tc>
          <w:tcPr>
            <w:tcW w:w="236" w:type="dxa"/>
            <w:vAlign w:val="center"/>
          </w:tcPr>
          <w:p w:rsidR="00415BFD" w:rsidRPr="00CA5124"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22646F"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r w:rsidRPr="0022646F">
              <w:t>0.00024</w:t>
            </w:r>
          </w:p>
        </w:tc>
      </w:tr>
      <w:tr w:rsidR="00415BFD" w:rsidTr="002B127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2B1271">
            <w:pPr>
              <w:pStyle w:val="Tabletext"/>
              <w:spacing w:beforeLines="20" w:before="48" w:afterLines="20" w:after="48" w:line="240" w:lineRule="auto"/>
              <w:jc w:val="center"/>
              <w:rPr>
                <w:b w:val="0"/>
              </w:rPr>
            </w:pPr>
            <w:r w:rsidRPr="006327E1">
              <w:rPr>
                <w:b w:val="0"/>
              </w:rPr>
              <w:t>20</w:t>
            </w:r>
          </w:p>
        </w:tc>
        <w:tc>
          <w:tcPr>
            <w:tcW w:w="238" w:type="dxa"/>
          </w:tcPr>
          <w:p w:rsidR="00415BFD" w:rsidRPr="00CA5124"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7B3EAF" w:rsidRDefault="00415BFD" w:rsidP="002B127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7B3EAF">
              <w:t>0.00051</w:t>
            </w:r>
          </w:p>
        </w:tc>
        <w:tc>
          <w:tcPr>
            <w:tcW w:w="236" w:type="dxa"/>
            <w:vAlign w:val="center"/>
          </w:tcPr>
          <w:p w:rsidR="00415BFD" w:rsidRPr="00CA5124"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22646F"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r w:rsidRPr="0022646F">
              <w:t>0.00024</w:t>
            </w:r>
          </w:p>
        </w:tc>
      </w:tr>
      <w:tr w:rsidR="00415BFD" w:rsidTr="002B1271">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2B1271">
            <w:pPr>
              <w:pStyle w:val="Tabletext"/>
              <w:spacing w:beforeLines="20" w:before="48" w:afterLines="20" w:after="48" w:line="240" w:lineRule="auto"/>
              <w:jc w:val="center"/>
              <w:rPr>
                <w:b w:val="0"/>
              </w:rPr>
            </w:pPr>
            <w:r w:rsidRPr="006327E1">
              <w:rPr>
                <w:b w:val="0"/>
              </w:rPr>
              <w:t>21</w:t>
            </w:r>
          </w:p>
        </w:tc>
        <w:tc>
          <w:tcPr>
            <w:tcW w:w="238" w:type="dxa"/>
          </w:tcPr>
          <w:p w:rsidR="00415BFD" w:rsidRPr="00CA5124"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7B3EAF" w:rsidRDefault="00415BFD" w:rsidP="002B127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7B3EAF">
              <w:t>0.00054</w:t>
            </w:r>
          </w:p>
        </w:tc>
        <w:tc>
          <w:tcPr>
            <w:tcW w:w="236" w:type="dxa"/>
            <w:vAlign w:val="center"/>
          </w:tcPr>
          <w:p w:rsidR="00415BFD" w:rsidRPr="00CA5124"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22646F"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r w:rsidRPr="0022646F">
              <w:t>0.00025</w:t>
            </w:r>
          </w:p>
        </w:tc>
      </w:tr>
      <w:tr w:rsidR="00415BFD" w:rsidTr="002B127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2B1271">
            <w:pPr>
              <w:pStyle w:val="Tabletext"/>
              <w:spacing w:beforeLines="20" w:before="48" w:afterLines="20" w:after="48" w:line="240" w:lineRule="auto"/>
              <w:jc w:val="center"/>
              <w:rPr>
                <w:b w:val="0"/>
              </w:rPr>
            </w:pPr>
            <w:r w:rsidRPr="006327E1">
              <w:rPr>
                <w:b w:val="0"/>
              </w:rPr>
              <w:t>22</w:t>
            </w:r>
          </w:p>
        </w:tc>
        <w:tc>
          <w:tcPr>
            <w:tcW w:w="238" w:type="dxa"/>
          </w:tcPr>
          <w:p w:rsidR="00415BFD" w:rsidRPr="00CA5124"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7B3EAF" w:rsidRDefault="00415BFD" w:rsidP="002B127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7B3EAF">
              <w:t>0.00056</w:t>
            </w:r>
          </w:p>
        </w:tc>
        <w:tc>
          <w:tcPr>
            <w:tcW w:w="236" w:type="dxa"/>
            <w:vAlign w:val="center"/>
          </w:tcPr>
          <w:p w:rsidR="00415BFD" w:rsidRPr="00CA5124"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22646F"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r w:rsidRPr="0022646F">
              <w:t>0.00025</w:t>
            </w:r>
          </w:p>
        </w:tc>
      </w:tr>
      <w:tr w:rsidR="00415BFD" w:rsidTr="002B1271">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2B1271">
            <w:pPr>
              <w:pStyle w:val="Tabletext"/>
              <w:spacing w:beforeLines="20" w:before="48" w:afterLines="20" w:after="48" w:line="240" w:lineRule="auto"/>
              <w:jc w:val="center"/>
              <w:rPr>
                <w:b w:val="0"/>
              </w:rPr>
            </w:pPr>
            <w:r w:rsidRPr="006327E1">
              <w:rPr>
                <w:b w:val="0"/>
              </w:rPr>
              <w:t>23</w:t>
            </w:r>
          </w:p>
        </w:tc>
        <w:tc>
          <w:tcPr>
            <w:tcW w:w="238" w:type="dxa"/>
          </w:tcPr>
          <w:p w:rsidR="00415BFD" w:rsidRPr="00CA5124"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7B3EAF" w:rsidRDefault="00415BFD" w:rsidP="002B127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7B3EAF">
              <w:t>0.00058</w:t>
            </w:r>
          </w:p>
        </w:tc>
        <w:tc>
          <w:tcPr>
            <w:tcW w:w="236" w:type="dxa"/>
            <w:vAlign w:val="center"/>
          </w:tcPr>
          <w:p w:rsidR="00415BFD" w:rsidRPr="00CA5124"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22646F"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r w:rsidRPr="0022646F">
              <w:t>0.00025</w:t>
            </w:r>
          </w:p>
        </w:tc>
      </w:tr>
      <w:tr w:rsidR="00415BFD" w:rsidTr="002B127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2B1271">
            <w:pPr>
              <w:pStyle w:val="Tabletext"/>
              <w:spacing w:beforeLines="20" w:before="48" w:afterLines="20" w:after="48" w:line="240" w:lineRule="auto"/>
              <w:jc w:val="center"/>
              <w:rPr>
                <w:b w:val="0"/>
              </w:rPr>
            </w:pPr>
            <w:r w:rsidRPr="006327E1">
              <w:rPr>
                <w:b w:val="0"/>
              </w:rPr>
              <w:t>24</w:t>
            </w:r>
          </w:p>
        </w:tc>
        <w:tc>
          <w:tcPr>
            <w:tcW w:w="238" w:type="dxa"/>
          </w:tcPr>
          <w:p w:rsidR="00415BFD" w:rsidRPr="00CA5124"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7B3EAF" w:rsidRDefault="00415BFD" w:rsidP="002B127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7B3EAF">
              <w:t>0.00061</w:t>
            </w:r>
          </w:p>
        </w:tc>
        <w:tc>
          <w:tcPr>
            <w:tcW w:w="236" w:type="dxa"/>
            <w:vAlign w:val="center"/>
          </w:tcPr>
          <w:p w:rsidR="00415BFD" w:rsidRPr="00CA5124"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22646F"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r w:rsidRPr="0022646F">
              <w:t>0.00025</w:t>
            </w:r>
          </w:p>
        </w:tc>
      </w:tr>
      <w:tr w:rsidR="00415BFD" w:rsidTr="002B1271">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2B1271">
            <w:pPr>
              <w:pStyle w:val="Tabletext"/>
              <w:spacing w:beforeLines="20" w:before="48" w:afterLines="20" w:after="48" w:line="240" w:lineRule="auto"/>
              <w:jc w:val="center"/>
              <w:rPr>
                <w:b w:val="0"/>
              </w:rPr>
            </w:pPr>
            <w:r w:rsidRPr="006327E1">
              <w:rPr>
                <w:b w:val="0"/>
              </w:rPr>
              <w:t>25</w:t>
            </w:r>
          </w:p>
        </w:tc>
        <w:tc>
          <w:tcPr>
            <w:tcW w:w="238" w:type="dxa"/>
          </w:tcPr>
          <w:p w:rsidR="00415BFD" w:rsidRPr="00CA5124"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7B3EAF" w:rsidRDefault="00415BFD" w:rsidP="002B127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7B3EAF">
              <w:t>0.00063</w:t>
            </w:r>
          </w:p>
        </w:tc>
        <w:tc>
          <w:tcPr>
            <w:tcW w:w="236" w:type="dxa"/>
            <w:vAlign w:val="center"/>
          </w:tcPr>
          <w:p w:rsidR="00415BFD" w:rsidRPr="00CA5124"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22646F"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r w:rsidRPr="0022646F">
              <w:t>0.00026</w:t>
            </w:r>
          </w:p>
        </w:tc>
      </w:tr>
      <w:tr w:rsidR="00415BFD" w:rsidTr="002B127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2B1271">
            <w:pPr>
              <w:pStyle w:val="Tabletext"/>
              <w:spacing w:beforeLines="20" w:before="48" w:afterLines="20" w:after="48" w:line="240" w:lineRule="auto"/>
              <w:jc w:val="center"/>
              <w:rPr>
                <w:b w:val="0"/>
              </w:rPr>
            </w:pPr>
            <w:r w:rsidRPr="006327E1">
              <w:rPr>
                <w:b w:val="0"/>
              </w:rPr>
              <w:t>26</w:t>
            </w:r>
          </w:p>
        </w:tc>
        <w:tc>
          <w:tcPr>
            <w:tcW w:w="238" w:type="dxa"/>
          </w:tcPr>
          <w:p w:rsidR="00415BFD" w:rsidRPr="00CA5124"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7B3EAF" w:rsidRDefault="00415BFD" w:rsidP="002B127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7B3EAF">
              <w:t>0.00064</w:t>
            </w:r>
          </w:p>
        </w:tc>
        <w:tc>
          <w:tcPr>
            <w:tcW w:w="236" w:type="dxa"/>
            <w:vAlign w:val="center"/>
          </w:tcPr>
          <w:p w:rsidR="00415BFD" w:rsidRPr="00CA5124"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22646F" w:rsidRDefault="00415BFD" w:rsidP="002B1271">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r w:rsidRPr="0022646F">
              <w:t>0.00026</w:t>
            </w:r>
          </w:p>
        </w:tc>
      </w:tr>
      <w:tr w:rsidR="00415BFD" w:rsidTr="002B1271">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2B1271">
            <w:pPr>
              <w:pStyle w:val="Tabletext"/>
              <w:spacing w:beforeLines="20" w:before="48" w:afterLines="20" w:after="48" w:line="240" w:lineRule="auto"/>
              <w:jc w:val="center"/>
              <w:rPr>
                <w:b w:val="0"/>
              </w:rPr>
            </w:pPr>
            <w:r w:rsidRPr="006327E1">
              <w:rPr>
                <w:b w:val="0"/>
              </w:rPr>
              <w:t>27</w:t>
            </w:r>
          </w:p>
        </w:tc>
        <w:tc>
          <w:tcPr>
            <w:tcW w:w="238" w:type="dxa"/>
          </w:tcPr>
          <w:p w:rsidR="00415BFD" w:rsidRPr="00CA5124"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Default="00415BFD" w:rsidP="002B127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7B3EAF">
              <w:t>0.00065</w:t>
            </w:r>
          </w:p>
        </w:tc>
        <w:tc>
          <w:tcPr>
            <w:tcW w:w="236" w:type="dxa"/>
            <w:vAlign w:val="center"/>
          </w:tcPr>
          <w:p w:rsidR="00415BFD" w:rsidRPr="00CA5124"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Default="00415BFD" w:rsidP="002B1271">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r w:rsidRPr="0022646F">
              <w:t>0.00026</w:t>
            </w:r>
          </w:p>
        </w:tc>
      </w:tr>
      <w:bookmarkEnd w:id="114"/>
    </w:tbl>
    <w:p w:rsidR="00415BFD" w:rsidRDefault="00415BFD" w:rsidP="00661CC4">
      <w:pPr>
        <w:rPr>
          <w:lang w:bidi="ar-SA"/>
        </w:rPr>
      </w:pPr>
    </w:p>
    <w:p w:rsidR="00415BFD" w:rsidRDefault="00415BFD" w:rsidP="00661CC4">
      <w:pPr>
        <w:rPr>
          <w:lang w:bidi="ar-SA"/>
        </w:rPr>
      </w:pPr>
    </w:p>
    <w:p w:rsidR="00415BFD" w:rsidRDefault="00415BFD" w:rsidP="00661CC4">
      <w:pPr>
        <w:spacing w:line="240" w:lineRule="auto"/>
        <w:jc w:val="left"/>
        <w:rPr>
          <w:lang w:bidi="ar-SA"/>
        </w:rPr>
      </w:pPr>
      <w:r>
        <w:rPr>
          <w:lang w:bidi="ar-SA"/>
        </w:rPr>
        <w:br w:type="page"/>
      </w:r>
    </w:p>
    <w:p w:rsidR="00415BFD" w:rsidRPr="0026412C" w:rsidRDefault="00415BFD" w:rsidP="002F4DFD">
      <w:pPr>
        <w:pStyle w:val="Heading3"/>
      </w:pPr>
      <w:bookmarkStart w:id="117" w:name="_Ref450828577"/>
      <w:bookmarkStart w:id="118" w:name="_Toc452066403"/>
      <w:r w:rsidRPr="0026412C">
        <w:lastRenderedPageBreak/>
        <w:t>Case fatality parameter</w:t>
      </w:r>
      <w:bookmarkEnd w:id="117"/>
      <w:bookmarkEnd w:id="118"/>
    </w:p>
    <w:p w:rsidR="00415BFD" w:rsidRPr="00873714" w:rsidRDefault="00415BFD" w:rsidP="00D0013B">
      <w:pPr>
        <w:rPr>
          <w:lang w:bidi="ar-SA"/>
        </w:rPr>
      </w:pPr>
      <w:r w:rsidRPr="0026412C">
        <w:rPr>
          <w:lang w:bidi="ar-SA"/>
        </w:rPr>
        <w:t xml:space="preserve">We calculated the case fatality </w:t>
      </w:r>
      <w:r w:rsidRPr="00873714">
        <w:rPr>
          <w:lang w:bidi="ar-SA"/>
        </w:rPr>
        <w:t>rate by rearranging the following equation used to calculate the relative risk of mortality for people with depression:</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3"/>
        <w:gridCol w:w="628"/>
      </w:tblGrid>
      <w:tr w:rsidR="00415BFD" w:rsidRPr="00873714" w:rsidTr="00873714">
        <w:trPr>
          <w:trHeight w:val="437"/>
        </w:trPr>
        <w:tc>
          <w:tcPr>
            <w:tcW w:w="7123" w:type="dxa"/>
            <w:shd w:val="clear" w:color="auto" w:fill="auto"/>
            <w:vAlign w:val="center"/>
          </w:tcPr>
          <w:p w:rsidR="00415BFD" w:rsidRPr="00873714" w:rsidRDefault="00415BFD" w:rsidP="00D7530F">
            <w:pPr>
              <w:pStyle w:val="MyEquation"/>
              <w:tabs>
                <w:tab w:val="clear" w:pos="1701"/>
                <w:tab w:val="clear" w:pos="3402"/>
              </w:tabs>
              <w:spacing w:before="240" w:after="120"/>
              <w:rPr>
                <w:rFonts w:ascii="Georgia" w:hAnsi="Georgia"/>
              </w:rPr>
            </w:pPr>
            <m:oMathPara>
              <m:oMath>
                <m:r>
                  <m:rPr>
                    <m:nor/>
                  </m:rPr>
                  <m:t>RR</m:t>
                </m:r>
                <m:r>
                  <m:t xml:space="preserve"> </m:t>
                </m:r>
                <m:r>
                  <m:rPr>
                    <m:aln/>
                  </m:rPr>
                  <m:t>=</m:t>
                </m:r>
                <m:r>
                  <m:rPr>
                    <m:nor/>
                  </m:rPr>
                  <m:t xml:space="preserve"> </m:t>
                </m:r>
                <m:f>
                  <m:fPr>
                    <m:ctrlPr>
                      <w:rPr>
                        <w:i/>
                      </w:rPr>
                    </m:ctrlPr>
                  </m:fPr>
                  <m:num>
                    <m:r>
                      <m:rPr>
                        <m:nor/>
                      </m:rPr>
                      <m:t>Mortality of people with depression</m:t>
                    </m:r>
                  </m:num>
                  <m:den>
                    <m:r>
                      <m:rPr>
                        <m:nor/>
                      </m:rPr>
                      <m:t>Mortality of the total population</m:t>
                    </m:r>
                  </m:den>
                </m:f>
                <m:r>
                  <m:rPr>
                    <m:sty m:val="p"/>
                  </m:rPr>
                  <w:br/>
                </m:r>
              </m:oMath>
              <m:oMath>
                <m:r>
                  <m:rPr>
                    <m:nor/>
                  </m:rPr>
                  <m:t>=</m:t>
                </m:r>
                <m:f>
                  <m:fPr>
                    <m:ctrlPr>
                      <w:rPr>
                        <w:i/>
                      </w:rPr>
                    </m:ctrlPr>
                  </m:fPr>
                  <m:num>
                    <m:r>
                      <m:rPr>
                        <m:nor/>
                      </m:rPr>
                      <m:t>M</m:t>
                    </m:r>
                    <m:r>
                      <m:t>+</m:t>
                    </m:r>
                    <m:r>
                      <m:rPr>
                        <m:nor/>
                      </m:rPr>
                      <m:t>CFR</m:t>
                    </m:r>
                  </m:num>
                  <m:den>
                    <m:r>
                      <m:rPr>
                        <m:nor/>
                      </m:rPr>
                      <m:t>M</m:t>
                    </m:r>
                  </m:den>
                </m:f>
              </m:oMath>
            </m:oMathPara>
          </w:p>
        </w:tc>
        <w:tc>
          <w:tcPr>
            <w:tcW w:w="628" w:type="dxa"/>
            <w:vAlign w:val="center"/>
          </w:tcPr>
          <w:p w:rsidR="00415BFD" w:rsidRPr="00873714" w:rsidRDefault="00415BFD" w:rsidP="00004908">
            <w:pPr>
              <w:pStyle w:val="Caption"/>
              <w:jc w:val="center"/>
            </w:pPr>
            <w:bookmarkStart w:id="119" w:name="_Ref433657841"/>
            <w:r w:rsidRPr="00873714">
              <w:t>(</w:t>
            </w:r>
            <w:fldSimple w:instr=" SEQ Equation \* ARABIC ">
              <w:r>
                <w:rPr>
                  <w:noProof/>
                </w:rPr>
                <w:t>4</w:t>
              </w:r>
            </w:fldSimple>
            <w:r w:rsidRPr="00873714">
              <w:t>)</w:t>
            </w:r>
            <w:bookmarkEnd w:id="119"/>
          </w:p>
        </w:tc>
      </w:tr>
    </w:tbl>
    <w:p w:rsidR="00415BFD" w:rsidRPr="00873714" w:rsidRDefault="00415BFD" w:rsidP="00D0013B">
      <w:pPr>
        <w:rPr>
          <w:lang w:bidi="ar-SA"/>
        </w:rPr>
      </w:pPr>
      <w:r>
        <w:rPr>
          <w:lang w:bidi="ar-SA"/>
        </w:rPr>
        <w:t>Where: RR</w:t>
      </w:r>
      <w:r w:rsidRPr="00873714">
        <w:rPr>
          <w:lang w:bidi="ar-SA"/>
        </w:rPr>
        <w:t xml:space="preserve"> is the </w:t>
      </w:r>
      <w:r>
        <w:rPr>
          <w:lang w:bidi="ar-SA"/>
        </w:rPr>
        <w:t>relative risk of mortality</w:t>
      </w:r>
      <w:r w:rsidRPr="00873714">
        <w:rPr>
          <w:lang w:bidi="ar-SA"/>
        </w:rPr>
        <w:t xml:space="preserve">; </w:t>
      </w:r>
      <w:r>
        <w:rPr>
          <w:lang w:bidi="ar-SA"/>
        </w:rPr>
        <w:t>M is the mortality rate for the total population; and CFR is the case fatality rate among</w:t>
      </w:r>
      <w:r w:rsidRPr="00873714">
        <w:rPr>
          <w:lang w:bidi="ar-SA"/>
        </w:rPr>
        <w:t xml:space="preserve"> people with major depression</w:t>
      </w:r>
      <w:r>
        <w:rPr>
          <w:lang w:bidi="ar-SA"/>
        </w:rPr>
        <w:t>.</w:t>
      </w:r>
      <w:r w:rsidRPr="00873714">
        <w:rPr>
          <w:lang w:bidi="ar-SA"/>
        </w:rPr>
        <w:t xml:space="preserve"> </w:t>
      </w:r>
      <w:r>
        <w:rPr>
          <w:lang w:bidi="ar-SA"/>
        </w:rPr>
        <w:t xml:space="preserve">Re-arranging Equation </w:t>
      </w:r>
      <w:r>
        <w:rPr>
          <w:lang w:bidi="ar-SA"/>
        </w:rPr>
        <w:fldChar w:fldCharType="begin"/>
      </w:r>
      <w:r>
        <w:rPr>
          <w:lang w:bidi="ar-SA"/>
        </w:rPr>
        <w:instrText xml:space="preserve"> REF _Ref433657841 \h </w:instrText>
      </w:r>
      <w:r>
        <w:rPr>
          <w:lang w:bidi="ar-SA"/>
        </w:rPr>
      </w:r>
      <w:r>
        <w:rPr>
          <w:lang w:bidi="ar-SA"/>
        </w:rPr>
        <w:fldChar w:fldCharType="separate"/>
      </w:r>
      <w:r w:rsidRPr="00873714">
        <w:t>(</w:t>
      </w:r>
      <w:r>
        <w:rPr>
          <w:noProof/>
        </w:rPr>
        <w:t>4</w:t>
      </w:r>
      <w:r w:rsidRPr="00873714">
        <w:t>)</w:t>
      </w:r>
      <w:r>
        <w:rPr>
          <w:lang w:bidi="ar-SA"/>
        </w:rPr>
        <w:fldChar w:fldCharType="end"/>
      </w:r>
      <w:r w:rsidRPr="00873714">
        <w:rPr>
          <w:lang w:bidi="ar-SA"/>
        </w:rPr>
        <w:t xml:space="preserve"> gives: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3"/>
        <w:gridCol w:w="628"/>
      </w:tblGrid>
      <w:tr w:rsidR="00415BFD" w:rsidRPr="00873714" w:rsidTr="00D7530F">
        <w:trPr>
          <w:trHeight w:val="702"/>
        </w:trPr>
        <w:tc>
          <w:tcPr>
            <w:tcW w:w="7123" w:type="dxa"/>
            <w:vAlign w:val="center"/>
          </w:tcPr>
          <w:p w:rsidR="00415BFD" w:rsidRPr="00873714" w:rsidRDefault="00415BFD" w:rsidP="00D7530F">
            <w:pPr>
              <w:pStyle w:val="MyEquation"/>
              <w:tabs>
                <w:tab w:val="clear" w:pos="1701"/>
                <w:tab w:val="clear" w:pos="3402"/>
              </w:tabs>
              <w:spacing w:before="240" w:after="120"/>
              <w:rPr>
                <w:rFonts w:ascii="Georgia" w:hAnsi="Georgia"/>
                <w:sz w:val="24"/>
              </w:rPr>
            </w:pPr>
            <m:oMathPara>
              <m:oMath>
                <m:r>
                  <m:rPr>
                    <m:nor/>
                  </m:rPr>
                  <m:t>CFR</m:t>
                </m:r>
                <m:r>
                  <m:t>=</m:t>
                </m:r>
                <m:r>
                  <m:rPr>
                    <m:nor/>
                  </m:rPr>
                  <m:t>M</m:t>
                </m:r>
                <m:r>
                  <m:t>×</m:t>
                </m:r>
                <m:r>
                  <m:rPr>
                    <m:nor/>
                  </m:rPr>
                  <m:t>(RR</m:t>
                </m:r>
                <m:r>
                  <m:t>-</m:t>
                </m:r>
                <m:r>
                  <m:rPr>
                    <m:nor/>
                  </m:rPr>
                  <m:t>1)</m:t>
                </m:r>
              </m:oMath>
            </m:oMathPara>
          </w:p>
        </w:tc>
        <w:tc>
          <w:tcPr>
            <w:tcW w:w="628" w:type="dxa"/>
            <w:vAlign w:val="center"/>
          </w:tcPr>
          <w:p w:rsidR="00415BFD" w:rsidRPr="00873714" w:rsidRDefault="00415BFD" w:rsidP="00F5391C">
            <w:pPr>
              <w:pStyle w:val="Caption"/>
              <w:jc w:val="center"/>
            </w:pPr>
            <w:bookmarkStart w:id="120" w:name="_Ref433658258"/>
            <w:r w:rsidRPr="00873714">
              <w:t>(</w:t>
            </w:r>
            <w:fldSimple w:instr=" SEQ Equation \* ARABIC ">
              <w:r>
                <w:rPr>
                  <w:noProof/>
                </w:rPr>
                <w:t>5</w:t>
              </w:r>
            </w:fldSimple>
            <w:r w:rsidRPr="00873714">
              <w:t>)</w:t>
            </w:r>
            <w:bookmarkEnd w:id="120"/>
          </w:p>
        </w:tc>
      </w:tr>
    </w:tbl>
    <w:p w:rsidR="00415BFD" w:rsidRPr="00873714" w:rsidRDefault="00415BFD" w:rsidP="00D0013B">
      <w:pPr>
        <w:rPr>
          <w:lang w:bidi="ar-SA"/>
        </w:rPr>
      </w:pPr>
    </w:p>
    <w:p w:rsidR="00415BFD" w:rsidRPr="00873714" w:rsidRDefault="00415BFD" w:rsidP="00D0013B">
      <w:pPr>
        <w:rPr>
          <w:lang w:bidi="ar-SA"/>
        </w:rPr>
      </w:pPr>
      <w:r>
        <w:rPr>
          <w:lang w:bidi="ar-SA"/>
        </w:rPr>
        <w:t xml:space="preserve">Based on Equation </w:t>
      </w:r>
      <w:r>
        <w:rPr>
          <w:lang w:bidi="ar-SA"/>
        </w:rPr>
        <w:fldChar w:fldCharType="begin"/>
      </w:r>
      <w:r>
        <w:rPr>
          <w:lang w:bidi="ar-SA"/>
        </w:rPr>
        <w:instrText xml:space="preserve"> REF _Ref433658258 \h </w:instrText>
      </w:r>
      <w:r>
        <w:rPr>
          <w:lang w:bidi="ar-SA"/>
        </w:rPr>
      </w:r>
      <w:r>
        <w:rPr>
          <w:lang w:bidi="ar-SA"/>
        </w:rPr>
        <w:fldChar w:fldCharType="separate"/>
      </w:r>
      <w:r w:rsidRPr="00873714">
        <w:t>(</w:t>
      </w:r>
      <w:r>
        <w:rPr>
          <w:noProof/>
        </w:rPr>
        <w:t>5</w:t>
      </w:r>
      <w:r w:rsidRPr="00873714">
        <w:t>)</w:t>
      </w:r>
      <w:r>
        <w:rPr>
          <w:lang w:bidi="ar-SA"/>
        </w:rPr>
        <w:fldChar w:fldCharType="end"/>
      </w:r>
      <w:r>
        <w:rPr>
          <w:lang w:bidi="ar-SA"/>
        </w:rPr>
        <w:t>, we calculated age- and sex-specific case fatality rates by: using</w:t>
      </w:r>
      <w:r w:rsidRPr="009211BA">
        <w:rPr>
          <w:lang w:bidi="ar-SA"/>
        </w:rPr>
        <w:t xml:space="preserve"> </w:t>
      </w:r>
      <w:r>
        <w:rPr>
          <w:lang w:bidi="ar-SA"/>
        </w:rPr>
        <w:t xml:space="preserve">mortality rate data (described in section </w:t>
      </w:r>
      <w:r>
        <w:rPr>
          <w:lang w:bidi="ar-SA"/>
        </w:rPr>
        <w:fldChar w:fldCharType="begin"/>
      </w:r>
      <w:r>
        <w:rPr>
          <w:lang w:bidi="ar-SA"/>
        </w:rPr>
        <w:instrText xml:space="preserve"> REF _Ref450828354 \n \h </w:instrText>
      </w:r>
      <w:r>
        <w:rPr>
          <w:lang w:bidi="ar-SA"/>
        </w:rPr>
      </w:r>
      <w:r>
        <w:rPr>
          <w:lang w:bidi="ar-SA"/>
        </w:rPr>
        <w:fldChar w:fldCharType="separate"/>
      </w:r>
      <w:r>
        <w:rPr>
          <w:lang w:bidi="ar-SA"/>
        </w:rPr>
        <w:t>4.4</w:t>
      </w:r>
      <w:r>
        <w:rPr>
          <w:lang w:bidi="ar-SA"/>
        </w:rPr>
        <w:fldChar w:fldCharType="end"/>
      </w:r>
      <w:r>
        <w:rPr>
          <w:lang w:bidi="ar-SA"/>
        </w:rPr>
        <w:t xml:space="preserve">); and applying a RR of mortality estimate of </w:t>
      </w:r>
      <w:r>
        <w:t xml:space="preserve">1.9 (95% CI: 1.6 - 2.2), which was </w:t>
      </w:r>
      <w:r>
        <w:rPr>
          <w:lang w:bidi="ar-SA"/>
        </w:rPr>
        <w:t xml:space="preserve">taken from a previous study </w:t>
      </w:r>
      <w:r>
        <w:rPr>
          <w:noProof/>
        </w:rPr>
        <w:t>[16]</w:t>
      </w:r>
      <w:r w:rsidRPr="00873714">
        <w:rPr>
          <w:lang w:bidi="ar-SA"/>
        </w:rPr>
        <w:t xml:space="preserve">. </w:t>
      </w:r>
      <w:r w:rsidRPr="00873714">
        <w:rPr>
          <w:lang w:bidi="ar-SA"/>
        </w:rPr>
        <w:fldChar w:fldCharType="begin"/>
      </w:r>
      <w:r w:rsidRPr="00873714">
        <w:rPr>
          <w:lang w:bidi="ar-SA"/>
        </w:rPr>
        <w:instrText xml:space="preserve"> REF _Ref432949394 \n \h  \* MERGEFORMAT </w:instrText>
      </w:r>
      <w:r w:rsidRPr="00873714">
        <w:rPr>
          <w:lang w:bidi="ar-SA"/>
        </w:rPr>
      </w:r>
      <w:r w:rsidRPr="00873714">
        <w:rPr>
          <w:lang w:bidi="ar-SA"/>
        </w:rPr>
        <w:fldChar w:fldCharType="separate"/>
      </w:r>
      <w:r>
        <w:rPr>
          <w:lang w:bidi="ar-SA"/>
        </w:rPr>
        <w:t>Table 14</w:t>
      </w:r>
      <w:r w:rsidRPr="00873714">
        <w:rPr>
          <w:lang w:bidi="ar-SA"/>
        </w:rPr>
        <w:fldChar w:fldCharType="end"/>
      </w:r>
      <w:r w:rsidRPr="00873714">
        <w:rPr>
          <w:lang w:bidi="ar-SA"/>
        </w:rPr>
        <w:t xml:space="preserve"> presents the </w:t>
      </w:r>
      <w:r>
        <w:rPr>
          <w:lang w:bidi="ar-SA"/>
        </w:rPr>
        <w:t>final case fatality rate</w:t>
      </w:r>
      <w:r w:rsidRPr="00873714">
        <w:rPr>
          <w:lang w:bidi="ar-SA"/>
        </w:rPr>
        <w:t xml:space="preserve"> estimates by age and sex. </w:t>
      </w:r>
    </w:p>
    <w:p w:rsidR="00415BFD" w:rsidRDefault="00415BFD" w:rsidP="009211BA">
      <w:pPr>
        <w:rPr>
          <w:lang w:bidi="ar-SA"/>
        </w:rPr>
      </w:pPr>
      <w:bookmarkStart w:id="121" w:name="_Ref432942462"/>
    </w:p>
    <w:p w:rsidR="00415BFD" w:rsidRDefault="00415BFD" w:rsidP="00415BFD">
      <w:pPr>
        <w:pStyle w:val="MyTable"/>
        <w:numPr>
          <w:ilvl w:val="3"/>
          <w:numId w:val="9"/>
        </w:numPr>
        <w:rPr>
          <w:lang w:bidi="ar-SA"/>
        </w:rPr>
      </w:pPr>
      <w:bookmarkStart w:id="122" w:name="_Ref432949394"/>
      <w:bookmarkStart w:id="123" w:name="_Toc452066459"/>
      <w:r>
        <w:rPr>
          <w:lang w:bidi="ar-SA"/>
        </w:rPr>
        <w:t>Case fatality</w:t>
      </w:r>
      <w:r w:rsidRPr="001E23EC">
        <w:rPr>
          <w:lang w:bidi="ar-SA"/>
        </w:rPr>
        <w:t xml:space="preserve"> rates for the 2013 Australian population</w:t>
      </w:r>
      <w:bookmarkEnd w:id="121"/>
      <w:r>
        <w:rPr>
          <w:lang w:bidi="ar-SA"/>
        </w:rPr>
        <w:t xml:space="preserve"> by age and sex</w:t>
      </w:r>
      <w:bookmarkEnd w:id="122"/>
      <w:bookmarkEnd w:id="123"/>
    </w:p>
    <w:tbl>
      <w:tblPr>
        <w:tblStyle w:val="MediumShading1-Accent1"/>
        <w:tblW w:w="0" w:type="auto"/>
        <w:jc w:val="center"/>
        <w:tblLook w:val="04A0" w:firstRow="1" w:lastRow="0" w:firstColumn="1" w:lastColumn="0" w:noHBand="0" w:noVBand="1"/>
      </w:tblPr>
      <w:tblGrid>
        <w:gridCol w:w="850"/>
        <w:gridCol w:w="238"/>
        <w:gridCol w:w="1247"/>
        <w:gridCol w:w="236"/>
        <w:gridCol w:w="1247"/>
      </w:tblGrid>
      <w:tr w:rsidR="00415BFD" w:rsidTr="001E23EC">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850" w:type="dxa"/>
            <w:vMerge w:val="restart"/>
            <w:vAlign w:val="center"/>
          </w:tcPr>
          <w:p w:rsidR="00415BFD" w:rsidRPr="004A6AA7" w:rsidRDefault="00415BFD" w:rsidP="005655C1">
            <w:pPr>
              <w:pStyle w:val="Tabletext"/>
              <w:jc w:val="center"/>
            </w:pPr>
            <w:r w:rsidRPr="004A6AA7">
              <w:t>Age</w:t>
            </w:r>
            <w:r>
              <w:t xml:space="preserve"> </w:t>
            </w:r>
            <w:r w:rsidRPr="004A6AA7">
              <w:t>(years)</w:t>
            </w:r>
          </w:p>
        </w:tc>
        <w:tc>
          <w:tcPr>
            <w:tcW w:w="238" w:type="dxa"/>
            <w:vAlign w:val="center"/>
          </w:tcPr>
          <w:p w:rsidR="00415BFD" w:rsidRPr="004A6AA7" w:rsidRDefault="00415BFD" w:rsidP="001E23EC">
            <w:pPr>
              <w:pStyle w:val="Tabletext"/>
              <w:jc w:val="center"/>
              <w:cnfStyle w:val="100000000000" w:firstRow="1" w:lastRow="0" w:firstColumn="0" w:lastColumn="0" w:oddVBand="0" w:evenVBand="0" w:oddHBand="0" w:evenHBand="0" w:firstRowFirstColumn="0" w:firstRowLastColumn="0" w:lastRowFirstColumn="0" w:lastRowLastColumn="0"/>
            </w:pPr>
          </w:p>
        </w:tc>
        <w:tc>
          <w:tcPr>
            <w:tcW w:w="2730" w:type="dxa"/>
            <w:gridSpan w:val="3"/>
            <w:vAlign w:val="center"/>
          </w:tcPr>
          <w:p w:rsidR="00415BFD" w:rsidRPr="004A6AA7" w:rsidRDefault="00415BFD" w:rsidP="001E23EC">
            <w:pPr>
              <w:pStyle w:val="Tabletext"/>
              <w:jc w:val="center"/>
              <w:cnfStyle w:val="100000000000" w:firstRow="1" w:lastRow="0" w:firstColumn="0" w:lastColumn="0" w:oddVBand="0" w:evenVBand="0" w:oddHBand="0" w:evenHBand="0" w:firstRowFirstColumn="0" w:firstRowLastColumn="0" w:lastRowFirstColumn="0" w:lastRowLastColumn="0"/>
            </w:pPr>
            <w:r w:rsidRPr="004A6AA7">
              <w:t xml:space="preserve">Australian </w:t>
            </w:r>
            <w:r>
              <w:t>sub</w:t>
            </w:r>
            <w:r w:rsidRPr="004A6AA7">
              <w:t>population</w:t>
            </w:r>
            <w:r>
              <w:t xml:space="preserve"> with depression</w:t>
            </w:r>
          </w:p>
        </w:tc>
      </w:tr>
      <w:tr w:rsidR="00415BFD" w:rsidRPr="004A6AA7" w:rsidTr="001E23EC">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850" w:type="dxa"/>
            <w:vMerge/>
            <w:vAlign w:val="center"/>
          </w:tcPr>
          <w:p w:rsidR="00415BFD" w:rsidRPr="004A6AA7" w:rsidRDefault="00415BFD" w:rsidP="001E23EC">
            <w:pPr>
              <w:pStyle w:val="Tabletext"/>
              <w:jc w:val="center"/>
            </w:pPr>
          </w:p>
        </w:tc>
        <w:tc>
          <w:tcPr>
            <w:tcW w:w="238" w:type="dxa"/>
            <w:shd w:val="clear" w:color="auto" w:fill="4F81BD" w:themeFill="accent1"/>
            <w:vAlign w:val="center"/>
          </w:tcPr>
          <w:p w:rsidR="00415BFD" w:rsidRPr="004A6AA7" w:rsidRDefault="00415BFD" w:rsidP="001E23EC">
            <w:pPr>
              <w:pStyle w:val="Tabletext"/>
              <w:jc w:val="center"/>
              <w:cnfStyle w:val="000000100000" w:firstRow="0" w:lastRow="0" w:firstColumn="0" w:lastColumn="0" w:oddVBand="0" w:evenVBand="0" w:oddHBand="1" w:evenHBand="0" w:firstRowFirstColumn="0" w:firstRowLastColumn="0" w:lastRowFirstColumn="0" w:lastRowLastColumn="0"/>
            </w:pPr>
          </w:p>
        </w:tc>
        <w:tc>
          <w:tcPr>
            <w:tcW w:w="1247" w:type="dxa"/>
            <w:shd w:val="clear" w:color="auto" w:fill="4F81BD" w:themeFill="accent1"/>
            <w:vAlign w:val="center"/>
          </w:tcPr>
          <w:p w:rsidR="00415BFD" w:rsidRPr="001E23EC" w:rsidRDefault="00415BFD" w:rsidP="001E23EC">
            <w:pPr>
              <w:pStyle w:val="Tabletext"/>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1E23EC">
              <w:rPr>
                <w:b/>
                <w:color w:val="FFFFFF" w:themeColor="background1"/>
              </w:rPr>
              <w:t>Male</w:t>
            </w:r>
          </w:p>
        </w:tc>
        <w:tc>
          <w:tcPr>
            <w:tcW w:w="236" w:type="dxa"/>
            <w:shd w:val="clear" w:color="auto" w:fill="4F81BD" w:themeFill="accent1"/>
            <w:vAlign w:val="center"/>
          </w:tcPr>
          <w:p w:rsidR="00415BFD" w:rsidRPr="001E23EC" w:rsidRDefault="00415BFD" w:rsidP="001E23EC">
            <w:pPr>
              <w:pStyle w:val="Tabletext"/>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p>
        </w:tc>
        <w:tc>
          <w:tcPr>
            <w:tcW w:w="1247" w:type="dxa"/>
            <w:shd w:val="clear" w:color="auto" w:fill="4F81BD" w:themeFill="accent1"/>
            <w:vAlign w:val="center"/>
          </w:tcPr>
          <w:p w:rsidR="00415BFD" w:rsidRPr="001E23EC" w:rsidRDefault="00415BFD" w:rsidP="001E23EC">
            <w:pPr>
              <w:pStyle w:val="Tabletext"/>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1E23EC">
              <w:rPr>
                <w:b/>
                <w:color w:val="FFFFFF" w:themeColor="background1"/>
              </w:rPr>
              <w:t>Female</w:t>
            </w:r>
          </w:p>
        </w:tc>
      </w:tr>
      <w:tr w:rsidR="00415BFD" w:rsidTr="0087775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Default="00415BFD" w:rsidP="00D72BC6">
            <w:pPr>
              <w:pStyle w:val="Tabletext"/>
              <w:spacing w:beforeLines="20" w:before="48" w:afterLines="20" w:after="48" w:line="240" w:lineRule="auto"/>
              <w:jc w:val="center"/>
            </w:pPr>
            <w:r>
              <w:t>11</w:t>
            </w:r>
          </w:p>
        </w:tc>
        <w:tc>
          <w:tcPr>
            <w:tcW w:w="238" w:type="dxa"/>
            <w:vAlign w:val="center"/>
          </w:tcPr>
          <w:p w:rsidR="00415BFD" w:rsidRPr="00CA5124" w:rsidRDefault="00415BFD" w:rsidP="00D72BC6">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332C89"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332C89">
              <w:t>0.00008</w:t>
            </w:r>
          </w:p>
        </w:tc>
        <w:tc>
          <w:tcPr>
            <w:tcW w:w="236" w:type="dxa"/>
            <w:vAlign w:val="center"/>
          </w:tcPr>
          <w:p w:rsidR="00415BFD" w:rsidRPr="00E82698"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495CE6"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495CE6">
              <w:t>0.00007</w:t>
            </w:r>
          </w:p>
        </w:tc>
      </w:tr>
      <w:tr w:rsidR="00415BFD" w:rsidTr="008777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Default="00415BFD" w:rsidP="00D72BC6">
            <w:pPr>
              <w:pStyle w:val="Tabletext"/>
              <w:spacing w:beforeLines="20" w:before="48" w:afterLines="20" w:after="48" w:line="240" w:lineRule="auto"/>
              <w:jc w:val="center"/>
            </w:pPr>
            <w:r>
              <w:t>12</w:t>
            </w:r>
          </w:p>
        </w:tc>
        <w:tc>
          <w:tcPr>
            <w:tcW w:w="238" w:type="dxa"/>
            <w:vAlign w:val="center"/>
          </w:tcPr>
          <w:p w:rsidR="00415BFD" w:rsidRPr="00CA5124" w:rsidRDefault="00415BFD" w:rsidP="00D72BC6">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332C89"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332C89">
              <w:t>0.00010</w:t>
            </w:r>
          </w:p>
        </w:tc>
        <w:tc>
          <w:tcPr>
            <w:tcW w:w="236" w:type="dxa"/>
            <w:vAlign w:val="center"/>
          </w:tcPr>
          <w:p w:rsidR="00415BFD" w:rsidRPr="00E82698"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495CE6"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495CE6">
              <w:t>0.00007</w:t>
            </w:r>
          </w:p>
        </w:tc>
      </w:tr>
      <w:tr w:rsidR="00415BFD" w:rsidTr="0087775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Default="00415BFD" w:rsidP="00D72BC6">
            <w:pPr>
              <w:pStyle w:val="Tabletext"/>
              <w:spacing w:beforeLines="20" w:before="48" w:afterLines="20" w:after="48" w:line="240" w:lineRule="auto"/>
              <w:jc w:val="center"/>
            </w:pPr>
            <w:r>
              <w:t>13</w:t>
            </w:r>
          </w:p>
        </w:tc>
        <w:tc>
          <w:tcPr>
            <w:tcW w:w="238" w:type="dxa"/>
            <w:vAlign w:val="center"/>
          </w:tcPr>
          <w:p w:rsidR="00415BFD" w:rsidRPr="00CA5124" w:rsidRDefault="00415BFD" w:rsidP="00D72BC6">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332C89"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332C89">
              <w:t>0.00014</w:t>
            </w:r>
          </w:p>
        </w:tc>
        <w:tc>
          <w:tcPr>
            <w:tcW w:w="236" w:type="dxa"/>
            <w:vAlign w:val="center"/>
          </w:tcPr>
          <w:p w:rsidR="00415BFD" w:rsidRPr="00E82698"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495CE6"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495CE6">
              <w:t>0.00009</w:t>
            </w:r>
          </w:p>
        </w:tc>
      </w:tr>
      <w:tr w:rsidR="00415BFD" w:rsidTr="008777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Default="00415BFD" w:rsidP="00D72BC6">
            <w:pPr>
              <w:pStyle w:val="Tabletext"/>
              <w:spacing w:beforeLines="20" w:before="48" w:afterLines="20" w:after="48" w:line="240" w:lineRule="auto"/>
              <w:jc w:val="center"/>
            </w:pPr>
            <w:r>
              <w:t>14</w:t>
            </w:r>
          </w:p>
        </w:tc>
        <w:tc>
          <w:tcPr>
            <w:tcW w:w="238" w:type="dxa"/>
            <w:vAlign w:val="center"/>
          </w:tcPr>
          <w:p w:rsidR="00415BFD" w:rsidRPr="00CA5124" w:rsidRDefault="00415BFD" w:rsidP="00D72BC6">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332C89"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332C89">
              <w:t>0.00020</w:t>
            </w:r>
          </w:p>
        </w:tc>
        <w:tc>
          <w:tcPr>
            <w:tcW w:w="236" w:type="dxa"/>
            <w:vAlign w:val="center"/>
          </w:tcPr>
          <w:p w:rsidR="00415BFD" w:rsidRPr="00E82698"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495CE6"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495CE6">
              <w:t>0.00012</w:t>
            </w:r>
          </w:p>
        </w:tc>
      </w:tr>
      <w:tr w:rsidR="00415BFD" w:rsidTr="0087775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Default="00415BFD" w:rsidP="00D72BC6">
            <w:pPr>
              <w:pStyle w:val="Tabletext"/>
              <w:spacing w:beforeLines="20" w:before="48" w:afterLines="20" w:after="48" w:line="240" w:lineRule="auto"/>
              <w:jc w:val="center"/>
            </w:pPr>
            <w:r>
              <w:t>15</w:t>
            </w:r>
          </w:p>
        </w:tc>
        <w:tc>
          <w:tcPr>
            <w:tcW w:w="238" w:type="dxa"/>
            <w:vAlign w:val="center"/>
          </w:tcPr>
          <w:p w:rsidR="00415BFD" w:rsidRPr="00CA5124" w:rsidRDefault="00415BFD" w:rsidP="00D72BC6">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332C89"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332C89">
              <w:t>0.00026</w:t>
            </w:r>
          </w:p>
        </w:tc>
        <w:tc>
          <w:tcPr>
            <w:tcW w:w="236" w:type="dxa"/>
            <w:vAlign w:val="center"/>
          </w:tcPr>
          <w:p w:rsidR="00415BFD" w:rsidRPr="00E82698"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495CE6"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495CE6">
              <w:t>0.00015</w:t>
            </w:r>
          </w:p>
        </w:tc>
      </w:tr>
      <w:tr w:rsidR="00415BFD" w:rsidTr="008777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Default="00415BFD" w:rsidP="00D72BC6">
            <w:pPr>
              <w:pStyle w:val="Tabletext"/>
              <w:spacing w:beforeLines="20" w:before="48" w:afterLines="20" w:after="48" w:line="240" w:lineRule="auto"/>
              <w:jc w:val="center"/>
            </w:pPr>
            <w:r>
              <w:t>16</w:t>
            </w:r>
          </w:p>
        </w:tc>
        <w:tc>
          <w:tcPr>
            <w:tcW w:w="238" w:type="dxa"/>
            <w:vAlign w:val="center"/>
          </w:tcPr>
          <w:p w:rsidR="00415BFD" w:rsidRPr="00CA5124" w:rsidRDefault="00415BFD" w:rsidP="00D72BC6">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332C89"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332C89">
              <w:t>0.00032</w:t>
            </w:r>
          </w:p>
        </w:tc>
        <w:tc>
          <w:tcPr>
            <w:tcW w:w="236" w:type="dxa"/>
            <w:vAlign w:val="center"/>
          </w:tcPr>
          <w:p w:rsidR="00415BFD" w:rsidRPr="00E82698"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495CE6"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495CE6">
              <w:t>0.00017</w:t>
            </w:r>
          </w:p>
        </w:tc>
      </w:tr>
      <w:tr w:rsidR="00415BFD" w:rsidTr="0087775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Default="00415BFD" w:rsidP="00D72BC6">
            <w:pPr>
              <w:pStyle w:val="Tabletext"/>
              <w:spacing w:beforeLines="20" w:before="48" w:afterLines="20" w:after="48" w:line="240" w:lineRule="auto"/>
              <w:jc w:val="center"/>
            </w:pPr>
            <w:r>
              <w:t>17</w:t>
            </w:r>
          </w:p>
        </w:tc>
        <w:tc>
          <w:tcPr>
            <w:tcW w:w="238" w:type="dxa"/>
            <w:vAlign w:val="center"/>
          </w:tcPr>
          <w:p w:rsidR="00415BFD" w:rsidRPr="00CA5124" w:rsidRDefault="00415BFD" w:rsidP="00D72BC6">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332C89"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332C89">
              <w:t>0.00038</w:t>
            </w:r>
          </w:p>
        </w:tc>
        <w:tc>
          <w:tcPr>
            <w:tcW w:w="236" w:type="dxa"/>
            <w:vAlign w:val="center"/>
          </w:tcPr>
          <w:p w:rsidR="00415BFD" w:rsidRPr="00E82698"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495CE6"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495CE6">
              <w:t>0.00020</w:t>
            </w:r>
          </w:p>
        </w:tc>
      </w:tr>
      <w:tr w:rsidR="00415BFD" w:rsidTr="008777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Default="00415BFD" w:rsidP="00D72BC6">
            <w:pPr>
              <w:pStyle w:val="Tabletext"/>
              <w:spacing w:beforeLines="20" w:before="48" w:afterLines="20" w:after="48" w:line="240" w:lineRule="auto"/>
              <w:jc w:val="center"/>
            </w:pPr>
            <w:r>
              <w:t>18</w:t>
            </w:r>
          </w:p>
        </w:tc>
        <w:tc>
          <w:tcPr>
            <w:tcW w:w="238" w:type="dxa"/>
            <w:vAlign w:val="center"/>
          </w:tcPr>
          <w:p w:rsidR="00415BFD" w:rsidRPr="00CA5124" w:rsidRDefault="00415BFD" w:rsidP="00D72BC6">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332C89"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332C89">
              <w:t>0.00042</w:t>
            </w:r>
          </w:p>
        </w:tc>
        <w:tc>
          <w:tcPr>
            <w:tcW w:w="236" w:type="dxa"/>
            <w:vAlign w:val="center"/>
          </w:tcPr>
          <w:p w:rsidR="00415BFD" w:rsidRPr="00E82698"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495CE6"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495CE6">
              <w:t>0.00021</w:t>
            </w:r>
          </w:p>
        </w:tc>
      </w:tr>
      <w:tr w:rsidR="00415BFD" w:rsidTr="0087775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Default="00415BFD" w:rsidP="00D72BC6">
            <w:pPr>
              <w:pStyle w:val="Tabletext"/>
              <w:spacing w:beforeLines="20" w:before="48" w:afterLines="20" w:after="48" w:line="240" w:lineRule="auto"/>
              <w:jc w:val="center"/>
            </w:pPr>
            <w:r>
              <w:t>19</w:t>
            </w:r>
          </w:p>
        </w:tc>
        <w:tc>
          <w:tcPr>
            <w:tcW w:w="238" w:type="dxa"/>
            <w:vAlign w:val="center"/>
          </w:tcPr>
          <w:p w:rsidR="00415BFD" w:rsidRPr="00CA5124" w:rsidRDefault="00415BFD" w:rsidP="00D72BC6">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332C89"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332C89">
              <w:t>0.00046</w:t>
            </w:r>
          </w:p>
        </w:tc>
        <w:tc>
          <w:tcPr>
            <w:tcW w:w="236" w:type="dxa"/>
            <w:vAlign w:val="center"/>
          </w:tcPr>
          <w:p w:rsidR="00415BFD" w:rsidRPr="00E82698"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495CE6"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495CE6">
              <w:t>0.00022</w:t>
            </w:r>
          </w:p>
        </w:tc>
      </w:tr>
      <w:tr w:rsidR="00415BFD" w:rsidTr="008777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Default="00415BFD" w:rsidP="00D72BC6">
            <w:pPr>
              <w:pStyle w:val="Tabletext"/>
              <w:spacing w:beforeLines="20" w:before="48" w:afterLines="20" w:after="48" w:line="240" w:lineRule="auto"/>
              <w:jc w:val="center"/>
            </w:pPr>
            <w:r>
              <w:t>20</w:t>
            </w:r>
          </w:p>
        </w:tc>
        <w:tc>
          <w:tcPr>
            <w:tcW w:w="238" w:type="dxa"/>
            <w:vAlign w:val="center"/>
          </w:tcPr>
          <w:p w:rsidR="00415BFD" w:rsidRPr="00CA5124" w:rsidRDefault="00415BFD" w:rsidP="00D72BC6">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332C89"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332C89">
              <w:t>0.00048</w:t>
            </w:r>
          </w:p>
        </w:tc>
        <w:tc>
          <w:tcPr>
            <w:tcW w:w="236" w:type="dxa"/>
            <w:vAlign w:val="center"/>
          </w:tcPr>
          <w:p w:rsidR="00415BFD" w:rsidRPr="00E82698"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495CE6"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495CE6">
              <w:t>0.00022</w:t>
            </w:r>
          </w:p>
        </w:tc>
      </w:tr>
      <w:tr w:rsidR="00415BFD" w:rsidTr="0087775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Default="00415BFD" w:rsidP="00D72BC6">
            <w:pPr>
              <w:pStyle w:val="Tabletext"/>
              <w:spacing w:beforeLines="20" w:before="48" w:afterLines="20" w:after="48" w:line="240" w:lineRule="auto"/>
              <w:jc w:val="center"/>
            </w:pPr>
            <w:r>
              <w:t>21</w:t>
            </w:r>
          </w:p>
        </w:tc>
        <w:tc>
          <w:tcPr>
            <w:tcW w:w="238" w:type="dxa"/>
            <w:vAlign w:val="center"/>
          </w:tcPr>
          <w:p w:rsidR="00415BFD" w:rsidRPr="00CA5124" w:rsidRDefault="00415BFD" w:rsidP="00D72BC6">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332C89"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332C89">
              <w:t>0.00050</w:t>
            </w:r>
          </w:p>
        </w:tc>
        <w:tc>
          <w:tcPr>
            <w:tcW w:w="236" w:type="dxa"/>
            <w:vAlign w:val="center"/>
          </w:tcPr>
          <w:p w:rsidR="00415BFD" w:rsidRPr="00E82698"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495CE6"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495CE6">
              <w:t>0.00023</w:t>
            </w:r>
          </w:p>
        </w:tc>
      </w:tr>
      <w:tr w:rsidR="00415BFD" w:rsidTr="008777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Default="00415BFD" w:rsidP="00D72BC6">
            <w:pPr>
              <w:pStyle w:val="Tabletext"/>
              <w:spacing w:beforeLines="20" w:before="48" w:afterLines="20" w:after="48" w:line="240" w:lineRule="auto"/>
              <w:jc w:val="center"/>
            </w:pPr>
            <w:r>
              <w:t>22</w:t>
            </w:r>
          </w:p>
        </w:tc>
        <w:tc>
          <w:tcPr>
            <w:tcW w:w="238" w:type="dxa"/>
            <w:vAlign w:val="center"/>
          </w:tcPr>
          <w:p w:rsidR="00415BFD" w:rsidRPr="00CA5124" w:rsidRDefault="00415BFD" w:rsidP="00D72BC6">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332C89"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332C89">
              <w:t>0.00052</w:t>
            </w:r>
          </w:p>
        </w:tc>
        <w:tc>
          <w:tcPr>
            <w:tcW w:w="236" w:type="dxa"/>
            <w:vAlign w:val="center"/>
          </w:tcPr>
          <w:p w:rsidR="00415BFD" w:rsidRPr="00E82698"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495CE6"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495CE6">
              <w:t>0.00023</w:t>
            </w:r>
          </w:p>
        </w:tc>
      </w:tr>
      <w:tr w:rsidR="00415BFD" w:rsidTr="0087775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Default="00415BFD" w:rsidP="00D72BC6">
            <w:pPr>
              <w:pStyle w:val="Tabletext"/>
              <w:spacing w:beforeLines="20" w:before="48" w:afterLines="20" w:after="48" w:line="240" w:lineRule="auto"/>
              <w:jc w:val="center"/>
            </w:pPr>
            <w:r>
              <w:t>23</w:t>
            </w:r>
          </w:p>
        </w:tc>
        <w:tc>
          <w:tcPr>
            <w:tcW w:w="238" w:type="dxa"/>
            <w:vAlign w:val="center"/>
          </w:tcPr>
          <w:p w:rsidR="00415BFD" w:rsidRPr="00CA5124" w:rsidRDefault="00415BFD" w:rsidP="00D72BC6">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332C89"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332C89">
              <w:t>0.00055</w:t>
            </w:r>
          </w:p>
        </w:tc>
        <w:tc>
          <w:tcPr>
            <w:tcW w:w="236" w:type="dxa"/>
            <w:vAlign w:val="center"/>
          </w:tcPr>
          <w:p w:rsidR="00415BFD" w:rsidRPr="00E82698"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495CE6"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495CE6">
              <w:t>0.00023</w:t>
            </w:r>
          </w:p>
        </w:tc>
      </w:tr>
      <w:tr w:rsidR="00415BFD" w:rsidTr="008777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Default="00415BFD" w:rsidP="00D72BC6">
            <w:pPr>
              <w:pStyle w:val="Tabletext"/>
              <w:spacing w:beforeLines="20" w:before="48" w:afterLines="20" w:after="48" w:line="240" w:lineRule="auto"/>
              <w:jc w:val="center"/>
            </w:pPr>
            <w:r>
              <w:t>24</w:t>
            </w:r>
          </w:p>
        </w:tc>
        <w:tc>
          <w:tcPr>
            <w:tcW w:w="238" w:type="dxa"/>
            <w:vAlign w:val="center"/>
          </w:tcPr>
          <w:p w:rsidR="00415BFD" w:rsidRPr="00CA5124" w:rsidRDefault="00415BFD" w:rsidP="00D72BC6">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332C89"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332C89">
              <w:t>0.00057</w:t>
            </w:r>
          </w:p>
        </w:tc>
        <w:tc>
          <w:tcPr>
            <w:tcW w:w="236" w:type="dxa"/>
            <w:vAlign w:val="center"/>
          </w:tcPr>
          <w:p w:rsidR="00415BFD" w:rsidRPr="00E82698"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495CE6"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495CE6">
              <w:t>0.00023</w:t>
            </w:r>
          </w:p>
        </w:tc>
      </w:tr>
      <w:tr w:rsidR="00415BFD" w:rsidTr="0087775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Default="00415BFD" w:rsidP="00D72BC6">
            <w:pPr>
              <w:pStyle w:val="Tabletext"/>
              <w:spacing w:beforeLines="20" w:before="48" w:afterLines="20" w:after="48" w:line="240" w:lineRule="auto"/>
              <w:jc w:val="center"/>
            </w:pPr>
            <w:r>
              <w:t>25</w:t>
            </w:r>
          </w:p>
        </w:tc>
        <w:tc>
          <w:tcPr>
            <w:tcW w:w="238" w:type="dxa"/>
            <w:vAlign w:val="center"/>
          </w:tcPr>
          <w:p w:rsidR="00415BFD" w:rsidRPr="00CA5124" w:rsidRDefault="00415BFD" w:rsidP="00D72BC6">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332C89"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332C89">
              <w:t>0.00058</w:t>
            </w:r>
          </w:p>
        </w:tc>
        <w:tc>
          <w:tcPr>
            <w:tcW w:w="236" w:type="dxa"/>
            <w:vAlign w:val="center"/>
          </w:tcPr>
          <w:p w:rsidR="00415BFD" w:rsidRPr="00E82698"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495CE6"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495CE6">
              <w:t>0.00024</w:t>
            </w:r>
          </w:p>
        </w:tc>
      </w:tr>
      <w:tr w:rsidR="00415BFD" w:rsidTr="008777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Default="00415BFD" w:rsidP="00D72BC6">
            <w:pPr>
              <w:pStyle w:val="Tabletext"/>
              <w:spacing w:beforeLines="20" w:before="48" w:afterLines="20" w:after="48" w:line="240" w:lineRule="auto"/>
              <w:jc w:val="center"/>
            </w:pPr>
            <w:r>
              <w:t>26</w:t>
            </w:r>
          </w:p>
        </w:tc>
        <w:tc>
          <w:tcPr>
            <w:tcW w:w="238" w:type="dxa"/>
            <w:vAlign w:val="center"/>
          </w:tcPr>
          <w:p w:rsidR="00415BFD" w:rsidRPr="00CA5124" w:rsidRDefault="00415BFD" w:rsidP="00D72BC6">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332C89"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332C89">
              <w:t>0.00060</w:t>
            </w:r>
          </w:p>
        </w:tc>
        <w:tc>
          <w:tcPr>
            <w:tcW w:w="236" w:type="dxa"/>
            <w:vAlign w:val="center"/>
          </w:tcPr>
          <w:p w:rsidR="00415BFD" w:rsidRPr="00E82698"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247" w:type="dxa"/>
            <w:vAlign w:val="center"/>
          </w:tcPr>
          <w:p w:rsidR="00415BFD" w:rsidRPr="00495CE6" w:rsidRDefault="00415BFD" w:rsidP="0087775F">
            <w:pPr>
              <w:pStyle w:val="Tabletext"/>
              <w:spacing w:before="6" w:after="6" w:line="240" w:lineRule="auto"/>
              <w:jc w:val="center"/>
              <w:cnfStyle w:val="000000100000" w:firstRow="0" w:lastRow="0" w:firstColumn="0" w:lastColumn="0" w:oddVBand="0" w:evenVBand="0" w:oddHBand="1" w:evenHBand="0" w:firstRowFirstColumn="0" w:firstRowLastColumn="0" w:lastRowFirstColumn="0" w:lastRowLastColumn="0"/>
            </w:pPr>
            <w:r w:rsidRPr="00495CE6">
              <w:t>0.00024</w:t>
            </w:r>
          </w:p>
        </w:tc>
      </w:tr>
      <w:tr w:rsidR="00415BFD" w:rsidTr="0087775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rsidR="00415BFD" w:rsidRDefault="00415BFD" w:rsidP="00D72BC6">
            <w:pPr>
              <w:pStyle w:val="Tabletext"/>
              <w:spacing w:beforeLines="20" w:before="48" w:afterLines="20" w:after="48" w:line="240" w:lineRule="auto"/>
              <w:jc w:val="center"/>
            </w:pPr>
            <w:r>
              <w:t>27</w:t>
            </w:r>
          </w:p>
        </w:tc>
        <w:tc>
          <w:tcPr>
            <w:tcW w:w="238" w:type="dxa"/>
            <w:vAlign w:val="center"/>
          </w:tcPr>
          <w:p w:rsidR="00415BFD" w:rsidRPr="00CA5124" w:rsidRDefault="00415BFD" w:rsidP="00D72BC6">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332C89">
              <w:t>0.00061</w:t>
            </w:r>
          </w:p>
        </w:tc>
        <w:tc>
          <w:tcPr>
            <w:tcW w:w="236" w:type="dxa"/>
            <w:vAlign w:val="center"/>
          </w:tcPr>
          <w:p w:rsidR="00415BFD" w:rsidRPr="00E82698"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p>
        </w:tc>
        <w:tc>
          <w:tcPr>
            <w:tcW w:w="1247" w:type="dxa"/>
            <w:vAlign w:val="center"/>
          </w:tcPr>
          <w:p w:rsidR="00415BFD" w:rsidRPr="00495CE6" w:rsidRDefault="00415BFD" w:rsidP="0087775F">
            <w:pPr>
              <w:pStyle w:val="Tabletext"/>
              <w:spacing w:before="6" w:after="6" w:line="240" w:lineRule="auto"/>
              <w:jc w:val="center"/>
              <w:cnfStyle w:val="000000010000" w:firstRow="0" w:lastRow="0" w:firstColumn="0" w:lastColumn="0" w:oddVBand="0" w:evenVBand="0" w:oddHBand="0" w:evenHBand="1" w:firstRowFirstColumn="0" w:firstRowLastColumn="0" w:lastRowFirstColumn="0" w:lastRowLastColumn="0"/>
            </w:pPr>
            <w:r w:rsidRPr="00495CE6">
              <w:t>0.00024</w:t>
            </w:r>
          </w:p>
        </w:tc>
      </w:tr>
    </w:tbl>
    <w:p w:rsidR="00415BFD" w:rsidRDefault="00415BFD">
      <w:pPr>
        <w:spacing w:line="240" w:lineRule="auto"/>
        <w:jc w:val="left"/>
        <w:rPr>
          <w:lang w:bidi="ar-SA"/>
        </w:rPr>
      </w:pPr>
      <w:r>
        <w:rPr>
          <w:lang w:bidi="ar-SA"/>
        </w:rPr>
        <w:br w:type="page"/>
      </w:r>
    </w:p>
    <w:p w:rsidR="00415BFD" w:rsidRPr="00D0013B" w:rsidRDefault="00415BFD" w:rsidP="00D0013B">
      <w:pPr>
        <w:pStyle w:val="Heading3"/>
      </w:pPr>
      <w:bookmarkStart w:id="124" w:name="_Ref450830532"/>
      <w:bookmarkStart w:id="125" w:name="_Toc452066404"/>
      <w:r>
        <w:lastRenderedPageBreak/>
        <w:t>Remission parameter</w:t>
      </w:r>
      <w:bookmarkEnd w:id="124"/>
      <w:bookmarkEnd w:id="125"/>
    </w:p>
    <w:p w:rsidR="00415BFD" w:rsidRPr="00AD11CA" w:rsidRDefault="00415BFD" w:rsidP="00DA1F62">
      <w:r>
        <w:t xml:space="preserve">In our models, the remission rate was calculated by using the following equation, which relies on the duration and case fatality estimates calculated in sections </w:t>
      </w:r>
      <w:r>
        <w:fldChar w:fldCharType="begin"/>
      </w:r>
      <w:r>
        <w:instrText xml:space="preserve"> REF _Ref450825487 \n \h </w:instrText>
      </w:r>
      <w:r>
        <w:fldChar w:fldCharType="separate"/>
      </w:r>
      <w:r>
        <w:t>4.2</w:t>
      </w:r>
      <w:r>
        <w:fldChar w:fldCharType="end"/>
      </w:r>
      <w:r>
        <w:t xml:space="preserve"> and </w:t>
      </w:r>
      <w:r>
        <w:fldChar w:fldCharType="begin"/>
      </w:r>
      <w:r>
        <w:instrText xml:space="preserve"> REF _Ref450828577 \n \h </w:instrText>
      </w:r>
      <w:r>
        <w:fldChar w:fldCharType="separate"/>
      </w:r>
      <w:r>
        <w:t>4.5</w:t>
      </w:r>
      <w:r>
        <w:fldChar w:fldCharType="end"/>
      </w:r>
      <w:r>
        <w: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3"/>
        <w:gridCol w:w="628"/>
      </w:tblGrid>
      <w:tr w:rsidR="00415BFD" w:rsidRPr="0038332E" w:rsidTr="009C7FE7">
        <w:trPr>
          <w:trHeight w:val="437"/>
        </w:trPr>
        <w:tc>
          <w:tcPr>
            <w:tcW w:w="7123" w:type="dxa"/>
            <w:vAlign w:val="center"/>
          </w:tcPr>
          <w:p w:rsidR="00415BFD" w:rsidRPr="0038332E" w:rsidRDefault="00415BFD" w:rsidP="007C4450">
            <w:pPr>
              <w:pStyle w:val="MyEquation"/>
            </w:pPr>
            <m:oMathPara>
              <m:oMath>
                <m:r>
                  <m:rPr>
                    <m:nor/>
                  </m:rPr>
                  <m:t xml:space="preserve">remission  =  </m:t>
                </m:r>
                <m:f>
                  <m:fPr>
                    <m:ctrlPr/>
                  </m:fPr>
                  <m:num>
                    <m:r>
                      <m:rPr>
                        <m:nor/>
                      </m:rPr>
                      <m:t>1</m:t>
                    </m:r>
                  </m:num>
                  <m:den>
                    <m:r>
                      <m:rPr>
                        <m:nor/>
                      </m:rPr>
                      <m:t>duration</m:t>
                    </m:r>
                  </m:den>
                </m:f>
                <m:r>
                  <m:rPr>
                    <m:nor/>
                  </m:rPr>
                  <m:t xml:space="preserve"> </m:t>
                </m:r>
                <m:r>
                  <m:t>-</m:t>
                </m:r>
                <m:r>
                  <m:rPr>
                    <m:nor/>
                  </m:rPr>
                  <m:t xml:space="preserve"> case fatality</m:t>
                </m:r>
              </m:oMath>
            </m:oMathPara>
          </w:p>
        </w:tc>
        <w:tc>
          <w:tcPr>
            <w:tcW w:w="628" w:type="dxa"/>
            <w:vAlign w:val="center"/>
          </w:tcPr>
          <w:p w:rsidR="00415BFD" w:rsidRPr="0038332E" w:rsidRDefault="00415BFD" w:rsidP="009C7FE7">
            <w:pPr>
              <w:pStyle w:val="Caption"/>
              <w:jc w:val="center"/>
            </w:pPr>
            <w:r w:rsidRPr="0038332E">
              <w:t>(</w:t>
            </w:r>
            <w:fldSimple w:instr=" SEQ Equation \* ARABIC ">
              <w:r>
                <w:rPr>
                  <w:noProof/>
                </w:rPr>
                <w:t>6</w:t>
              </w:r>
            </w:fldSimple>
            <w:r>
              <w:t>)</w:t>
            </w:r>
          </w:p>
        </w:tc>
      </w:tr>
    </w:tbl>
    <w:p w:rsidR="00415BFD" w:rsidRDefault="00415BFD" w:rsidP="00DA1F62"/>
    <w:p w:rsidR="00415BFD" w:rsidRDefault="00415BFD" w:rsidP="00165B7B">
      <w:pPr>
        <w:pStyle w:val="Heading3"/>
      </w:pPr>
      <w:bookmarkStart w:id="126" w:name="_Toc452066405"/>
      <w:r>
        <w:t>Prevalence parameter</w:t>
      </w:r>
      <w:bookmarkEnd w:id="126"/>
      <w:r>
        <w:tab/>
      </w:r>
    </w:p>
    <w:p w:rsidR="00415BFD" w:rsidRDefault="00415BFD" w:rsidP="00362B2E">
      <w:pPr>
        <w:rPr>
          <w:lang w:bidi="ar-SA"/>
        </w:rPr>
      </w:pPr>
      <w:r>
        <w:t xml:space="preserve">Prevalence data were used in the universal prevention models to account for the current prevalence of major depression in the population prior to the commencement of the intervention. That is, the initial distribution of the eligible population in the ‘healthy’ and ‘depressed’ health states was based on the prevalence in each corresponding age-sex cohort. Data on the current prevalence of major depression were obtained from GBD 2013 </w:t>
      </w:r>
      <w:r>
        <w:rPr>
          <w:noProof/>
        </w:rPr>
        <w:t>[13]</w:t>
      </w:r>
      <w:r>
        <w:t xml:space="preserve">; with age-sex prevalence estimates shown in </w:t>
      </w:r>
      <w:r>
        <w:fldChar w:fldCharType="begin"/>
      </w:r>
      <w:r>
        <w:instrText xml:space="preserve"> REF _Ref434088527 \r \h </w:instrText>
      </w:r>
      <w:r>
        <w:fldChar w:fldCharType="separate"/>
      </w:r>
      <w:r>
        <w:t>Table 15</w:t>
      </w:r>
      <w:r>
        <w:fldChar w:fldCharType="end"/>
      </w:r>
      <w:r>
        <w:t>.</w:t>
      </w:r>
    </w:p>
    <w:p w:rsidR="00415BFD" w:rsidRDefault="00415BFD" w:rsidP="00C43019">
      <w:pPr>
        <w:rPr>
          <w:lang w:bidi="ar-SA"/>
        </w:rPr>
      </w:pPr>
    </w:p>
    <w:p w:rsidR="00415BFD" w:rsidRDefault="00415BFD" w:rsidP="00C43019">
      <w:pPr>
        <w:rPr>
          <w:lang w:bidi="ar-SA"/>
        </w:rPr>
      </w:pPr>
    </w:p>
    <w:p w:rsidR="00415BFD" w:rsidRDefault="00415BFD" w:rsidP="00415BFD">
      <w:pPr>
        <w:pStyle w:val="MyTable"/>
        <w:numPr>
          <w:ilvl w:val="3"/>
          <w:numId w:val="9"/>
        </w:numPr>
        <w:rPr>
          <w:lang w:bidi="ar-SA"/>
        </w:rPr>
      </w:pPr>
      <w:bookmarkStart w:id="127" w:name="_Ref434088527"/>
      <w:bookmarkStart w:id="128" w:name="_Toc452066460"/>
      <w:r>
        <w:rPr>
          <w:lang w:bidi="ar-SA"/>
        </w:rPr>
        <w:t>Prevalence estimates</w:t>
      </w:r>
      <w:r w:rsidRPr="001E23EC">
        <w:rPr>
          <w:lang w:bidi="ar-SA"/>
        </w:rPr>
        <w:t xml:space="preserve"> for the 2013 Australian population</w:t>
      </w:r>
      <w:r>
        <w:rPr>
          <w:lang w:bidi="ar-SA"/>
        </w:rPr>
        <w:t xml:space="preserve"> by age and sex</w:t>
      </w:r>
      <w:bookmarkEnd w:id="127"/>
      <w:bookmarkEnd w:id="128"/>
    </w:p>
    <w:tbl>
      <w:tblPr>
        <w:tblStyle w:val="MediumShading1-Accent6"/>
        <w:tblW w:w="0" w:type="auto"/>
        <w:jc w:val="center"/>
        <w:tblLook w:val="04A0" w:firstRow="1" w:lastRow="0" w:firstColumn="1" w:lastColumn="0" w:noHBand="0" w:noVBand="1"/>
      </w:tblPr>
      <w:tblGrid>
        <w:gridCol w:w="850"/>
        <w:gridCol w:w="238"/>
        <w:gridCol w:w="1247"/>
        <w:gridCol w:w="236"/>
        <w:gridCol w:w="1247"/>
      </w:tblGrid>
      <w:tr w:rsidR="00415BFD" w:rsidTr="00F31457">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850" w:type="dxa"/>
            <w:vMerge w:val="restart"/>
          </w:tcPr>
          <w:p w:rsidR="00415BFD" w:rsidRPr="004A6AA7" w:rsidRDefault="00415BFD" w:rsidP="00F5391C">
            <w:pPr>
              <w:pStyle w:val="Tabletext"/>
              <w:jc w:val="center"/>
            </w:pPr>
            <w:r w:rsidRPr="004A6AA7">
              <w:t>Age</w:t>
            </w:r>
            <w:r>
              <w:t xml:space="preserve"> </w:t>
            </w:r>
            <w:r w:rsidRPr="004A6AA7">
              <w:t>(years)</w:t>
            </w:r>
          </w:p>
        </w:tc>
        <w:tc>
          <w:tcPr>
            <w:tcW w:w="238" w:type="dxa"/>
          </w:tcPr>
          <w:p w:rsidR="00415BFD" w:rsidRPr="004A6AA7" w:rsidRDefault="00415BFD" w:rsidP="00F5391C">
            <w:pPr>
              <w:pStyle w:val="Tabletext"/>
              <w:jc w:val="center"/>
              <w:cnfStyle w:val="100000000000" w:firstRow="1" w:lastRow="0" w:firstColumn="0" w:lastColumn="0" w:oddVBand="0" w:evenVBand="0" w:oddHBand="0" w:evenHBand="0" w:firstRowFirstColumn="0" w:firstRowLastColumn="0" w:lastRowFirstColumn="0" w:lastRowLastColumn="0"/>
            </w:pPr>
          </w:p>
        </w:tc>
        <w:tc>
          <w:tcPr>
            <w:tcW w:w="2730" w:type="dxa"/>
            <w:gridSpan w:val="3"/>
          </w:tcPr>
          <w:p w:rsidR="00415BFD" w:rsidRPr="004A6AA7" w:rsidRDefault="00415BFD" w:rsidP="00F5391C">
            <w:pPr>
              <w:pStyle w:val="Tabletext"/>
              <w:jc w:val="center"/>
              <w:cnfStyle w:val="100000000000" w:firstRow="1" w:lastRow="0" w:firstColumn="0" w:lastColumn="0" w:oddVBand="0" w:evenVBand="0" w:oddHBand="0" w:evenHBand="0" w:firstRowFirstColumn="0" w:firstRowLastColumn="0" w:lastRowFirstColumn="0" w:lastRowLastColumn="0"/>
            </w:pPr>
            <w:r w:rsidRPr="004A6AA7">
              <w:t>General Australian population</w:t>
            </w:r>
          </w:p>
        </w:tc>
      </w:tr>
      <w:tr w:rsidR="00415BFD" w:rsidRPr="004A6AA7" w:rsidTr="00F31457">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850" w:type="dxa"/>
            <w:vMerge/>
            <w:shd w:val="clear" w:color="auto" w:fill="F79646" w:themeFill="accent6"/>
          </w:tcPr>
          <w:p w:rsidR="00415BFD" w:rsidRPr="004A6AA7" w:rsidRDefault="00415BFD" w:rsidP="00F5391C">
            <w:pPr>
              <w:pStyle w:val="Tabletext"/>
              <w:jc w:val="center"/>
            </w:pPr>
          </w:p>
        </w:tc>
        <w:tc>
          <w:tcPr>
            <w:tcW w:w="238" w:type="dxa"/>
            <w:shd w:val="clear" w:color="auto" w:fill="F79646" w:themeFill="accent6"/>
          </w:tcPr>
          <w:p w:rsidR="00415BFD" w:rsidRPr="004A6AA7" w:rsidRDefault="00415BFD" w:rsidP="00F5391C">
            <w:pPr>
              <w:pStyle w:val="Tabletext"/>
              <w:jc w:val="center"/>
              <w:cnfStyle w:val="000000100000" w:firstRow="0" w:lastRow="0" w:firstColumn="0" w:lastColumn="0" w:oddVBand="0" w:evenVBand="0" w:oddHBand="1" w:evenHBand="0" w:firstRowFirstColumn="0" w:firstRowLastColumn="0" w:lastRowFirstColumn="0" w:lastRowLastColumn="0"/>
            </w:pPr>
          </w:p>
        </w:tc>
        <w:tc>
          <w:tcPr>
            <w:tcW w:w="1247" w:type="dxa"/>
            <w:shd w:val="clear" w:color="auto" w:fill="F79646" w:themeFill="accent6"/>
          </w:tcPr>
          <w:p w:rsidR="00415BFD" w:rsidRPr="001E23EC" w:rsidRDefault="00415BFD" w:rsidP="00F5391C">
            <w:pPr>
              <w:pStyle w:val="Tabletext"/>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1E23EC">
              <w:rPr>
                <w:b/>
                <w:color w:val="FFFFFF" w:themeColor="background1"/>
              </w:rPr>
              <w:t>Male</w:t>
            </w:r>
          </w:p>
        </w:tc>
        <w:tc>
          <w:tcPr>
            <w:tcW w:w="236" w:type="dxa"/>
            <w:shd w:val="clear" w:color="auto" w:fill="F79646" w:themeFill="accent6"/>
          </w:tcPr>
          <w:p w:rsidR="00415BFD" w:rsidRPr="001E23EC" w:rsidRDefault="00415BFD" w:rsidP="00F5391C">
            <w:pPr>
              <w:pStyle w:val="Tabletext"/>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p>
        </w:tc>
        <w:tc>
          <w:tcPr>
            <w:tcW w:w="1247" w:type="dxa"/>
            <w:shd w:val="clear" w:color="auto" w:fill="F79646" w:themeFill="accent6"/>
          </w:tcPr>
          <w:p w:rsidR="00415BFD" w:rsidRPr="001E23EC" w:rsidRDefault="00415BFD" w:rsidP="00F5391C">
            <w:pPr>
              <w:pStyle w:val="Tabletext"/>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1E23EC">
              <w:rPr>
                <w:b/>
                <w:color w:val="FFFFFF" w:themeColor="background1"/>
              </w:rPr>
              <w:t>Female</w:t>
            </w:r>
          </w:p>
        </w:tc>
      </w:tr>
      <w:tr w:rsidR="00415BFD" w:rsidTr="00E06E5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F5391C">
            <w:pPr>
              <w:pStyle w:val="Tabletext"/>
              <w:spacing w:beforeLines="20" w:before="48" w:afterLines="20" w:after="48" w:line="240" w:lineRule="auto"/>
              <w:jc w:val="center"/>
              <w:rPr>
                <w:b w:val="0"/>
              </w:rPr>
            </w:pPr>
            <w:r w:rsidRPr="006327E1">
              <w:rPr>
                <w:b w:val="0"/>
              </w:rPr>
              <w:t>11</w:t>
            </w:r>
          </w:p>
        </w:tc>
        <w:tc>
          <w:tcPr>
            <w:tcW w:w="238" w:type="dxa"/>
          </w:tcPr>
          <w:p w:rsidR="00415BFD" w:rsidRPr="00CA5124" w:rsidRDefault="00415BFD" w:rsidP="00F5391C">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9F4D60"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r w:rsidRPr="009F4D60">
              <w:t>0.01710</w:t>
            </w:r>
          </w:p>
        </w:tc>
        <w:tc>
          <w:tcPr>
            <w:tcW w:w="236" w:type="dxa"/>
            <w:vAlign w:val="center"/>
          </w:tcPr>
          <w:p w:rsidR="00415BFD" w:rsidRPr="00CA5124"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9A5259"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r w:rsidRPr="009A5259">
              <w:t>0.02684</w:t>
            </w:r>
          </w:p>
        </w:tc>
      </w:tr>
      <w:tr w:rsidR="00415BFD" w:rsidTr="00E06E5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F5391C">
            <w:pPr>
              <w:pStyle w:val="Tabletext"/>
              <w:spacing w:beforeLines="20" w:before="48" w:afterLines="20" w:after="48" w:line="240" w:lineRule="auto"/>
              <w:jc w:val="center"/>
              <w:rPr>
                <w:b w:val="0"/>
              </w:rPr>
            </w:pPr>
            <w:r w:rsidRPr="006327E1">
              <w:rPr>
                <w:b w:val="0"/>
              </w:rPr>
              <w:t>12</w:t>
            </w:r>
          </w:p>
        </w:tc>
        <w:tc>
          <w:tcPr>
            <w:tcW w:w="238" w:type="dxa"/>
          </w:tcPr>
          <w:p w:rsidR="00415BFD" w:rsidRPr="00CA5124" w:rsidRDefault="00415BFD" w:rsidP="00F5391C">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9F4D60"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r w:rsidRPr="009F4D60">
              <w:t>0.01982</w:t>
            </w:r>
          </w:p>
        </w:tc>
        <w:tc>
          <w:tcPr>
            <w:tcW w:w="236" w:type="dxa"/>
            <w:vAlign w:val="center"/>
          </w:tcPr>
          <w:p w:rsidR="00415BFD" w:rsidRPr="00CA5124"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9A5259"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r w:rsidRPr="009A5259">
              <w:t>0.03175</w:t>
            </w:r>
          </w:p>
        </w:tc>
      </w:tr>
      <w:tr w:rsidR="00415BFD" w:rsidTr="00E06E5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F5391C">
            <w:pPr>
              <w:pStyle w:val="Tabletext"/>
              <w:spacing w:beforeLines="20" w:before="48" w:afterLines="20" w:after="48" w:line="240" w:lineRule="auto"/>
              <w:jc w:val="center"/>
              <w:rPr>
                <w:b w:val="0"/>
              </w:rPr>
            </w:pPr>
            <w:r w:rsidRPr="006327E1">
              <w:rPr>
                <w:b w:val="0"/>
              </w:rPr>
              <w:t>13</w:t>
            </w:r>
          </w:p>
        </w:tc>
        <w:tc>
          <w:tcPr>
            <w:tcW w:w="238" w:type="dxa"/>
          </w:tcPr>
          <w:p w:rsidR="00415BFD" w:rsidRPr="00CA5124" w:rsidRDefault="00415BFD" w:rsidP="00F5391C">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9F4D60"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r w:rsidRPr="009F4D60">
              <w:t>0.02271</w:t>
            </w:r>
          </w:p>
        </w:tc>
        <w:tc>
          <w:tcPr>
            <w:tcW w:w="236" w:type="dxa"/>
            <w:vAlign w:val="center"/>
          </w:tcPr>
          <w:p w:rsidR="00415BFD" w:rsidRPr="00CA5124"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9A5259"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r w:rsidRPr="009A5259">
              <w:t>0.03717</w:t>
            </w:r>
          </w:p>
        </w:tc>
      </w:tr>
      <w:tr w:rsidR="00415BFD" w:rsidTr="00E06E5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F5391C">
            <w:pPr>
              <w:pStyle w:val="Tabletext"/>
              <w:spacing w:beforeLines="20" w:before="48" w:afterLines="20" w:after="48" w:line="240" w:lineRule="auto"/>
              <w:jc w:val="center"/>
              <w:rPr>
                <w:b w:val="0"/>
              </w:rPr>
            </w:pPr>
            <w:r w:rsidRPr="006327E1">
              <w:rPr>
                <w:b w:val="0"/>
              </w:rPr>
              <w:t>14</w:t>
            </w:r>
          </w:p>
        </w:tc>
        <w:tc>
          <w:tcPr>
            <w:tcW w:w="238" w:type="dxa"/>
          </w:tcPr>
          <w:p w:rsidR="00415BFD" w:rsidRPr="00CA5124" w:rsidRDefault="00415BFD" w:rsidP="00F5391C">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9F4D60"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r w:rsidRPr="009F4D60">
              <w:t>0.02574</w:t>
            </w:r>
          </w:p>
        </w:tc>
        <w:tc>
          <w:tcPr>
            <w:tcW w:w="236" w:type="dxa"/>
            <w:vAlign w:val="center"/>
          </w:tcPr>
          <w:p w:rsidR="00415BFD" w:rsidRPr="00CA5124"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9A5259"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r w:rsidRPr="009A5259">
              <w:t>0.04302</w:t>
            </w:r>
          </w:p>
        </w:tc>
      </w:tr>
      <w:tr w:rsidR="00415BFD" w:rsidTr="00E06E5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F5391C">
            <w:pPr>
              <w:pStyle w:val="Tabletext"/>
              <w:spacing w:beforeLines="20" w:before="48" w:afterLines="20" w:after="48" w:line="240" w:lineRule="auto"/>
              <w:jc w:val="center"/>
              <w:rPr>
                <w:b w:val="0"/>
              </w:rPr>
            </w:pPr>
            <w:r w:rsidRPr="006327E1">
              <w:rPr>
                <w:b w:val="0"/>
              </w:rPr>
              <w:t>15</w:t>
            </w:r>
          </w:p>
        </w:tc>
        <w:tc>
          <w:tcPr>
            <w:tcW w:w="238" w:type="dxa"/>
          </w:tcPr>
          <w:p w:rsidR="00415BFD" w:rsidRPr="00CA5124" w:rsidRDefault="00415BFD" w:rsidP="00F5391C">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9F4D60"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r w:rsidRPr="009F4D60">
              <w:t>0.02881</w:t>
            </w:r>
          </w:p>
        </w:tc>
        <w:tc>
          <w:tcPr>
            <w:tcW w:w="236" w:type="dxa"/>
            <w:vAlign w:val="center"/>
          </w:tcPr>
          <w:p w:rsidR="00415BFD" w:rsidRPr="00CA5124"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9A5259"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r w:rsidRPr="009A5259">
              <w:t>0.04906</w:t>
            </w:r>
          </w:p>
        </w:tc>
      </w:tr>
      <w:tr w:rsidR="00415BFD" w:rsidTr="00E06E5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F5391C">
            <w:pPr>
              <w:pStyle w:val="Tabletext"/>
              <w:spacing w:beforeLines="20" w:before="48" w:afterLines="20" w:after="48" w:line="240" w:lineRule="auto"/>
              <w:jc w:val="center"/>
              <w:rPr>
                <w:b w:val="0"/>
              </w:rPr>
            </w:pPr>
            <w:r w:rsidRPr="006327E1">
              <w:rPr>
                <w:b w:val="0"/>
              </w:rPr>
              <w:t>16</w:t>
            </w:r>
          </w:p>
        </w:tc>
        <w:tc>
          <w:tcPr>
            <w:tcW w:w="238" w:type="dxa"/>
          </w:tcPr>
          <w:p w:rsidR="00415BFD" w:rsidRPr="00CA5124" w:rsidRDefault="00415BFD" w:rsidP="00F5391C">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9F4D60"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r w:rsidRPr="009F4D60">
              <w:t>0.03185</w:t>
            </w:r>
          </w:p>
        </w:tc>
        <w:tc>
          <w:tcPr>
            <w:tcW w:w="236" w:type="dxa"/>
            <w:vAlign w:val="center"/>
          </w:tcPr>
          <w:p w:rsidR="00415BFD" w:rsidRPr="00CA5124"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9A5259"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r w:rsidRPr="009A5259">
              <w:t>0.05505</w:t>
            </w:r>
          </w:p>
        </w:tc>
      </w:tr>
      <w:tr w:rsidR="00415BFD" w:rsidTr="00E06E5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F5391C">
            <w:pPr>
              <w:pStyle w:val="Tabletext"/>
              <w:spacing w:beforeLines="20" w:before="48" w:afterLines="20" w:after="48" w:line="240" w:lineRule="auto"/>
              <w:jc w:val="center"/>
              <w:rPr>
                <w:b w:val="0"/>
              </w:rPr>
            </w:pPr>
            <w:r w:rsidRPr="006327E1">
              <w:rPr>
                <w:b w:val="0"/>
              </w:rPr>
              <w:t>17</w:t>
            </w:r>
          </w:p>
        </w:tc>
        <w:tc>
          <w:tcPr>
            <w:tcW w:w="238" w:type="dxa"/>
          </w:tcPr>
          <w:p w:rsidR="00415BFD" w:rsidRPr="00CA5124" w:rsidRDefault="00415BFD" w:rsidP="00F5391C">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9F4D60"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r w:rsidRPr="009F4D60">
              <w:t>0.03476</w:t>
            </w:r>
          </w:p>
        </w:tc>
        <w:tc>
          <w:tcPr>
            <w:tcW w:w="236" w:type="dxa"/>
            <w:vAlign w:val="center"/>
          </w:tcPr>
          <w:p w:rsidR="00415BFD" w:rsidRPr="00CA5124"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9A5259"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r w:rsidRPr="009A5259">
              <w:t>0.06076</w:t>
            </w:r>
          </w:p>
        </w:tc>
      </w:tr>
      <w:tr w:rsidR="00415BFD" w:rsidTr="00E06E5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F5391C">
            <w:pPr>
              <w:pStyle w:val="Tabletext"/>
              <w:spacing w:beforeLines="20" w:before="48" w:afterLines="20" w:after="48" w:line="240" w:lineRule="auto"/>
              <w:jc w:val="center"/>
              <w:rPr>
                <w:b w:val="0"/>
              </w:rPr>
            </w:pPr>
            <w:r w:rsidRPr="006327E1">
              <w:rPr>
                <w:b w:val="0"/>
              </w:rPr>
              <w:t>18</w:t>
            </w:r>
          </w:p>
        </w:tc>
        <w:tc>
          <w:tcPr>
            <w:tcW w:w="238" w:type="dxa"/>
          </w:tcPr>
          <w:p w:rsidR="00415BFD" w:rsidRPr="00CA5124" w:rsidRDefault="00415BFD" w:rsidP="00F5391C">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9F4D60"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r w:rsidRPr="009F4D60">
              <w:t>0.03746</w:t>
            </w:r>
          </w:p>
        </w:tc>
        <w:tc>
          <w:tcPr>
            <w:tcW w:w="236" w:type="dxa"/>
            <w:vAlign w:val="center"/>
          </w:tcPr>
          <w:p w:rsidR="00415BFD" w:rsidRPr="00CA5124"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9A5259"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r w:rsidRPr="009A5259">
              <w:t>0.06596</w:t>
            </w:r>
          </w:p>
        </w:tc>
      </w:tr>
      <w:tr w:rsidR="00415BFD" w:rsidTr="00E06E5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F5391C">
            <w:pPr>
              <w:pStyle w:val="Tabletext"/>
              <w:spacing w:beforeLines="20" w:before="48" w:afterLines="20" w:after="48" w:line="240" w:lineRule="auto"/>
              <w:jc w:val="center"/>
              <w:rPr>
                <w:b w:val="0"/>
              </w:rPr>
            </w:pPr>
            <w:r w:rsidRPr="006327E1">
              <w:rPr>
                <w:b w:val="0"/>
              </w:rPr>
              <w:t>19</w:t>
            </w:r>
          </w:p>
        </w:tc>
        <w:tc>
          <w:tcPr>
            <w:tcW w:w="238" w:type="dxa"/>
          </w:tcPr>
          <w:p w:rsidR="00415BFD" w:rsidRPr="00CA5124" w:rsidRDefault="00415BFD" w:rsidP="00F5391C">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9F4D60"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r w:rsidRPr="009F4D60">
              <w:t>0.03989</w:t>
            </w:r>
          </w:p>
        </w:tc>
        <w:tc>
          <w:tcPr>
            <w:tcW w:w="236" w:type="dxa"/>
            <w:vAlign w:val="center"/>
          </w:tcPr>
          <w:p w:rsidR="00415BFD" w:rsidRPr="00CA5124"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9A5259"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r w:rsidRPr="009A5259">
              <w:t>0.07048</w:t>
            </w:r>
          </w:p>
        </w:tc>
      </w:tr>
      <w:tr w:rsidR="00415BFD" w:rsidTr="00E06E5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F5391C">
            <w:pPr>
              <w:pStyle w:val="Tabletext"/>
              <w:spacing w:beforeLines="20" w:before="48" w:afterLines="20" w:after="48" w:line="240" w:lineRule="auto"/>
              <w:jc w:val="center"/>
              <w:rPr>
                <w:b w:val="0"/>
              </w:rPr>
            </w:pPr>
            <w:r w:rsidRPr="006327E1">
              <w:rPr>
                <w:b w:val="0"/>
              </w:rPr>
              <w:t>20</w:t>
            </w:r>
          </w:p>
        </w:tc>
        <w:tc>
          <w:tcPr>
            <w:tcW w:w="238" w:type="dxa"/>
          </w:tcPr>
          <w:p w:rsidR="00415BFD" w:rsidRPr="00CA5124" w:rsidRDefault="00415BFD" w:rsidP="00F5391C">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9F4D60"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r w:rsidRPr="009F4D60">
              <w:t>0.04200</w:t>
            </w:r>
          </w:p>
        </w:tc>
        <w:tc>
          <w:tcPr>
            <w:tcW w:w="236" w:type="dxa"/>
            <w:vAlign w:val="center"/>
          </w:tcPr>
          <w:p w:rsidR="00415BFD" w:rsidRPr="00CA5124"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9A5259"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r w:rsidRPr="009A5259">
              <w:t>0.07426</w:t>
            </w:r>
          </w:p>
        </w:tc>
      </w:tr>
      <w:tr w:rsidR="00415BFD" w:rsidTr="00E06E5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F5391C">
            <w:pPr>
              <w:pStyle w:val="Tabletext"/>
              <w:spacing w:beforeLines="20" w:before="48" w:afterLines="20" w:after="48" w:line="240" w:lineRule="auto"/>
              <w:jc w:val="center"/>
              <w:rPr>
                <w:b w:val="0"/>
              </w:rPr>
            </w:pPr>
            <w:r w:rsidRPr="006327E1">
              <w:rPr>
                <w:b w:val="0"/>
              </w:rPr>
              <w:t>21</w:t>
            </w:r>
          </w:p>
        </w:tc>
        <w:tc>
          <w:tcPr>
            <w:tcW w:w="238" w:type="dxa"/>
          </w:tcPr>
          <w:p w:rsidR="00415BFD" w:rsidRPr="00CA5124" w:rsidRDefault="00415BFD" w:rsidP="00F5391C">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9F4D60"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r w:rsidRPr="009F4D60">
              <w:t>0.04375</w:t>
            </w:r>
          </w:p>
        </w:tc>
        <w:tc>
          <w:tcPr>
            <w:tcW w:w="236" w:type="dxa"/>
            <w:vAlign w:val="center"/>
          </w:tcPr>
          <w:p w:rsidR="00415BFD" w:rsidRPr="00CA5124"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9A5259"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r w:rsidRPr="009A5259">
              <w:t>0.07719</w:t>
            </w:r>
          </w:p>
        </w:tc>
      </w:tr>
      <w:tr w:rsidR="00415BFD" w:rsidTr="00E06E5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F5391C">
            <w:pPr>
              <w:pStyle w:val="Tabletext"/>
              <w:spacing w:beforeLines="20" w:before="48" w:afterLines="20" w:after="48" w:line="240" w:lineRule="auto"/>
              <w:jc w:val="center"/>
              <w:rPr>
                <w:b w:val="0"/>
              </w:rPr>
            </w:pPr>
            <w:r w:rsidRPr="006327E1">
              <w:rPr>
                <w:b w:val="0"/>
              </w:rPr>
              <w:t>22</w:t>
            </w:r>
          </w:p>
        </w:tc>
        <w:tc>
          <w:tcPr>
            <w:tcW w:w="238" w:type="dxa"/>
          </w:tcPr>
          <w:p w:rsidR="00415BFD" w:rsidRPr="00CA5124" w:rsidRDefault="00415BFD" w:rsidP="00F5391C">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9F4D60"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r w:rsidRPr="009F4D60">
              <w:t>0.04510</w:t>
            </w:r>
          </w:p>
        </w:tc>
        <w:tc>
          <w:tcPr>
            <w:tcW w:w="236" w:type="dxa"/>
            <w:vAlign w:val="center"/>
          </w:tcPr>
          <w:p w:rsidR="00415BFD" w:rsidRPr="00CA5124"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9A5259"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r w:rsidRPr="009A5259">
              <w:t>0.07922</w:t>
            </w:r>
          </w:p>
        </w:tc>
      </w:tr>
      <w:tr w:rsidR="00415BFD" w:rsidTr="00E06E5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F5391C">
            <w:pPr>
              <w:pStyle w:val="Tabletext"/>
              <w:spacing w:beforeLines="20" w:before="48" w:afterLines="20" w:after="48" w:line="240" w:lineRule="auto"/>
              <w:jc w:val="center"/>
              <w:rPr>
                <w:b w:val="0"/>
              </w:rPr>
            </w:pPr>
            <w:r w:rsidRPr="006327E1">
              <w:rPr>
                <w:b w:val="0"/>
              </w:rPr>
              <w:t>23</w:t>
            </w:r>
          </w:p>
        </w:tc>
        <w:tc>
          <w:tcPr>
            <w:tcW w:w="238" w:type="dxa"/>
          </w:tcPr>
          <w:p w:rsidR="00415BFD" w:rsidRPr="00CA5124" w:rsidRDefault="00415BFD" w:rsidP="00F5391C">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9F4D60"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r w:rsidRPr="009F4D60">
              <w:t>0.04601</w:t>
            </w:r>
          </w:p>
        </w:tc>
        <w:tc>
          <w:tcPr>
            <w:tcW w:w="236" w:type="dxa"/>
            <w:vAlign w:val="center"/>
          </w:tcPr>
          <w:p w:rsidR="00415BFD" w:rsidRPr="00CA5124"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9A5259"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r w:rsidRPr="009A5259">
              <w:t>0.08027</w:t>
            </w:r>
          </w:p>
        </w:tc>
      </w:tr>
      <w:tr w:rsidR="00415BFD" w:rsidTr="00E06E5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F5391C">
            <w:pPr>
              <w:pStyle w:val="Tabletext"/>
              <w:spacing w:beforeLines="20" w:before="48" w:afterLines="20" w:after="48" w:line="240" w:lineRule="auto"/>
              <w:jc w:val="center"/>
              <w:rPr>
                <w:b w:val="0"/>
              </w:rPr>
            </w:pPr>
            <w:r w:rsidRPr="006327E1">
              <w:rPr>
                <w:b w:val="0"/>
              </w:rPr>
              <w:t>24</w:t>
            </w:r>
          </w:p>
        </w:tc>
        <w:tc>
          <w:tcPr>
            <w:tcW w:w="238" w:type="dxa"/>
          </w:tcPr>
          <w:p w:rsidR="00415BFD" w:rsidRPr="00CA5124" w:rsidRDefault="00415BFD" w:rsidP="00F5391C">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9F4D60"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r w:rsidRPr="009F4D60">
              <w:t>0.04651</w:t>
            </w:r>
          </w:p>
        </w:tc>
        <w:tc>
          <w:tcPr>
            <w:tcW w:w="236" w:type="dxa"/>
            <w:vAlign w:val="center"/>
          </w:tcPr>
          <w:p w:rsidR="00415BFD" w:rsidRPr="00CA5124"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9A5259"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r w:rsidRPr="009A5259">
              <w:t>0.08042</w:t>
            </w:r>
          </w:p>
        </w:tc>
      </w:tr>
      <w:tr w:rsidR="00415BFD" w:rsidTr="00E06E5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F5391C">
            <w:pPr>
              <w:pStyle w:val="Tabletext"/>
              <w:spacing w:beforeLines="20" w:before="48" w:afterLines="20" w:after="48" w:line="240" w:lineRule="auto"/>
              <w:jc w:val="center"/>
              <w:rPr>
                <w:b w:val="0"/>
              </w:rPr>
            </w:pPr>
            <w:r w:rsidRPr="006327E1">
              <w:rPr>
                <w:b w:val="0"/>
              </w:rPr>
              <w:t>25</w:t>
            </w:r>
          </w:p>
        </w:tc>
        <w:tc>
          <w:tcPr>
            <w:tcW w:w="238" w:type="dxa"/>
          </w:tcPr>
          <w:p w:rsidR="00415BFD" w:rsidRPr="00CA5124" w:rsidRDefault="00415BFD" w:rsidP="00F5391C">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9F4D60"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r w:rsidRPr="009F4D60">
              <w:t>0.04671</w:t>
            </w:r>
          </w:p>
        </w:tc>
        <w:tc>
          <w:tcPr>
            <w:tcW w:w="236" w:type="dxa"/>
            <w:vAlign w:val="center"/>
          </w:tcPr>
          <w:p w:rsidR="00415BFD" w:rsidRPr="00CA5124"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Pr="009A5259"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r w:rsidRPr="009A5259">
              <w:t>0.07992</w:t>
            </w:r>
          </w:p>
        </w:tc>
      </w:tr>
      <w:tr w:rsidR="00415BFD" w:rsidTr="00E06E5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F5391C">
            <w:pPr>
              <w:pStyle w:val="Tabletext"/>
              <w:spacing w:beforeLines="20" w:before="48" w:afterLines="20" w:after="48" w:line="240" w:lineRule="auto"/>
              <w:jc w:val="center"/>
              <w:rPr>
                <w:b w:val="0"/>
              </w:rPr>
            </w:pPr>
            <w:r w:rsidRPr="006327E1">
              <w:rPr>
                <w:b w:val="0"/>
              </w:rPr>
              <w:t>26</w:t>
            </w:r>
          </w:p>
        </w:tc>
        <w:tc>
          <w:tcPr>
            <w:tcW w:w="238" w:type="dxa"/>
          </w:tcPr>
          <w:p w:rsidR="00415BFD" w:rsidRPr="00CA5124" w:rsidRDefault="00415BFD" w:rsidP="00F5391C">
            <w:pPr>
              <w:pStyle w:val="Tabletext"/>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9F4D60"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r w:rsidRPr="009F4D60">
              <w:t>0.04673</w:t>
            </w:r>
          </w:p>
        </w:tc>
        <w:tc>
          <w:tcPr>
            <w:tcW w:w="236" w:type="dxa"/>
            <w:vAlign w:val="center"/>
          </w:tcPr>
          <w:p w:rsidR="00415BFD" w:rsidRPr="00CA5124"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p>
        </w:tc>
        <w:tc>
          <w:tcPr>
            <w:tcW w:w="1247" w:type="dxa"/>
            <w:vAlign w:val="center"/>
          </w:tcPr>
          <w:p w:rsidR="00415BFD" w:rsidRPr="009A5259" w:rsidRDefault="00415BFD" w:rsidP="00E06E5F">
            <w:pPr>
              <w:pStyle w:val="Tabletext"/>
              <w:spacing w:before="4" w:after="4" w:line="240" w:lineRule="auto"/>
              <w:jc w:val="center"/>
              <w:cnfStyle w:val="000000100000" w:firstRow="0" w:lastRow="0" w:firstColumn="0" w:lastColumn="0" w:oddVBand="0" w:evenVBand="0" w:oddHBand="1" w:evenHBand="0" w:firstRowFirstColumn="0" w:firstRowLastColumn="0" w:lastRowFirstColumn="0" w:lastRowLastColumn="0"/>
            </w:pPr>
            <w:r w:rsidRPr="009A5259">
              <w:t>0.07902</w:t>
            </w:r>
          </w:p>
        </w:tc>
      </w:tr>
      <w:tr w:rsidR="00415BFD" w:rsidTr="00E06E5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50" w:type="dxa"/>
          </w:tcPr>
          <w:p w:rsidR="00415BFD" w:rsidRPr="006327E1" w:rsidRDefault="00415BFD" w:rsidP="00F5391C">
            <w:pPr>
              <w:pStyle w:val="Tabletext"/>
              <w:spacing w:beforeLines="20" w:before="48" w:afterLines="20" w:after="48" w:line="240" w:lineRule="auto"/>
              <w:jc w:val="center"/>
              <w:rPr>
                <w:b w:val="0"/>
              </w:rPr>
            </w:pPr>
            <w:r w:rsidRPr="006327E1">
              <w:rPr>
                <w:b w:val="0"/>
              </w:rPr>
              <w:t>27</w:t>
            </w:r>
          </w:p>
        </w:tc>
        <w:tc>
          <w:tcPr>
            <w:tcW w:w="238" w:type="dxa"/>
          </w:tcPr>
          <w:p w:rsidR="00415BFD" w:rsidRPr="00CA5124" w:rsidRDefault="00415BFD" w:rsidP="00F5391C">
            <w:pPr>
              <w:pStyle w:val="Tabletext"/>
              <w:spacing w:beforeLines="20" w:before="48" w:afterLines="20" w:after="48"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r w:rsidRPr="009F4D60">
              <w:t>0.04668</w:t>
            </w:r>
          </w:p>
        </w:tc>
        <w:tc>
          <w:tcPr>
            <w:tcW w:w="236" w:type="dxa"/>
            <w:vAlign w:val="center"/>
          </w:tcPr>
          <w:p w:rsidR="00415BFD" w:rsidRPr="00CA5124"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p>
        </w:tc>
        <w:tc>
          <w:tcPr>
            <w:tcW w:w="1247" w:type="dxa"/>
            <w:vAlign w:val="center"/>
          </w:tcPr>
          <w:p w:rsidR="00415BFD" w:rsidRDefault="00415BFD" w:rsidP="00E06E5F">
            <w:pPr>
              <w:pStyle w:val="Tabletext"/>
              <w:spacing w:before="4" w:after="4" w:line="240" w:lineRule="auto"/>
              <w:jc w:val="center"/>
              <w:cnfStyle w:val="000000010000" w:firstRow="0" w:lastRow="0" w:firstColumn="0" w:lastColumn="0" w:oddVBand="0" w:evenVBand="0" w:oddHBand="0" w:evenHBand="1" w:firstRowFirstColumn="0" w:firstRowLastColumn="0" w:lastRowFirstColumn="0" w:lastRowLastColumn="0"/>
            </w:pPr>
            <w:r w:rsidRPr="009A5259">
              <w:t>0.07798</w:t>
            </w:r>
          </w:p>
        </w:tc>
      </w:tr>
    </w:tbl>
    <w:p w:rsidR="00415BFD" w:rsidRDefault="00415BFD" w:rsidP="00C43019">
      <w:pPr>
        <w:rPr>
          <w:lang w:bidi="ar-SA"/>
        </w:rPr>
      </w:pPr>
    </w:p>
    <w:p w:rsidR="00415BFD" w:rsidRDefault="00415BFD">
      <w:pPr>
        <w:spacing w:line="240" w:lineRule="auto"/>
        <w:jc w:val="left"/>
        <w:rPr>
          <w:lang w:bidi="ar-SA"/>
        </w:rPr>
      </w:pPr>
      <w:r>
        <w:rPr>
          <w:lang w:bidi="ar-SA"/>
        </w:rPr>
        <w:br w:type="page"/>
      </w:r>
    </w:p>
    <w:p w:rsidR="00415BFD" w:rsidRPr="00C43019" w:rsidRDefault="00415BFD" w:rsidP="00C43019">
      <w:pPr>
        <w:pStyle w:val="Heading3"/>
      </w:pPr>
      <w:bookmarkStart w:id="129" w:name="_Ref450855659"/>
      <w:bookmarkStart w:id="130" w:name="_Toc452066406"/>
      <w:r>
        <w:lastRenderedPageBreak/>
        <w:t>Disability weight</w:t>
      </w:r>
      <w:bookmarkEnd w:id="129"/>
      <w:bookmarkEnd w:id="130"/>
    </w:p>
    <w:p w:rsidR="00415BFD" w:rsidRDefault="00415BFD" w:rsidP="00064C34">
      <w:r>
        <w:t>We derived a composite disability weight for major depression by calculating the weighted average of GBD 2013 disability weights for mild, moderate and severe</w:t>
      </w:r>
      <w:r w:rsidRPr="00B45096">
        <w:t xml:space="preserve"> </w:t>
      </w:r>
      <w:r>
        <w:t xml:space="preserve">depression </w:t>
      </w:r>
      <w:r>
        <w:rPr>
          <w:noProof/>
        </w:rPr>
        <w:t>[17]</w:t>
      </w:r>
      <w:r>
        <w:t xml:space="preserve">. The weighted average was based on a severity distribution derived from the GBD study </w:t>
      </w:r>
      <w:r>
        <w:rPr>
          <w:noProof/>
        </w:rPr>
        <w:t>[18]</w:t>
      </w:r>
      <w:r>
        <w:t xml:space="preserve">; which calculated the comorbidity-adjusted proportion of mild, moderate and severe depression using validated SF-12 cut-offs from the 1997 National Survey of Mental Health and Wellbeing (NSMHWB) </w:t>
      </w:r>
      <w:r>
        <w:rPr>
          <w:noProof/>
        </w:rPr>
        <w:t>[19]</w:t>
      </w:r>
      <w:r>
        <w:t xml:space="preserve">. Severity distributions were based on: cross-walks of SF-12 scores taken from the 1997 </w:t>
      </w:r>
      <w:r w:rsidRPr="00425186">
        <w:t>National Survey of Mental Health and Wellbeing (NSMHWB)</w:t>
      </w:r>
      <w:r>
        <w:t xml:space="preserve"> which were mapped to GBD 2013 disability weights </w:t>
      </w:r>
      <w:r>
        <w:rPr>
          <w:noProof/>
        </w:rPr>
        <w:t>[18]</w:t>
      </w:r>
      <w:r>
        <w:t xml:space="preserve">; and a random effects meta-regression which made adjustments to resulting severity proportions after removing the effects of disease comorbidity </w:t>
      </w:r>
      <w:r>
        <w:rPr>
          <w:noProof/>
        </w:rPr>
        <w:t>[19]</w:t>
      </w:r>
      <w:r>
        <w:t xml:space="preserve">. The comorbidity-adjusted severity proportions for mild, moderate and severe depression are shown in </w:t>
      </w:r>
      <w:r>
        <w:fldChar w:fldCharType="begin"/>
      </w:r>
      <w:r>
        <w:instrText xml:space="preserve"> REF _Ref433022909 \n \h </w:instrText>
      </w:r>
      <w:r>
        <w:fldChar w:fldCharType="separate"/>
      </w:r>
      <w:r>
        <w:t>Table 16</w:t>
      </w:r>
      <w:r>
        <w:fldChar w:fldCharType="end"/>
      </w:r>
      <w:r>
        <w:t xml:space="preserve">. It should be noted that an asymptomatic severity group arose following adjustment for the impacts of disease comorbidity on SF-12 scores. However, we omitted the asymptomatic group from our calculation of the composite disability weight as asymptomatic cases are considered out of scope from a treatment perspective. Data on the relative proportion for each severity level was normalised so that the sum of proportions for mild, moderate and severe depression would sum to one (after excluding the asymptomatic group). We used Ersatz to resample collected data using a Dirichlet distribution implemented via a series of conditional beta distributions; which produced a disability weight of </w:t>
      </w:r>
      <w:r w:rsidRPr="00BE2CC5">
        <w:t>0.256 (</w:t>
      </w:r>
      <w:r>
        <w:t xml:space="preserve">95% CI: </w:t>
      </w:r>
      <w:r w:rsidRPr="00BE2CC5">
        <w:t>0.195 - 0.324)</w:t>
      </w:r>
      <w:r>
        <w:t xml:space="preserve">. </w:t>
      </w:r>
    </w:p>
    <w:p w:rsidR="00415BFD" w:rsidRDefault="00415BFD" w:rsidP="00064C34"/>
    <w:p w:rsidR="00415BFD" w:rsidRDefault="00415BFD" w:rsidP="00064C34">
      <w:r>
        <w:t xml:space="preserve">We tested the impact of calculating composite disability weights for depression using two alternative sets of disability weights: (1) GBD 2010 disability weights for mild, moderate and severe depression </w:t>
      </w:r>
      <w:r>
        <w:rPr>
          <w:noProof/>
        </w:rPr>
        <w:t>[84]</w:t>
      </w:r>
      <w:r>
        <w:t xml:space="preserve">; and (2) a corresponding set of Dutch disability weights used by previous burden of disease and cost-effectiveness studies in Australia </w:t>
      </w:r>
      <w:r>
        <w:rPr>
          <w:noProof/>
        </w:rPr>
        <w:t>[85]</w:t>
      </w:r>
      <w:r>
        <w:t xml:space="preserve">. We found that the divergence between the GBD 2013 composite disability weight and the composite disability weights calculated using either GBD 2010 data or Dutch disability weight data was immaterial (see </w:t>
      </w:r>
      <w:r>
        <w:fldChar w:fldCharType="begin"/>
      </w:r>
      <w:r>
        <w:instrText xml:space="preserve"> REF _Ref434074739 \n \h </w:instrText>
      </w:r>
      <w:r>
        <w:fldChar w:fldCharType="separate"/>
      </w:r>
      <w:r>
        <w:t>Table 16</w:t>
      </w:r>
      <w:r>
        <w:fldChar w:fldCharType="end"/>
      </w:r>
      <w:r>
        <w:t xml:space="preserve">) and did not warrant further investigation in the cost-effectiveness model as a separate sensitivity analysis. By contrast, separate univariate sensitivity analyses were required when using Standard Gamble and EQ-5D utility weights for mild, moderate and severe depression, which were obtained from a systematic review by </w:t>
      </w:r>
      <w:r>
        <w:rPr>
          <w:noProof/>
        </w:rPr>
        <w:t>Mohiuddin and Payne [20]</w:t>
      </w:r>
      <w:r>
        <w:t xml:space="preserve">. Using the GBD 2013 severity distribution reported in </w:t>
      </w:r>
      <w:r>
        <w:fldChar w:fldCharType="begin"/>
      </w:r>
      <w:r>
        <w:instrText xml:space="preserve"> REF _Ref434074739 \n \h </w:instrText>
      </w:r>
      <w:r>
        <w:fldChar w:fldCharType="separate"/>
      </w:r>
      <w:r>
        <w:t>Table 16</w:t>
      </w:r>
      <w:r>
        <w:fldChar w:fldCharType="end"/>
      </w:r>
      <w:r>
        <w:t xml:space="preserve">, we calculated the composite utility weights for the Standard Gamble and EQ-5D to be </w:t>
      </w:r>
      <w:r w:rsidRPr="00894C9D">
        <w:t>0.604 (</w:t>
      </w:r>
      <w:r>
        <w:t xml:space="preserve">95% CI: </w:t>
      </w:r>
      <w:r w:rsidRPr="00894C9D">
        <w:t>0.353 - 0.817)</w:t>
      </w:r>
      <w:r>
        <w:t xml:space="preserve"> and </w:t>
      </w:r>
      <w:r w:rsidRPr="00064C34">
        <w:t>0.499 (</w:t>
      </w:r>
      <w:r>
        <w:t xml:space="preserve">95% CI: </w:t>
      </w:r>
      <w:r w:rsidRPr="00064C34">
        <w:t>0.266 - 0.720)</w:t>
      </w:r>
      <w:r>
        <w:t>, respectively.</w:t>
      </w:r>
    </w:p>
    <w:p w:rsidR="00415BFD" w:rsidRDefault="00415BFD" w:rsidP="00D6556D"/>
    <w:p w:rsidR="00415BFD" w:rsidRDefault="00415BFD" w:rsidP="00D6556D">
      <w:r>
        <w:t xml:space="preserve">As stated in the manuscript, an alternative method for calculating the weighted average disability weight would be to use a severity distribution derived from the 1997 NSMHWB based on DSM-IV algorithms of depression severity. Unlike the severity distribution used in the GBD study, these distributions are not adjusted for comorbidity. </w:t>
      </w:r>
      <w:r>
        <w:fldChar w:fldCharType="begin"/>
      </w:r>
      <w:r>
        <w:instrText xml:space="preserve"> REF _Ref434075081 \n \h </w:instrText>
      </w:r>
      <w:r>
        <w:fldChar w:fldCharType="separate"/>
      </w:r>
      <w:r>
        <w:t>Table 17</w:t>
      </w:r>
      <w:r>
        <w:fldChar w:fldCharType="end"/>
      </w:r>
      <w:r>
        <w:t xml:space="preserve"> shows the data by which to calculate composite disability weights when using the severity distribution based on DSM-IV algorithms of depression severity. It follows that composite disability weights calculated using this severity distribution are approximately 1.6 times greater than corresponding disability weights calculated using the GBD 2013 severity distribution (see </w:t>
      </w:r>
      <w:r>
        <w:fldChar w:fldCharType="begin"/>
      </w:r>
      <w:r>
        <w:instrText xml:space="preserve"> REF _Ref450854772 \r \h </w:instrText>
      </w:r>
      <w:r>
        <w:fldChar w:fldCharType="separate"/>
      </w:r>
      <w:r>
        <w:t>Table 17</w:t>
      </w:r>
      <w:r>
        <w:fldChar w:fldCharType="end"/>
      </w:r>
      <w:r>
        <w:t xml:space="preserve">); which can have a potentially large impact on the final cost-effectiveness results. It is for this reason that we conducted a separate sensitivity analysis which used the composite disability weight </w:t>
      </w:r>
      <w:r>
        <w:lastRenderedPageBreak/>
        <w:t xml:space="preserve">calculated based on the severity distribution derived from DSM-IV algorithms of depression severity. Composite Standard Gamble and EQ-5D utility weights calculated using the severity distribution derived from DSM-IV algorithms were </w:t>
      </w:r>
      <w:r w:rsidRPr="003A68F5">
        <w:t>0.489 (</w:t>
      </w:r>
      <w:r>
        <w:t xml:space="preserve">95% CI: </w:t>
      </w:r>
      <w:r w:rsidRPr="003A68F5">
        <w:t>0.220 - 0.773)</w:t>
      </w:r>
      <w:r>
        <w:t xml:space="preserve"> and </w:t>
      </w:r>
      <w:r w:rsidRPr="003A68F5">
        <w:t>0.419 (</w:t>
      </w:r>
      <w:r>
        <w:t xml:space="preserve">95% CI: </w:t>
      </w:r>
      <w:r w:rsidRPr="003A68F5">
        <w:t>0.229 - 0.613)</w:t>
      </w:r>
      <w:r>
        <w:t>, respectively.</w:t>
      </w:r>
    </w:p>
    <w:p w:rsidR="00415BFD" w:rsidRDefault="00415BFD" w:rsidP="00D6556D"/>
    <w:p w:rsidR="00415BFD" w:rsidRDefault="00415BFD">
      <w:pPr>
        <w:spacing w:line="240" w:lineRule="auto"/>
        <w:jc w:val="left"/>
      </w:pPr>
    </w:p>
    <w:p w:rsidR="00415BFD" w:rsidRDefault="00415BFD">
      <w:pPr>
        <w:spacing w:line="240" w:lineRule="auto"/>
        <w:jc w:val="left"/>
      </w:pPr>
    </w:p>
    <w:p w:rsidR="00415BFD" w:rsidRDefault="00415BFD" w:rsidP="00415BFD">
      <w:pPr>
        <w:pStyle w:val="MyTable"/>
        <w:numPr>
          <w:ilvl w:val="3"/>
          <w:numId w:val="9"/>
        </w:numPr>
      </w:pPr>
      <w:bookmarkStart w:id="131" w:name="_Ref433022909"/>
      <w:bookmarkStart w:id="132" w:name="_Ref434074739"/>
      <w:bookmarkStart w:id="133" w:name="_Ref450854738"/>
      <w:bookmarkStart w:id="134" w:name="_Toc452066461"/>
      <w:r>
        <w:t>Data used to calculate composite disability weights for major depression</w:t>
      </w:r>
      <w:bookmarkEnd w:id="131"/>
      <w:r>
        <w:t xml:space="preserve"> </w:t>
      </w:r>
      <w:bookmarkEnd w:id="132"/>
      <w:r>
        <w:t>when using the severity distribution from the GBD 2013 study</w:t>
      </w:r>
      <w:bookmarkEnd w:id="133"/>
      <w:bookmarkEnd w:id="134"/>
    </w:p>
    <w:tbl>
      <w:tblPr>
        <w:tblStyle w:val="MediumShading1-Accent5"/>
        <w:tblW w:w="9006" w:type="dxa"/>
        <w:jc w:val="center"/>
        <w:tblLook w:val="04A0" w:firstRow="1" w:lastRow="0" w:firstColumn="1" w:lastColumn="0" w:noHBand="0" w:noVBand="1"/>
      </w:tblPr>
      <w:tblGrid>
        <w:gridCol w:w="1191"/>
        <w:gridCol w:w="2154"/>
        <w:gridCol w:w="1916"/>
        <w:gridCol w:w="1915"/>
        <w:gridCol w:w="1830"/>
      </w:tblGrid>
      <w:tr w:rsidR="00415BFD" w:rsidTr="00305F42">
        <w:trPr>
          <w:cnfStyle w:val="100000000000" w:firstRow="1" w:lastRow="0" w:firstColumn="0" w:lastColumn="0" w:oddVBand="0" w:evenVBand="0" w:oddHBand="0"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1191" w:type="dxa"/>
          </w:tcPr>
          <w:p w:rsidR="00415BFD" w:rsidRPr="004A6AA7" w:rsidRDefault="00415BFD" w:rsidP="00646BCC">
            <w:pPr>
              <w:pStyle w:val="Tabletext"/>
              <w:spacing w:before="60" w:after="60"/>
              <w:jc w:val="center"/>
            </w:pPr>
            <w:r>
              <w:t>Level of severity</w:t>
            </w:r>
          </w:p>
        </w:tc>
        <w:tc>
          <w:tcPr>
            <w:tcW w:w="2154" w:type="dxa"/>
          </w:tcPr>
          <w:p w:rsidR="00415BFD" w:rsidRPr="004A6AA7" w:rsidRDefault="00415BFD" w:rsidP="005D1195">
            <w:pPr>
              <w:pStyle w:val="Tabletext"/>
              <w:spacing w:before="60" w:after="60"/>
              <w:jc w:val="center"/>
              <w:cnfStyle w:val="100000000000" w:firstRow="1" w:lastRow="0" w:firstColumn="0" w:lastColumn="0" w:oddVBand="0" w:evenVBand="0" w:oddHBand="0" w:evenHBand="0" w:firstRowFirstColumn="0" w:firstRowLastColumn="0" w:lastRowFirstColumn="0" w:lastRowLastColumn="0"/>
              <w:rPr>
                <w:b w:val="0"/>
                <w:bCs w:val="0"/>
              </w:rPr>
            </w:pPr>
            <w:r>
              <w:t>GBD 2013           Severity distribution     (95% CI)</w:t>
            </w:r>
          </w:p>
        </w:tc>
        <w:tc>
          <w:tcPr>
            <w:tcW w:w="1916" w:type="dxa"/>
          </w:tcPr>
          <w:p w:rsidR="00415BFD" w:rsidRPr="004A6AA7" w:rsidRDefault="00415BFD" w:rsidP="00F5391C">
            <w:pPr>
              <w:pStyle w:val="Tabletext"/>
              <w:spacing w:before="60" w:after="60"/>
              <w:jc w:val="center"/>
              <w:cnfStyle w:val="100000000000" w:firstRow="1" w:lastRow="0" w:firstColumn="0" w:lastColumn="0" w:oddVBand="0" w:evenVBand="0" w:oddHBand="0" w:evenHBand="0" w:firstRowFirstColumn="0" w:firstRowLastColumn="0" w:lastRowFirstColumn="0" w:lastRowLastColumn="0"/>
            </w:pPr>
            <w:r>
              <w:t>GBD 2013    Disability weights (95% CI)</w:t>
            </w:r>
          </w:p>
        </w:tc>
        <w:tc>
          <w:tcPr>
            <w:tcW w:w="1915" w:type="dxa"/>
          </w:tcPr>
          <w:p w:rsidR="00415BFD" w:rsidRPr="004A6AA7" w:rsidRDefault="00415BFD" w:rsidP="00305F42">
            <w:pPr>
              <w:pStyle w:val="Tabletext"/>
              <w:spacing w:before="60" w:after="60"/>
              <w:jc w:val="center"/>
              <w:cnfStyle w:val="100000000000" w:firstRow="1" w:lastRow="0" w:firstColumn="0" w:lastColumn="0" w:oddVBand="0" w:evenVBand="0" w:oddHBand="0" w:evenHBand="0" w:firstRowFirstColumn="0" w:firstRowLastColumn="0" w:lastRowFirstColumn="0" w:lastRowLastColumn="0"/>
            </w:pPr>
            <w:r>
              <w:t>GBD 2010    Disability weights (95% CI)</w:t>
            </w:r>
          </w:p>
        </w:tc>
        <w:tc>
          <w:tcPr>
            <w:tcW w:w="1830" w:type="dxa"/>
          </w:tcPr>
          <w:p w:rsidR="00415BFD" w:rsidRPr="004A6AA7" w:rsidRDefault="00415BFD" w:rsidP="00F5391C">
            <w:pPr>
              <w:pStyle w:val="Tabletext"/>
              <w:spacing w:before="60" w:after="60"/>
              <w:jc w:val="center"/>
              <w:cnfStyle w:val="100000000000" w:firstRow="1" w:lastRow="0" w:firstColumn="0" w:lastColumn="0" w:oddVBand="0" w:evenVBand="0" w:oddHBand="0" w:evenHBand="0" w:firstRowFirstColumn="0" w:firstRowLastColumn="0" w:lastRowFirstColumn="0" w:lastRowLastColumn="0"/>
            </w:pPr>
            <w:r>
              <w:t>Dutch       Disability weights (95% CI)</w:t>
            </w:r>
          </w:p>
        </w:tc>
      </w:tr>
      <w:tr w:rsidR="00415BFD" w:rsidTr="00305F4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91" w:type="dxa"/>
          </w:tcPr>
          <w:p w:rsidR="00415BFD" w:rsidRPr="006327E1" w:rsidRDefault="00415BFD" w:rsidP="00D8297C">
            <w:pPr>
              <w:pStyle w:val="Tabletext"/>
              <w:spacing w:before="60" w:after="60"/>
              <w:jc w:val="center"/>
              <w:rPr>
                <w:b w:val="0"/>
              </w:rPr>
            </w:pPr>
            <w:r>
              <w:rPr>
                <w:b w:val="0"/>
              </w:rPr>
              <w:t>Mild</w:t>
            </w:r>
          </w:p>
        </w:tc>
        <w:tc>
          <w:tcPr>
            <w:tcW w:w="2154" w:type="dxa"/>
          </w:tcPr>
          <w:p w:rsidR="00415BFD" w:rsidRDefault="00415BFD" w:rsidP="00D406F1">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t>68</w:t>
            </w:r>
            <w:r w:rsidRPr="005A6468">
              <w:t>.</w:t>
            </w:r>
            <w:r>
              <w:t>5</w:t>
            </w:r>
            <w:r w:rsidRPr="005A6468">
              <w:t xml:space="preserve">% </w:t>
            </w:r>
          </w:p>
          <w:p w:rsidR="00415BFD" w:rsidRPr="005A6468" w:rsidRDefault="00415BFD" w:rsidP="00D406F1">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5A6468">
              <w:t>(</w:t>
            </w:r>
            <w:r>
              <w:t>59.7</w:t>
            </w:r>
            <w:r w:rsidRPr="005A6468">
              <w:t xml:space="preserve">% - </w:t>
            </w:r>
            <w:r>
              <w:t>76.3</w:t>
            </w:r>
            <w:r w:rsidRPr="005A6468">
              <w:t>%)</w:t>
            </w:r>
          </w:p>
        </w:tc>
        <w:tc>
          <w:tcPr>
            <w:tcW w:w="1916" w:type="dxa"/>
          </w:tcPr>
          <w:p w:rsidR="00415BFD" w:rsidRDefault="00415BFD" w:rsidP="00F5391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F56809">
              <w:t xml:space="preserve">0.145 </w:t>
            </w:r>
          </w:p>
          <w:p w:rsidR="00415BFD" w:rsidRPr="00F56809" w:rsidRDefault="00415BFD" w:rsidP="00F5391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F56809">
              <w:t>(0.099 - 0.209)</w:t>
            </w:r>
          </w:p>
        </w:tc>
        <w:tc>
          <w:tcPr>
            <w:tcW w:w="1915" w:type="dxa"/>
          </w:tcPr>
          <w:p w:rsidR="00415BFD" w:rsidRDefault="00415BFD" w:rsidP="00D8297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F56809">
              <w:t>0.15</w:t>
            </w:r>
            <w:r>
              <w:t>9</w:t>
            </w:r>
            <w:r w:rsidRPr="00F56809">
              <w:t xml:space="preserve"> </w:t>
            </w:r>
          </w:p>
          <w:p w:rsidR="00415BFD" w:rsidRPr="00F56809" w:rsidRDefault="00415BFD" w:rsidP="006F04F3">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t>(0.107</w:t>
            </w:r>
            <w:r w:rsidRPr="00F56809">
              <w:t xml:space="preserve"> - 0.2</w:t>
            </w:r>
            <w:r>
              <w:t>23</w:t>
            </w:r>
            <w:r w:rsidRPr="00F56809">
              <w:t>)</w:t>
            </w:r>
          </w:p>
        </w:tc>
        <w:tc>
          <w:tcPr>
            <w:tcW w:w="1830" w:type="dxa"/>
          </w:tcPr>
          <w:p w:rsidR="00415BFD" w:rsidRDefault="00415BFD" w:rsidP="00F5391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t xml:space="preserve">0.14 </w:t>
            </w:r>
          </w:p>
          <w:p w:rsidR="00415BFD" w:rsidRPr="00F56809" w:rsidRDefault="00415BFD" w:rsidP="009814BE">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t>(0.086 – 0.194)</w:t>
            </w:r>
          </w:p>
        </w:tc>
      </w:tr>
      <w:tr w:rsidR="00415BFD" w:rsidTr="00305F42">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91" w:type="dxa"/>
          </w:tcPr>
          <w:p w:rsidR="00415BFD" w:rsidRPr="006327E1" w:rsidRDefault="00415BFD" w:rsidP="00D8297C">
            <w:pPr>
              <w:pStyle w:val="Tabletext"/>
              <w:spacing w:before="60" w:after="60"/>
              <w:jc w:val="center"/>
              <w:rPr>
                <w:b w:val="0"/>
              </w:rPr>
            </w:pPr>
            <w:r>
              <w:rPr>
                <w:b w:val="0"/>
              </w:rPr>
              <w:t>Moderate</w:t>
            </w:r>
          </w:p>
        </w:tc>
        <w:tc>
          <w:tcPr>
            <w:tcW w:w="2154" w:type="dxa"/>
          </w:tcPr>
          <w:p w:rsidR="00415BFD" w:rsidRDefault="00415BFD" w:rsidP="00D406F1">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t>19</w:t>
            </w:r>
            <w:r w:rsidRPr="005A6468">
              <w:t>.</w:t>
            </w:r>
            <w:r>
              <w:t>2</w:t>
            </w:r>
            <w:r w:rsidRPr="005A6468">
              <w:t xml:space="preserve">% </w:t>
            </w:r>
          </w:p>
          <w:p w:rsidR="00415BFD" w:rsidRPr="005A6468" w:rsidRDefault="00415BFD" w:rsidP="00D406F1">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rsidRPr="005A6468">
              <w:t>(1</w:t>
            </w:r>
            <w:r>
              <w:t>4.3</w:t>
            </w:r>
            <w:r w:rsidRPr="005A6468">
              <w:t>% - 2</w:t>
            </w:r>
            <w:r>
              <w:t>4.7</w:t>
            </w:r>
            <w:r w:rsidRPr="005A6468">
              <w:t>%)</w:t>
            </w:r>
          </w:p>
        </w:tc>
        <w:tc>
          <w:tcPr>
            <w:tcW w:w="1916" w:type="dxa"/>
          </w:tcPr>
          <w:p w:rsidR="00415BFD" w:rsidRDefault="00415BFD" w:rsidP="00F5391C">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rsidRPr="00F56809">
              <w:t xml:space="preserve">0.396 </w:t>
            </w:r>
          </w:p>
          <w:p w:rsidR="00415BFD" w:rsidRPr="00F56809" w:rsidRDefault="00415BFD" w:rsidP="00F5391C">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rsidRPr="00F56809">
              <w:t>(0.267 - 0.531)</w:t>
            </w:r>
          </w:p>
        </w:tc>
        <w:tc>
          <w:tcPr>
            <w:tcW w:w="1915" w:type="dxa"/>
          </w:tcPr>
          <w:p w:rsidR="00415BFD" w:rsidRDefault="00415BFD" w:rsidP="00D8297C">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t>0.406</w:t>
            </w:r>
            <w:r w:rsidRPr="00F56809">
              <w:t xml:space="preserve"> </w:t>
            </w:r>
          </w:p>
          <w:p w:rsidR="00415BFD" w:rsidRPr="00F56809" w:rsidRDefault="00415BFD" w:rsidP="006F04F3">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t>(0.276</w:t>
            </w:r>
            <w:r w:rsidRPr="00F56809">
              <w:t xml:space="preserve"> - 0.</w:t>
            </w:r>
            <w:r>
              <w:t>551</w:t>
            </w:r>
            <w:r w:rsidRPr="00F56809">
              <w:t>)</w:t>
            </w:r>
          </w:p>
        </w:tc>
        <w:tc>
          <w:tcPr>
            <w:tcW w:w="1830" w:type="dxa"/>
          </w:tcPr>
          <w:p w:rsidR="00415BFD" w:rsidRDefault="00415BFD" w:rsidP="00F5391C">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t xml:space="preserve">0.35  </w:t>
            </w:r>
          </w:p>
          <w:p w:rsidR="00415BFD" w:rsidRPr="00F56809" w:rsidRDefault="00415BFD" w:rsidP="009A2206">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t xml:space="preserve"> (0.272 – 0.425)</w:t>
            </w:r>
          </w:p>
        </w:tc>
      </w:tr>
      <w:tr w:rsidR="00415BFD" w:rsidTr="00305F4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91" w:type="dxa"/>
          </w:tcPr>
          <w:p w:rsidR="00415BFD" w:rsidRPr="006327E1" w:rsidRDefault="00415BFD" w:rsidP="00D8297C">
            <w:pPr>
              <w:pStyle w:val="Tabletext"/>
              <w:spacing w:before="60" w:after="60"/>
              <w:jc w:val="center"/>
              <w:rPr>
                <w:b w:val="0"/>
              </w:rPr>
            </w:pPr>
            <w:r>
              <w:rPr>
                <w:b w:val="0"/>
              </w:rPr>
              <w:t>Severe</w:t>
            </w:r>
          </w:p>
        </w:tc>
        <w:tc>
          <w:tcPr>
            <w:tcW w:w="2154" w:type="dxa"/>
          </w:tcPr>
          <w:p w:rsidR="00415BFD" w:rsidRDefault="00415BFD" w:rsidP="00D406F1">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5A6468">
              <w:t>1</w:t>
            </w:r>
            <w:r>
              <w:t>2.2</w:t>
            </w:r>
            <w:r w:rsidRPr="005A6468">
              <w:t xml:space="preserve">% </w:t>
            </w:r>
          </w:p>
          <w:p w:rsidR="00415BFD" w:rsidRPr="005A6468" w:rsidRDefault="00415BFD" w:rsidP="00D406F1">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5A6468">
              <w:t>(</w:t>
            </w:r>
            <w:r>
              <w:t>5.1</w:t>
            </w:r>
            <w:r w:rsidRPr="005A6468">
              <w:t>% - 2</w:t>
            </w:r>
            <w:r>
              <w:t>1.5</w:t>
            </w:r>
            <w:r w:rsidRPr="005A6468">
              <w:t>%)</w:t>
            </w:r>
          </w:p>
        </w:tc>
        <w:tc>
          <w:tcPr>
            <w:tcW w:w="1916" w:type="dxa"/>
          </w:tcPr>
          <w:p w:rsidR="00415BFD" w:rsidRDefault="00415BFD" w:rsidP="00F5391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F56809">
              <w:t xml:space="preserve">0.658 </w:t>
            </w:r>
          </w:p>
          <w:p w:rsidR="00415BFD" w:rsidRDefault="00415BFD" w:rsidP="00F5391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F56809">
              <w:t>(0.477 - 0.807)</w:t>
            </w:r>
          </w:p>
        </w:tc>
        <w:tc>
          <w:tcPr>
            <w:tcW w:w="1915" w:type="dxa"/>
          </w:tcPr>
          <w:p w:rsidR="00415BFD" w:rsidRDefault="00415BFD" w:rsidP="00D8297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t>0.655</w:t>
            </w:r>
            <w:r w:rsidRPr="00F56809">
              <w:t xml:space="preserve"> </w:t>
            </w:r>
          </w:p>
          <w:p w:rsidR="00415BFD" w:rsidRDefault="00415BFD" w:rsidP="006F04F3">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t>(0.469</w:t>
            </w:r>
            <w:r w:rsidRPr="00F56809">
              <w:t xml:space="preserve"> - 0.</w:t>
            </w:r>
            <w:r>
              <w:t>816</w:t>
            </w:r>
            <w:r w:rsidRPr="00F56809">
              <w:t>)</w:t>
            </w:r>
          </w:p>
        </w:tc>
        <w:tc>
          <w:tcPr>
            <w:tcW w:w="1830" w:type="dxa"/>
          </w:tcPr>
          <w:p w:rsidR="00415BFD" w:rsidRDefault="00415BFD" w:rsidP="00F5391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t>0.76</w:t>
            </w:r>
          </w:p>
          <w:p w:rsidR="00415BFD" w:rsidRDefault="00415BFD" w:rsidP="004C7E76">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t>(0.556 – 0.971)</w:t>
            </w:r>
          </w:p>
        </w:tc>
      </w:tr>
      <w:tr w:rsidR="00415BFD" w:rsidTr="00305F42">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91" w:type="dxa"/>
          </w:tcPr>
          <w:p w:rsidR="00415BFD" w:rsidRPr="006327E1" w:rsidRDefault="00415BFD" w:rsidP="00AB4E61">
            <w:pPr>
              <w:pStyle w:val="Tabletext"/>
              <w:spacing w:before="60" w:after="60"/>
              <w:jc w:val="center"/>
              <w:rPr>
                <w:b w:val="0"/>
              </w:rPr>
            </w:pPr>
            <w:r>
              <w:rPr>
                <w:b w:val="0"/>
              </w:rPr>
              <w:t>Weighted average</w:t>
            </w:r>
          </w:p>
        </w:tc>
        <w:tc>
          <w:tcPr>
            <w:tcW w:w="2154" w:type="dxa"/>
          </w:tcPr>
          <w:p w:rsidR="00415BFD" w:rsidRPr="00EB4147" w:rsidRDefault="00415BFD" w:rsidP="00B43D00">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t>N/A</w:t>
            </w:r>
          </w:p>
        </w:tc>
        <w:tc>
          <w:tcPr>
            <w:tcW w:w="1916" w:type="dxa"/>
          </w:tcPr>
          <w:p w:rsidR="00415BFD" w:rsidRDefault="00415BFD" w:rsidP="00F5391C">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t xml:space="preserve">0.256 </w:t>
            </w:r>
          </w:p>
          <w:p w:rsidR="00415BFD" w:rsidRPr="0022646F" w:rsidRDefault="00415BFD" w:rsidP="00AC7567">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t>(0.195 – 0.324)</w:t>
            </w:r>
          </w:p>
        </w:tc>
        <w:tc>
          <w:tcPr>
            <w:tcW w:w="1915" w:type="dxa"/>
          </w:tcPr>
          <w:p w:rsidR="00415BFD" w:rsidRDefault="00415BFD" w:rsidP="00AB4E61">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t xml:space="preserve">0.267 </w:t>
            </w:r>
          </w:p>
          <w:p w:rsidR="00415BFD" w:rsidRPr="0022646F" w:rsidRDefault="00415BFD" w:rsidP="006F04F3">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t>(0.204 – 0.335)</w:t>
            </w:r>
          </w:p>
        </w:tc>
        <w:tc>
          <w:tcPr>
            <w:tcW w:w="1830" w:type="dxa"/>
          </w:tcPr>
          <w:p w:rsidR="00415BFD" w:rsidRDefault="00415BFD" w:rsidP="00F5391C">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rsidRPr="00B00036">
              <w:t xml:space="preserve">0.258 </w:t>
            </w:r>
          </w:p>
          <w:p w:rsidR="00415BFD" w:rsidRPr="0022646F" w:rsidRDefault="00415BFD" w:rsidP="001F0061">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t>(0.195</w:t>
            </w:r>
            <w:r w:rsidRPr="00B00036">
              <w:t xml:space="preserve"> - 0.</w:t>
            </w:r>
            <w:r>
              <w:t>331</w:t>
            </w:r>
            <w:r w:rsidRPr="00B00036">
              <w:t>)</w:t>
            </w:r>
          </w:p>
        </w:tc>
      </w:tr>
    </w:tbl>
    <w:p w:rsidR="00415BFD" w:rsidRPr="004F6E3D" w:rsidRDefault="00415BFD" w:rsidP="00EC0D28">
      <w:pPr>
        <w:pStyle w:val="Tabletext"/>
        <w:ind w:left="57"/>
        <w:rPr>
          <w:i/>
        </w:rPr>
      </w:pPr>
      <w:r w:rsidRPr="004F6E3D">
        <w:rPr>
          <w:b/>
          <w:i/>
        </w:rPr>
        <w:t>Abbreviations:</w:t>
      </w:r>
      <w:r w:rsidRPr="00A62B3E">
        <w:rPr>
          <w:i/>
        </w:rPr>
        <w:t xml:space="preserve"> 95% </w:t>
      </w:r>
      <w:r w:rsidRPr="004F6E3D">
        <w:rPr>
          <w:i/>
        </w:rPr>
        <w:t>CI –</w:t>
      </w:r>
      <w:r>
        <w:rPr>
          <w:i/>
        </w:rPr>
        <w:t xml:space="preserve"> 95%</w:t>
      </w:r>
      <w:r w:rsidRPr="004F6E3D">
        <w:rPr>
          <w:i/>
        </w:rPr>
        <w:t xml:space="preserve"> confidence interval; GBD – Global Burden of Disease</w:t>
      </w:r>
      <w:r>
        <w:rPr>
          <w:i/>
        </w:rPr>
        <w:t xml:space="preserve">; N/A </w:t>
      </w:r>
      <w:r w:rsidRPr="004F6E3D">
        <w:rPr>
          <w:i/>
        </w:rPr>
        <w:t>–</w:t>
      </w:r>
      <w:r>
        <w:rPr>
          <w:i/>
        </w:rPr>
        <w:t xml:space="preserve"> Not applicable</w:t>
      </w:r>
    </w:p>
    <w:p w:rsidR="00415BFD" w:rsidRDefault="00415BFD" w:rsidP="005330D9">
      <w:pPr>
        <w:rPr>
          <w:lang w:bidi="ar-SA"/>
        </w:rPr>
      </w:pPr>
    </w:p>
    <w:p w:rsidR="00415BFD" w:rsidRDefault="00415BFD" w:rsidP="005330D9">
      <w:pPr>
        <w:rPr>
          <w:lang w:bidi="ar-SA"/>
        </w:rPr>
      </w:pPr>
    </w:p>
    <w:p w:rsidR="00415BFD" w:rsidRDefault="00415BFD" w:rsidP="00415BFD">
      <w:pPr>
        <w:pStyle w:val="MyTable"/>
        <w:numPr>
          <w:ilvl w:val="3"/>
          <w:numId w:val="9"/>
        </w:numPr>
        <w:rPr>
          <w:lang w:bidi="ar-SA"/>
        </w:rPr>
      </w:pPr>
      <w:bookmarkStart w:id="135" w:name="_Ref434075081"/>
      <w:bookmarkStart w:id="136" w:name="_Ref450854772"/>
      <w:bookmarkStart w:id="137" w:name="_Toc452066462"/>
      <w:r>
        <w:rPr>
          <w:lang w:bidi="ar-SA"/>
        </w:rPr>
        <w:t xml:space="preserve">Data used to calculate composite disability weights for major depression </w:t>
      </w:r>
      <w:bookmarkEnd w:id="135"/>
      <w:r>
        <w:rPr>
          <w:lang w:bidi="ar-SA"/>
        </w:rPr>
        <w:t>when using the severity distribution based on DSM-IV algorithms of depression severity from the 1997 NSMHWB</w:t>
      </w:r>
      <w:bookmarkEnd w:id="136"/>
      <w:bookmarkEnd w:id="137"/>
    </w:p>
    <w:tbl>
      <w:tblPr>
        <w:tblStyle w:val="MediumShading1-Accent6"/>
        <w:tblW w:w="9006" w:type="dxa"/>
        <w:jc w:val="center"/>
        <w:tblLook w:val="04A0" w:firstRow="1" w:lastRow="0" w:firstColumn="1" w:lastColumn="0" w:noHBand="0" w:noVBand="1"/>
      </w:tblPr>
      <w:tblGrid>
        <w:gridCol w:w="1191"/>
        <w:gridCol w:w="2154"/>
        <w:gridCol w:w="1916"/>
        <w:gridCol w:w="1915"/>
        <w:gridCol w:w="1830"/>
      </w:tblGrid>
      <w:tr w:rsidR="00415BFD" w:rsidTr="00AF704F">
        <w:trPr>
          <w:cnfStyle w:val="100000000000" w:firstRow="1" w:lastRow="0" w:firstColumn="0" w:lastColumn="0" w:oddVBand="0" w:evenVBand="0" w:oddHBand="0"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1191" w:type="dxa"/>
          </w:tcPr>
          <w:p w:rsidR="00415BFD" w:rsidRPr="004A6AA7" w:rsidRDefault="00415BFD" w:rsidP="00F5391C">
            <w:pPr>
              <w:pStyle w:val="Tabletext"/>
              <w:spacing w:before="60" w:after="60"/>
              <w:jc w:val="center"/>
            </w:pPr>
            <w:r>
              <w:t>Level of severity</w:t>
            </w:r>
          </w:p>
        </w:tc>
        <w:tc>
          <w:tcPr>
            <w:tcW w:w="2154" w:type="dxa"/>
          </w:tcPr>
          <w:p w:rsidR="00415BFD" w:rsidRPr="004A6AA7" w:rsidRDefault="00415BFD" w:rsidP="005D1195">
            <w:pPr>
              <w:pStyle w:val="Tabletext"/>
              <w:spacing w:before="60" w:after="60"/>
              <w:jc w:val="center"/>
              <w:cnfStyle w:val="100000000000" w:firstRow="1" w:lastRow="0" w:firstColumn="0" w:lastColumn="0" w:oddVBand="0" w:evenVBand="0" w:oddHBand="0" w:evenHBand="0" w:firstRowFirstColumn="0" w:firstRowLastColumn="0" w:lastRowFirstColumn="0" w:lastRowLastColumn="0"/>
              <w:rPr>
                <w:b w:val="0"/>
                <w:bCs w:val="0"/>
              </w:rPr>
            </w:pPr>
            <w:r>
              <w:t>DSM-IV algorithms           Severity distribution           (95% CI)</w:t>
            </w:r>
          </w:p>
        </w:tc>
        <w:tc>
          <w:tcPr>
            <w:tcW w:w="1916" w:type="dxa"/>
          </w:tcPr>
          <w:p w:rsidR="00415BFD" w:rsidRPr="004A6AA7" w:rsidRDefault="00415BFD" w:rsidP="00F5391C">
            <w:pPr>
              <w:pStyle w:val="Tabletext"/>
              <w:spacing w:before="60" w:after="60"/>
              <w:jc w:val="center"/>
              <w:cnfStyle w:val="100000000000" w:firstRow="1" w:lastRow="0" w:firstColumn="0" w:lastColumn="0" w:oddVBand="0" w:evenVBand="0" w:oddHBand="0" w:evenHBand="0" w:firstRowFirstColumn="0" w:firstRowLastColumn="0" w:lastRowFirstColumn="0" w:lastRowLastColumn="0"/>
            </w:pPr>
            <w:r>
              <w:t>GBD 2013    Disability weights (95% CI)</w:t>
            </w:r>
          </w:p>
        </w:tc>
        <w:tc>
          <w:tcPr>
            <w:tcW w:w="1915" w:type="dxa"/>
          </w:tcPr>
          <w:p w:rsidR="00415BFD" w:rsidRPr="004A6AA7" w:rsidRDefault="00415BFD" w:rsidP="00F5391C">
            <w:pPr>
              <w:pStyle w:val="Tabletext"/>
              <w:spacing w:before="60" w:after="60"/>
              <w:jc w:val="center"/>
              <w:cnfStyle w:val="100000000000" w:firstRow="1" w:lastRow="0" w:firstColumn="0" w:lastColumn="0" w:oddVBand="0" w:evenVBand="0" w:oddHBand="0" w:evenHBand="0" w:firstRowFirstColumn="0" w:firstRowLastColumn="0" w:lastRowFirstColumn="0" w:lastRowLastColumn="0"/>
            </w:pPr>
            <w:r>
              <w:t>GBD 2010    Disability weights (95% CI)</w:t>
            </w:r>
          </w:p>
        </w:tc>
        <w:tc>
          <w:tcPr>
            <w:tcW w:w="1830" w:type="dxa"/>
          </w:tcPr>
          <w:p w:rsidR="00415BFD" w:rsidRPr="004A6AA7" w:rsidRDefault="00415BFD" w:rsidP="00F5391C">
            <w:pPr>
              <w:pStyle w:val="Tabletext"/>
              <w:spacing w:before="60" w:after="60"/>
              <w:jc w:val="center"/>
              <w:cnfStyle w:val="100000000000" w:firstRow="1" w:lastRow="0" w:firstColumn="0" w:lastColumn="0" w:oddVBand="0" w:evenVBand="0" w:oddHBand="0" w:evenHBand="0" w:firstRowFirstColumn="0" w:firstRowLastColumn="0" w:lastRowFirstColumn="0" w:lastRowLastColumn="0"/>
            </w:pPr>
            <w:r>
              <w:t>Dutch       Disability weights (95% CI)</w:t>
            </w:r>
          </w:p>
        </w:tc>
      </w:tr>
      <w:tr w:rsidR="00415BFD" w:rsidTr="00AF704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91" w:type="dxa"/>
          </w:tcPr>
          <w:p w:rsidR="00415BFD" w:rsidRPr="006327E1" w:rsidRDefault="00415BFD" w:rsidP="00F5391C">
            <w:pPr>
              <w:pStyle w:val="Tabletext"/>
              <w:spacing w:before="60" w:after="60"/>
              <w:jc w:val="center"/>
              <w:rPr>
                <w:b w:val="0"/>
              </w:rPr>
            </w:pPr>
            <w:r>
              <w:rPr>
                <w:b w:val="0"/>
              </w:rPr>
              <w:t>Mild</w:t>
            </w:r>
          </w:p>
        </w:tc>
        <w:tc>
          <w:tcPr>
            <w:tcW w:w="2154" w:type="dxa"/>
          </w:tcPr>
          <w:p w:rsidR="00415BFD" w:rsidRPr="00453826" w:rsidRDefault="00415BFD" w:rsidP="00453826">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453826">
              <w:t>27.0%</w:t>
            </w:r>
          </w:p>
          <w:p w:rsidR="00415BFD" w:rsidRPr="00453826" w:rsidRDefault="00415BFD" w:rsidP="00453826">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453826">
              <w:t>(22.1% - 32.1%)</w:t>
            </w:r>
          </w:p>
        </w:tc>
        <w:tc>
          <w:tcPr>
            <w:tcW w:w="1916" w:type="dxa"/>
          </w:tcPr>
          <w:p w:rsidR="00415BFD" w:rsidRDefault="00415BFD" w:rsidP="00F5391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F56809">
              <w:t xml:space="preserve">0.145 </w:t>
            </w:r>
          </w:p>
          <w:p w:rsidR="00415BFD" w:rsidRPr="00F56809" w:rsidRDefault="00415BFD" w:rsidP="00F5391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F56809">
              <w:t>(0.099 - 0.209)</w:t>
            </w:r>
          </w:p>
        </w:tc>
        <w:tc>
          <w:tcPr>
            <w:tcW w:w="1915" w:type="dxa"/>
          </w:tcPr>
          <w:p w:rsidR="00415BFD" w:rsidRDefault="00415BFD" w:rsidP="00F5391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F56809">
              <w:t>0.15</w:t>
            </w:r>
            <w:r>
              <w:t>9</w:t>
            </w:r>
            <w:r w:rsidRPr="00F56809">
              <w:t xml:space="preserve"> </w:t>
            </w:r>
          </w:p>
          <w:p w:rsidR="00415BFD" w:rsidRPr="00F56809" w:rsidRDefault="00415BFD" w:rsidP="00F5391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t>(0.107</w:t>
            </w:r>
            <w:r w:rsidRPr="00F56809">
              <w:t xml:space="preserve"> - 0.2</w:t>
            </w:r>
            <w:r>
              <w:t>23</w:t>
            </w:r>
            <w:r w:rsidRPr="00F56809">
              <w:t>)</w:t>
            </w:r>
          </w:p>
        </w:tc>
        <w:tc>
          <w:tcPr>
            <w:tcW w:w="1830" w:type="dxa"/>
          </w:tcPr>
          <w:p w:rsidR="00415BFD" w:rsidRDefault="00415BFD" w:rsidP="00F5391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t xml:space="preserve">0.14 </w:t>
            </w:r>
          </w:p>
          <w:p w:rsidR="00415BFD" w:rsidRPr="00F56809" w:rsidRDefault="00415BFD" w:rsidP="00F5391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t>(0.086 – 0.194)</w:t>
            </w:r>
          </w:p>
        </w:tc>
      </w:tr>
      <w:tr w:rsidR="00415BFD" w:rsidTr="00AF704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91" w:type="dxa"/>
          </w:tcPr>
          <w:p w:rsidR="00415BFD" w:rsidRPr="006327E1" w:rsidRDefault="00415BFD" w:rsidP="00F5391C">
            <w:pPr>
              <w:pStyle w:val="Tabletext"/>
              <w:spacing w:before="60" w:after="60"/>
              <w:jc w:val="center"/>
              <w:rPr>
                <w:b w:val="0"/>
              </w:rPr>
            </w:pPr>
            <w:r>
              <w:rPr>
                <w:b w:val="0"/>
              </w:rPr>
              <w:t>Moderate</w:t>
            </w:r>
          </w:p>
        </w:tc>
        <w:tc>
          <w:tcPr>
            <w:tcW w:w="2154" w:type="dxa"/>
          </w:tcPr>
          <w:p w:rsidR="00415BFD" w:rsidRPr="00453826" w:rsidRDefault="00415BFD" w:rsidP="00453826">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rsidRPr="00453826">
              <w:t>42.5%</w:t>
            </w:r>
          </w:p>
          <w:p w:rsidR="00415BFD" w:rsidRPr="00453826" w:rsidRDefault="00415BFD" w:rsidP="00453826">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rsidRPr="00453826">
              <w:t>(38.1% - 47.1%)</w:t>
            </w:r>
          </w:p>
        </w:tc>
        <w:tc>
          <w:tcPr>
            <w:tcW w:w="1916" w:type="dxa"/>
          </w:tcPr>
          <w:p w:rsidR="00415BFD" w:rsidRDefault="00415BFD" w:rsidP="00F5391C">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rsidRPr="00F56809">
              <w:t xml:space="preserve">0.396 </w:t>
            </w:r>
          </w:p>
          <w:p w:rsidR="00415BFD" w:rsidRPr="00F56809" w:rsidRDefault="00415BFD" w:rsidP="00F5391C">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rsidRPr="00F56809">
              <w:t>(0.267 - 0.531)</w:t>
            </w:r>
          </w:p>
        </w:tc>
        <w:tc>
          <w:tcPr>
            <w:tcW w:w="1915" w:type="dxa"/>
          </w:tcPr>
          <w:p w:rsidR="00415BFD" w:rsidRDefault="00415BFD" w:rsidP="00F5391C">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t>0.406</w:t>
            </w:r>
            <w:r w:rsidRPr="00F56809">
              <w:t xml:space="preserve"> </w:t>
            </w:r>
          </w:p>
          <w:p w:rsidR="00415BFD" w:rsidRPr="00F56809" w:rsidRDefault="00415BFD" w:rsidP="00F5391C">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t>(0.276</w:t>
            </w:r>
            <w:r w:rsidRPr="00F56809">
              <w:t xml:space="preserve"> - 0.</w:t>
            </w:r>
            <w:r>
              <w:t>551</w:t>
            </w:r>
            <w:r w:rsidRPr="00F56809">
              <w:t>)</w:t>
            </w:r>
          </w:p>
        </w:tc>
        <w:tc>
          <w:tcPr>
            <w:tcW w:w="1830" w:type="dxa"/>
          </w:tcPr>
          <w:p w:rsidR="00415BFD" w:rsidRDefault="00415BFD" w:rsidP="00F5391C">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t xml:space="preserve">0.35  </w:t>
            </w:r>
          </w:p>
          <w:p w:rsidR="00415BFD" w:rsidRPr="00F56809" w:rsidRDefault="00415BFD" w:rsidP="00F5391C">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t xml:space="preserve"> (0.272 – 0.425)</w:t>
            </w:r>
          </w:p>
        </w:tc>
      </w:tr>
      <w:tr w:rsidR="00415BFD" w:rsidTr="00AF704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91" w:type="dxa"/>
          </w:tcPr>
          <w:p w:rsidR="00415BFD" w:rsidRPr="006327E1" w:rsidRDefault="00415BFD" w:rsidP="00F5391C">
            <w:pPr>
              <w:pStyle w:val="Tabletext"/>
              <w:spacing w:before="60" w:after="60"/>
              <w:jc w:val="center"/>
              <w:rPr>
                <w:b w:val="0"/>
              </w:rPr>
            </w:pPr>
            <w:r>
              <w:rPr>
                <w:b w:val="0"/>
              </w:rPr>
              <w:t>Severe</w:t>
            </w:r>
          </w:p>
        </w:tc>
        <w:tc>
          <w:tcPr>
            <w:tcW w:w="2154" w:type="dxa"/>
          </w:tcPr>
          <w:p w:rsidR="00415BFD" w:rsidRPr="00453826" w:rsidRDefault="00415BFD" w:rsidP="00453826">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453826">
              <w:t>30.4%</w:t>
            </w:r>
          </w:p>
          <w:p w:rsidR="00415BFD" w:rsidRPr="00453826" w:rsidRDefault="00415BFD" w:rsidP="00453826">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453826">
              <w:t>(26.5% - 34.6%)</w:t>
            </w:r>
          </w:p>
        </w:tc>
        <w:tc>
          <w:tcPr>
            <w:tcW w:w="1916" w:type="dxa"/>
          </w:tcPr>
          <w:p w:rsidR="00415BFD" w:rsidRDefault="00415BFD" w:rsidP="00F5391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F56809">
              <w:t xml:space="preserve">0.658 </w:t>
            </w:r>
          </w:p>
          <w:p w:rsidR="00415BFD" w:rsidRDefault="00415BFD" w:rsidP="00F5391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rsidRPr="00F56809">
              <w:t>(0.477 - 0.807)</w:t>
            </w:r>
          </w:p>
        </w:tc>
        <w:tc>
          <w:tcPr>
            <w:tcW w:w="1915" w:type="dxa"/>
          </w:tcPr>
          <w:p w:rsidR="00415BFD" w:rsidRDefault="00415BFD" w:rsidP="00F5391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t>0.655</w:t>
            </w:r>
            <w:r w:rsidRPr="00F56809">
              <w:t xml:space="preserve"> </w:t>
            </w:r>
          </w:p>
          <w:p w:rsidR="00415BFD" w:rsidRDefault="00415BFD" w:rsidP="00F5391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t>(0.469</w:t>
            </w:r>
            <w:r w:rsidRPr="00F56809">
              <w:t xml:space="preserve"> - 0.</w:t>
            </w:r>
            <w:r>
              <w:t>816</w:t>
            </w:r>
            <w:r w:rsidRPr="00F56809">
              <w:t>)</w:t>
            </w:r>
          </w:p>
        </w:tc>
        <w:tc>
          <w:tcPr>
            <w:tcW w:w="1830" w:type="dxa"/>
          </w:tcPr>
          <w:p w:rsidR="00415BFD" w:rsidRDefault="00415BFD" w:rsidP="00F5391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t>0.76</w:t>
            </w:r>
          </w:p>
          <w:p w:rsidR="00415BFD" w:rsidRDefault="00415BFD" w:rsidP="00F5391C">
            <w:pPr>
              <w:pStyle w:val="Tabletext"/>
              <w:spacing w:before="60" w:after="60"/>
              <w:jc w:val="center"/>
              <w:cnfStyle w:val="000000100000" w:firstRow="0" w:lastRow="0" w:firstColumn="0" w:lastColumn="0" w:oddVBand="0" w:evenVBand="0" w:oddHBand="1" w:evenHBand="0" w:firstRowFirstColumn="0" w:firstRowLastColumn="0" w:lastRowFirstColumn="0" w:lastRowLastColumn="0"/>
            </w:pPr>
            <w:r>
              <w:t>(0.556 – 0.971)</w:t>
            </w:r>
          </w:p>
        </w:tc>
      </w:tr>
      <w:tr w:rsidR="00415BFD" w:rsidTr="00AF704F">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91" w:type="dxa"/>
          </w:tcPr>
          <w:p w:rsidR="00415BFD" w:rsidRPr="006327E1" w:rsidRDefault="00415BFD" w:rsidP="00F5391C">
            <w:pPr>
              <w:pStyle w:val="Tabletext"/>
              <w:spacing w:before="60" w:after="60"/>
              <w:jc w:val="center"/>
              <w:rPr>
                <w:b w:val="0"/>
              </w:rPr>
            </w:pPr>
            <w:r>
              <w:rPr>
                <w:b w:val="0"/>
              </w:rPr>
              <w:t>Weighted average</w:t>
            </w:r>
          </w:p>
        </w:tc>
        <w:tc>
          <w:tcPr>
            <w:tcW w:w="2154" w:type="dxa"/>
          </w:tcPr>
          <w:p w:rsidR="00415BFD" w:rsidRPr="00EB4147" w:rsidRDefault="00415BFD" w:rsidP="00B43D00">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t>N/A</w:t>
            </w:r>
          </w:p>
        </w:tc>
        <w:tc>
          <w:tcPr>
            <w:tcW w:w="1916" w:type="dxa"/>
          </w:tcPr>
          <w:p w:rsidR="00415BFD" w:rsidRDefault="00415BFD" w:rsidP="00F5391C">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rsidRPr="009A1215">
              <w:t xml:space="preserve">0.407 </w:t>
            </w:r>
          </w:p>
          <w:p w:rsidR="00415BFD" w:rsidRPr="0022646F" w:rsidRDefault="00415BFD" w:rsidP="00F5391C">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rsidRPr="009A1215">
              <w:t>(0.324 - 0.485)</w:t>
            </w:r>
          </w:p>
        </w:tc>
        <w:tc>
          <w:tcPr>
            <w:tcW w:w="1915" w:type="dxa"/>
          </w:tcPr>
          <w:p w:rsidR="00415BFD" w:rsidRDefault="00415BFD" w:rsidP="00F5391C">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rsidRPr="009A1215">
              <w:t xml:space="preserve">0.414 </w:t>
            </w:r>
          </w:p>
          <w:p w:rsidR="00415BFD" w:rsidRPr="0022646F" w:rsidRDefault="00415BFD" w:rsidP="00F5391C">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rsidRPr="009A1215">
              <w:t>(0.333 - 0.495)</w:t>
            </w:r>
          </w:p>
        </w:tc>
        <w:tc>
          <w:tcPr>
            <w:tcW w:w="1830" w:type="dxa"/>
          </w:tcPr>
          <w:p w:rsidR="00415BFD" w:rsidRDefault="00415BFD" w:rsidP="00F5391C">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rsidRPr="009A1215">
              <w:t xml:space="preserve">0.418 </w:t>
            </w:r>
          </w:p>
          <w:p w:rsidR="00415BFD" w:rsidRPr="0022646F" w:rsidRDefault="00415BFD" w:rsidP="009B1049">
            <w:pPr>
              <w:pStyle w:val="Tabletext"/>
              <w:spacing w:before="60" w:after="60"/>
              <w:jc w:val="center"/>
              <w:cnfStyle w:val="000000010000" w:firstRow="0" w:lastRow="0" w:firstColumn="0" w:lastColumn="0" w:oddVBand="0" w:evenVBand="0" w:oddHBand="0" w:evenHBand="1" w:firstRowFirstColumn="0" w:firstRowLastColumn="0" w:lastRowFirstColumn="0" w:lastRowLastColumn="0"/>
            </w:pPr>
            <w:r>
              <w:t>(0.338</w:t>
            </w:r>
            <w:r w:rsidRPr="009A1215">
              <w:t xml:space="preserve"> - 0.4</w:t>
            </w:r>
            <w:r>
              <w:t>88</w:t>
            </w:r>
            <w:r w:rsidRPr="009A1215">
              <w:t>)</w:t>
            </w:r>
          </w:p>
        </w:tc>
      </w:tr>
    </w:tbl>
    <w:p w:rsidR="00415BFD" w:rsidRPr="004F6E3D" w:rsidRDefault="00415BFD" w:rsidP="00EC0D28">
      <w:pPr>
        <w:pStyle w:val="Tabletext"/>
        <w:ind w:left="57"/>
        <w:rPr>
          <w:i/>
        </w:rPr>
      </w:pPr>
      <w:r w:rsidRPr="004F6E3D">
        <w:rPr>
          <w:b/>
          <w:i/>
        </w:rPr>
        <w:t xml:space="preserve">Abbreviations: </w:t>
      </w:r>
      <w:r>
        <w:rPr>
          <w:i/>
        </w:rPr>
        <w:t xml:space="preserve">95% </w:t>
      </w:r>
      <w:r w:rsidRPr="004F6E3D">
        <w:rPr>
          <w:i/>
        </w:rPr>
        <w:t xml:space="preserve">CI – </w:t>
      </w:r>
      <w:r>
        <w:rPr>
          <w:i/>
        </w:rPr>
        <w:t xml:space="preserve">95% </w:t>
      </w:r>
      <w:r w:rsidRPr="004F6E3D">
        <w:rPr>
          <w:i/>
        </w:rPr>
        <w:t xml:space="preserve">confidence interval; </w:t>
      </w:r>
      <w:r>
        <w:rPr>
          <w:i/>
        </w:rPr>
        <w:t xml:space="preserve">DSM-IV </w:t>
      </w:r>
      <w:r w:rsidRPr="004F6E3D">
        <w:rPr>
          <w:i/>
        </w:rPr>
        <w:t>–</w:t>
      </w:r>
      <w:r>
        <w:rPr>
          <w:i/>
        </w:rPr>
        <w:t xml:space="preserve"> Diagnostic and Statistical Manual of Mental Disorders (4th edition); </w:t>
      </w:r>
      <w:r w:rsidRPr="004F6E3D">
        <w:rPr>
          <w:i/>
        </w:rPr>
        <w:t>GBD – Global Burden of Disease</w:t>
      </w:r>
      <w:r>
        <w:rPr>
          <w:i/>
        </w:rPr>
        <w:t xml:space="preserve">; N/A </w:t>
      </w:r>
      <w:r w:rsidRPr="004F6E3D">
        <w:rPr>
          <w:i/>
        </w:rPr>
        <w:t>–</w:t>
      </w:r>
      <w:r>
        <w:rPr>
          <w:i/>
        </w:rPr>
        <w:t xml:space="preserve"> Not applicable</w:t>
      </w:r>
    </w:p>
    <w:p w:rsidR="00415BFD" w:rsidRDefault="00415BFD" w:rsidP="005330D9">
      <w:pPr>
        <w:rPr>
          <w:lang w:bidi="ar-SA"/>
        </w:rPr>
      </w:pPr>
    </w:p>
    <w:p w:rsidR="00415BFD" w:rsidRDefault="00415BFD" w:rsidP="005330D9">
      <w:pPr>
        <w:rPr>
          <w:lang w:bidi="ar-SA"/>
        </w:rPr>
      </w:pPr>
    </w:p>
    <w:p w:rsidR="00415BFD" w:rsidRDefault="00415BFD" w:rsidP="00D6556D">
      <w:pPr>
        <w:rPr>
          <w:lang w:bidi="ar-SA"/>
        </w:rPr>
      </w:pPr>
      <w:r>
        <w:rPr>
          <w:lang w:bidi="ar-SA"/>
        </w:rPr>
        <w:br w:type="page"/>
      </w:r>
    </w:p>
    <w:p w:rsidR="00415BFD" w:rsidRDefault="00415BFD" w:rsidP="00B54903">
      <w:pPr>
        <w:pStyle w:val="Heading1"/>
      </w:pPr>
      <w:bookmarkStart w:id="138" w:name="_Ref450750868"/>
      <w:bookmarkStart w:id="139" w:name="_Ref450770712"/>
      <w:bookmarkStart w:id="140" w:name="_Toc452066407"/>
      <w:r>
        <w:lastRenderedPageBreak/>
        <w:t>Cost analysis</w:t>
      </w:r>
      <w:bookmarkEnd w:id="138"/>
      <w:bookmarkEnd w:id="139"/>
      <w:bookmarkEnd w:id="140"/>
    </w:p>
    <w:p w:rsidR="00415BFD" w:rsidRDefault="00415BFD" w:rsidP="00CD4BEB">
      <w:pPr>
        <w:pStyle w:val="Heading3"/>
      </w:pPr>
      <w:bookmarkStart w:id="141" w:name="_Toc452066408"/>
      <w:r>
        <w:t>Overview</w:t>
      </w:r>
      <w:bookmarkEnd w:id="141"/>
    </w:p>
    <w:p w:rsidR="00415BFD" w:rsidRDefault="00415BFD" w:rsidP="00CD4BEB">
      <w:pPr>
        <w:rPr>
          <w:lang w:bidi="ar-SA"/>
        </w:rPr>
      </w:pPr>
      <w:r>
        <w:rPr>
          <w:lang w:bidi="ar-SA"/>
        </w:rPr>
        <w:t>This section outlines the steps used to conduct the cost analysis of intervention pathways for universal psychological intervention and indicated psychological intervention using either face-to-face or internet-based delivery; as well as indicated bibliotherapy, which was analysed in a subsequent sensitivity analysis.</w:t>
      </w:r>
    </w:p>
    <w:p w:rsidR="00415BFD" w:rsidRDefault="00415BFD" w:rsidP="00CD4BEB">
      <w:pPr>
        <w:rPr>
          <w:lang w:bidi="ar-SA"/>
        </w:rPr>
      </w:pPr>
    </w:p>
    <w:p w:rsidR="00415BFD" w:rsidRPr="009B4DF9" w:rsidRDefault="00415BFD" w:rsidP="00B958C2">
      <w:pPr>
        <w:pStyle w:val="Heading3"/>
      </w:pPr>
      <w:bookmarkStart w:id="142" w:name="_Toc429979214"/>
      <w:bookmarkStart w:id="143" w:name="_Ref451179133"/>
      <w:bookmarkStart w:id="144" w:name="_Toc452066409"/>
      <w:r>
        <w:t xml:space="preserve">Cost analysis of </w:t>
      </w:r>
      <w:bookmarkEnd w:id="142"/>
      <w:r>
        <w:t>face-to-face universal psychological intervention</w:t>
      </w:r>
      <w:bookmarkEnd w:id="143"/>
      <w:bookmarkEnd w:id="144"/>
    </w:p>
    <w:p w:rsidR="00415BFD" w:rsidRDefault="00415BFD" w:rsidP="00C3689E">
      <w:pPr>
        <w:rPr>
          <w:lang w:bidi="ar-SA"/>
        </w:rPr>
      </w:pPr>
      <w:r w:rsidRPr="00730EEF">
        <w:t>The intervention pathway for face-to-face delivery of universal p</w:t>
      </w:r>
      <w:r>
        <w:t>sychological prevention involved</w:t>
      </w:r>
      <w:r w:rsidRPr="00730EEF">
        <w:t xml:space="preserve"> teachers delivering psychological intervention modules in class during regular school hours.</w:t>
      </w:r>
      <w:r>
        <w:t xml:space="preserve"> </w:t>
      </w:r>
      <w:r>
        <w:rPr>
          <w:lang w:bidi="ar-SA"/>
        </w:rPr>
        <w:fldChar w:fldCharType="begin"/>
      </w:r>
      <w:r>
        <w:rPr>
          <w:lang w:bidi="ar-SA"/>
        </w:rPr>
        <w:instrText xml:space="preserve"> REF _Ref451292768 \n \h </w:instrText>
      </w:r>
      <w:r>
        <w:rPr>
          <w:lang w:bidi="ar-SA"/>
        </w:rPr>
      </w:r>
      <w:r>
        <w:rPr>
          <w:lang w:bidi="ar-SA"/>
        </w:rPr>
        <w:fldChar w:fldCharType="separate"/>
      </w:r>
      <w:r>
        <w:rPr>
          <w:lang w:bidi="ar-SA"/>
        </w:rPr>
        <w:t>Table 3</w:t>
      </w:r>
      <w:r>
        <w:rPr>
          <w:lang w:bidi="ar-SA"/>
        </w:rPr>
        <w:fldChar w:fldCharType="end"/>
      </w:r>
      <w:r>
        <w:rPr>
          <w:lang w:bidi="ar-SA"/>
        </w:rPr>
        <w:t xml:space="preserve"> provides a brief description of the rationale behind data and assumption used to cost intervention pathways for universal prevention. This section provides further details on how we costed the intervention pathway for the face-to-face delivery of universal psychological prevention via teachers in schools. </w:t>
      </w:r>
      <w:r>
        <w:rPr>
          <w:lang w:bidi="ar-SA"/>
        </w:rPr>
        <w:fldChar w:fldCharType="begin"/>
      </w:r>
      <w:r>
        <w:rPr>
          <w:lang w:bidi="ar-SA"/>
        </w:rPr>
        <w:instrText xml:space="preserve"> REF _Ref427770827 \n \h </w:instrText>
      </w:r>
      <w:r>
        <w:rPr>
          <w:lang w:bidi="ar-SA"/>
        </w:rPr>
      </w:r>
      <w:r>
        <w:rPr>
          <w:lang w:bidi="ar-SA"/>
        </w:rPr>
        <w:fldChar w:fldCharType="separate"/>
      </w:r>
      <w:r>
        <w:rPr>
          <w:lang w:bidi="ar-SA"/>
        </w:rPr>
        <w:t>Table 18</w:t>
      </w:r>
      <w:r>
        <w:rPr>
          <w:lang w:bidi="ar-SA"/>
        </w:rPr>
        <w:fldChar w:fldCharType="end"/>
      </w:r>
      <w:r>
        <w:rPr>
          <w:lang w:bidi="ar-SA"/>
        </w:rPr>
        <w:t xml:space="preserve"> presents a summary of the different cost items associated with the face-to-face delivery of universal prevention. The total cost of each cost item is (broadly speaking) the product of unit cost, quantity and (when applicable) time. Resource use parameters and unit costs that were used to enumerate these cost items are presented in Table 2 of the main manuscript. A detailed summary of the method used to cost the intervention pathway for face-to-face delivery of universal psychological intervention is provided below.</w:t>
      </w:r>
    </w:p>
    <w:p w:rsidR="00415BFD" w:rsidRDefault="00415BFD" w:rsidP="00B958C2">
      <w:pPr>
        <w:rPr>
          <w:lang w:bidi="ar-SA"/>
        </w:rPr>
      </w:pPr>
    </w:p>
    <w:p w:rsidR="00415BFD" w:rsidRDefault="00415BFD" w:rsidP="00415BFD">
      <w:pPr>
        <w:pStyle w:val="MyTable"/>
        <w:numPr>
          <w:ilvl w:val="3"/>
          <w:numId w:val="9"/>
        </w:numPr>
        <w:rPr>
          <w:lang w:bidi="ar-SA"/>
        </w:rPr>
      </w:pPr>
      <w:bookmarkStart w:id="145" w:name="_Ref427770827"/>
      <w:bookmarkStart w:id="146" w:name="_Toc452066463"/>
      <w:r>
        <w:rPr>
          <w:lang w:bidi="ar-SA"/>
        </w:rPr>
        <w:t>C</w:t>
      </w:r>
      <w:r w:rsidRPr="00AB67EA">
        <w:rPr>
          <w:lang w:bidi="ar-SA"/>
        </w:rPr>
        <w:t xml:space="preserve">ost items for face-to-face delivery of </w:t>
      </w:r>
      <w:r>
        <w:rPr>
          <w:lang w:bidi="ar-SA"/>
        </w:rPr>
        <w:t>universal</w:t>
      </w:r>
      <w:r w:rsidRPr="00AB67EA">
        <w:rPr>
          <w:lang w:bidi="ar-SA"/>
        </w:rPr>
        <w:t xml:space="preserve"> psychological </w:t>
      </w:r>
      <w:bookmarkEnd w:id="145"/>
      <w:r>
        <w:rPr>
          <w:lang w:bidi="ar-SA"/>
        </w:rPr>
        <w:t>intervention</w:t>
      </w:r>
      <w:bookmarkEnd w:id="146"/>
    </w:p>
    <w:tbl>
      <w:tblPr>
        <w:tblW w:w="8652" w:type="dxa"/>
        <w:jc w:val="center"/>
        <w:tblLayout w:type="fixed"/>
        <w:tblLook w:val="04A0" w:firstRow="1" w:lastRow="0" w:firstColumn="1" w:lastColumn="0" w:noHBand="0" w:noVBand="1"/>
      </w:tblPr>
      <w:tblGrid>
        <w:gridCol w:w="3493"/>
        <w:gridCol w:w="1304"/>
        <w:gridCol w:w="1247"/>
        <w:gridCol w:w="1247"/>
        <w:gridCol w:w="1361"/>
      </w:tblGrid>
      <w:tr w:rsidR="00415BFD" w:rsidRPr="00B958C2" w:rsidTr="00935075">
        <w:trPr>
          <w:trHeight w:val="309"/>
          <w:jc w:val="center"/>
        </w:trPr>
        <w:tc>
          <w:tcPr>
            <w:tcW w:w="3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BFD" w:rsidRPr="00B958C2" w:rsidRDefault="00415BFD" w:rsidP="007C7C28">
            <w:pPr>
              <w:spacing w:line="240" w:lineRule="auto"/>
              <w:jc w:val="center"/>
              <w:rPr>
                <w:rFonts w:ascii="Calibri" w:eastAsia="Times New Roman" w:hAnsi="Calibri"/>
                <w:b/>
                <w:bCs/>
                <w:color w:val="000000"/>
                <w:sz w:val="18"/>
                <w:lang w:eastAsia="en-AU" w:bidi="ar-SA"/>
              </w:rPr>
            </w:pPr>
            <w:r w:rsidRPr="00B958C2">
              <w:rPr>
                <w:rFonts w:ascii="Calibri" w:eastAsia="Times New Roman" w:hAnsi="Calibri"/>
                <w:b/>
                <w:bCs/>
                <w:color w:val="000000"/>
                <w:sz w:val="18"/>
                <w:lang w:eastAsia="en-AU" w:bidi="ar-SA"/>
              </w:rPr>
              <w:t>Cost item</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415BFD" w:rsidRPr="00B958C2" w:rsidRDefault="00415BFD" w:rsidP="007C7C28">
            <w:pPr>
              <w:spacing w:line="240" w:lineRule="auto"/>
              <w:jc w:val="center"/>
              <w:rPr>
                <w:rFonts w:ascii="Calibri" w:eastAsia="Times New Roman" w:hAnsi="Calibri"/>
                <w:b/>
                <w:bCs/>
                <w:color w:val="000000"/>
                <w:sz w:val="18"/>
                <w:lang w:eastAsia="en-AU" w:bidi="ar-SA"/>
              </w:rPr>
            </w:pPr>
            <w:r w:rsidRPr="00B958C2">
              <w:rPr>
                <w:rFonts w:ascii="Calibri" w:eastAsia="Times New Roman" w:hAnsi="Calibri"/>
                <w:b/>
                <w:bCs/>
                <w:color w:val="000000"/>
                <w:sz w:val="18"/>
                <w:lang w:eastAsia="en-AU" w:bidi="ar-SA"/>
              </w:rPr>
              <w:t>Unit Cost</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415BFD" w:rsidRPr="00B958C2" w:rsidRDefault="00415BFD" w:rsidP="007C7C28">
            <w:pPr>
              <w:spacing w:line="240" w:lineRule="auto"/>
              <w:jc w:val="center"/>
              <w:rPr>
                <w:rFonts w:ascii="Calibri" w:eastAsia="Times New Roman" w:hAnsi="Calibri"/>
                <w:b/>
                <w:bCs/>
                <w:color w:val="000000"/>
                <w:sz w:val="18"/>
                <w:lang w:eastAsia="en-AU" w:bidi="ar-SA"/>
              </w:rPr>
            </w:pPr>
            <w:r w:rsidRPr="00B958C2">
              <w:rPr>
                <w:rFonts w:ascii="Calibri" w:eastAsia="Times New Roman" w:hAnsi="Calibri"/>
                <w:b/>
                <w:bCs/>
                <w:color w:val="000000"/>
                <w:sz w:val="18"/>
                <w:lang w:eastAsia="en-AU" w:bidi="ar-SA"/>
              </w:rPr>
              <w:t>Quantity</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415BFD" w:rsidRPr="00B958C2" w:rsidRDefault="00415BFD" w:rsidP="007C7C28">
            <w:pPr>
              <w:spacing w:line="240" w:lineRule="auto"/>
              <w:jc w:val="center"/>
              <w:rPr>
                <w:rFonts w:ascii="Calibri" w:eastAsia="Times New Roman" w:hAnsi="Calibri"/>
                <w:b/>
                <w:bCs/>
                <w:color w:val="000000"/>
                <w:sz w:val="18"/>
                <w:lang w:eastAsia="en-AU" w:bidi="ar-SA"/>
              </w:rPr>
            </w:pPr>
            <w:r w:rsidRPr="00B958C2">
              <w:rPr>
                <w:rFonts w:ascii="Calibri" w:eastAsia="Times New Roman" w:hAnsi="Calibri"/>
                <w:b/>
                <w:bCs/>
                <w:color w:val="000000"/>
                <w:sz w:val="18"/>
                <w:lang w:eastAsia="en-AU" w:bidi="ar-SA"/>
              </w:rPr>
              <w:t>Time (hrs)</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415BFD" w:rsidRPr="00B958C2" w:rsidRDefault="00415BFD" w:rsidP="007C7C28">
            <w:pPr>
              <w:spacing w:line="240" w:lineRule="auto"/>
              <w:jc w:val="center"/>
              <w:rPr>
                <w:rFonts w:ascii="Calibri" w:eastAsia="Times New Roman" w:hAnsi="Calibri"/>
                <w:b/>
                <w:bCs/>
                <w:color w:val="000000"/>
                <w:sz w:val="18"/>
                <w:lang w:eastAsia="en-AU" w:bidi="ar-SA"/>
              </w:rPr>
            </w:pPr>
            <w:r w:rsidRPr="00B958C2">
              <w:rPr>
                <w:rFonts w:ascii="Calibri" w:eastAsia="Times New Roman" w:hAnsi="Calibri"/>
                <w:b/>
                <w:bCs/>
                <w:color w:val="000000"/>
                <w:sz w:val="18"/>
                <w:lang w:eastAsia="en-AU" w:bidi="ar-SA"/>
              </w:rPr>
              <w:t>Total</w:t>
            </w:r>
          </w:p>
        </w:tc>
      </w:tr>
      <w:tr w:rsidR="00415BFD" w:rsidRPr="00B958C2" w:rsidTr="00935075">
        <w:trPr>
          <w:trHeight w:val="309"/>
          <w:jc w:val="center"/>
        </w:trPr>
        <w:tc>
          <w:tcPr>
            <w:tcW w:w="3493" w:type="dxa"/>
            <w:tcBorders>
              <w:top w:val="nil"/>
              <w:left w:val="single" w:sz="4" w:space="0" w:color="auto"/>
              <w:bottom w:val="nil"/>
              <w:right w:val="single" w:sz="4" w:space="0" w:color="auto"/>
            </w:tcBorders>
            <w:shd w:val="clear" w:color="auto" w:fill="auto"/>
            <w:noWrap/>
            <w:vAlign w:val="center"/>
            <w:hideMark/>
          </w:tcPr>
          <w:p w:rsidR="00415BFD" w:rsidRPr="00B958C2" w:rsidRDefault="00415BFD" w:rsidP="007C7C28">
            <w:pPr>
              <w:spacing w:line="240" w:lineRule="auto"/>
              <w:jc w:val="left"/>
              <w:rPr>
                <w:rFonts w:ascii="Calibri" w:eastAsia="Times New Roman" w:hAnsi="Calibri"/>
                <w:b/>
                <w:bCs/>
                <w:color w:val="963634"/>
                <w:sz w:val="18"/>
                <w:lang w:eastAsia="en-AU" w:bidi="ar-SA"/>
              </w:rPr>
            </w:pPr>
            <w:r>
              <w:rPr>
                <w:rFonts w:ascii="Calibri" w:eastAsia="Times New Roman" w:hAnsi="Calibri"/>
                <w:b/>
                <w:bCs/>
                <w:color w:val="963634"/>
                <w:sz w:val="18"/>
                <w:lang w:eastAsia="en-AU" w:bidi="ar-SA"/>
              </w:rPr>
              <w:t>A</w:t>
            </w:r>
            <w:r w:rsidRPr="00B958C2">
              <w:rPr>
                <w:rFonts w:ascii="Calibri" w:eastAsia="Times New Roman" w:hAnsi="Calibri"/>
                <w:b/>
                <w:bCs/>
                <w:color w:val="963634"/>
                <w:sz w:val="18"/>
                <w:lang w:eastAsia="en-AU" w:bidi="ar-SA"/>
              </w:rPr>
              <w:t>. Intervention delivery</w:t>
            </w:r>
          </w:p>
        </w:tc>
        <w:tc>
          <w:tcPr>
            <w:tcW w:w="1304" w:type="dxa"/>
            <w:tcBorders>
              <w:top w:val="nil"/>
              <w:left w:val="nil"/>
              <w:bottom w:val="nil"/>
              <w:right w:val="nil"/>
            </w:tcBorders>
            <w:shd w:val="clear" w:color="auto" w:fill="auto"/>
            <w:noWrap/>
            <w:vAlign w:val="center"/>
            <w:hideMark/>
          </w:tcPr>
          <w:p w:rsidR="00415BFD" w:rsidRPr="00B958C2" w:rsidRDefault="00415BFD" w:rsidP="007C7C28">
            <w:pPr>
              <w:spacing w:line="240" w:lineRule="auto"/>
              <w:jc w:val="left"/>
              <w:rPr>
                <w:rFonts w:ascii="Calibri" w:eastAsia="Times New Roman" w:hAnsi="Calibri"/>
                <w:color w:val="000000"/>
                <w:sz w:val="18"/>
                <w:lang w:eastAsia="en-AU" w:bidi="ar-SA"/>
              </w:rPr>
            </w:pPr>
          </w:p>
        </w:tc>
        <w:tc>
          <w:tcPr>
            <w:tcW w:w="1247" w:type="dxa"/>
            <w:tcBorders>
              <w:top w:val="nil"/>
              <w:left w:val="single" w:sz="4" w:space="0" w:color="auto"/>
              <w:bottom w:val="nil"/>
              <w:right w:val="single" w:sz="4" w:space="0" w:color="auto"/>
            </w:tcBorders>
            <w:shd w:val="clear" w:color="auto" w:fill="auto"/>
            <w:noWrap/>
            <w:vAlign w:val="center"/>
            <w:hideMark/>
          </w:tcPr>
          <w:p w:rsidR="00415BFD" w:rsidRPr="00B958C2" w:rsidRDefault="00415BFD" w:rsidP="007C7C28">
            <w:pPr>
              <w:spacing w:line="240" w:lineRule="auto"/>
              <w:jc w:val="center"/>
              <w:rPr>
                <w:rFonts w:ascii="Calibri" w:eastAsia="Times New Roman" w:hAnsi="Calibri"/>
                <w:color w:val="000000"/>
                <w:sz w:val="18"/>
                <w:lang w:eastAsia="en-AU" w:bidi="ar-SA"/>
              </w:rPr>
            </w:pPr>
          </w:p>
        </w:tc>
        <w:tc>
          <w:tcPr>
            <w:tcW w:w="1247" w:type="dxa"/>
            <w:tcBorders>
              <w:top w:val="nil"/>
              <w:left w:val="nil"/>
              <w:bottom w:val="nil"/>
              <w:right w:val="single" w:sz="4" w:space="0" w:color="auto"/>
            </w:tcBorders>
            <w:shd w:val="clear" w:color="auto" w:fill="auto"/>
            <w:noWrap/>
            <w:vAlign w:val="center"/>
            <w:hideMark/>
          </w:tcPr>
          <w:p w:rsidR="00415BFD" w:rsidRPr="00B958C2" w:rsidRDefault="00415BFD" w:rsidP="007C7C28">
            <w:pPr>
              <w:spacing w:line="240" w:lineRule="auto"/>
              <w:jc w:val="center"/>
              <w:rPr>
                <w:rFonts w:ascii="Calibri" w:eastAsia="Times New Roman" w:hAnsi="Calibri"/>
                <w:color w:val="000000"/>
                <w:sz w:val="18"/>
                <w:lang w:eastAsia="en-AU" w:bidi="ar-SA"/>
              </w:rPr>
            </w:pPr>
          </w:p>
        </w:tc>
        <w:tc>
          <w:tcPr>
            <w:tcW w:w="1361" w:type="dxa"/>
            <w:tcBorders>
              <w:top w:val="nil"/>
              <w:left w:val="nil"/>
              <w:bottom w:val="nil"/>
              <w:right w:val="single" w:sz="4" w:space="0" w:color="auto"/>
            </w:tcBorders>
            <w:shd w:val="clear" w:color="auto" w:fill="auto"/>
            <w:noWrap/>
            <w:vAlign w:val="center"/>
            <w:hideMark/>
          </w:tcPr>
          <w:p w:rsidR="00415BFD" w:rsidRPr="00B958C2" w:rsidRDefault="00415BFD" w:rsidP="007C7C28">
            <w:pPr>
              <w:spacing w:line="240" w:lineRule="auto"/>
              <w:jc w:val="left"/>
              <w:rPr>
                <w:rFonts w:ascii="Calibri" w:eastAsia="Times New Roman" w:hAnsi="Calibri"/>
                <w:color w:val="000000"/>
                <w:sz w:val="18"/>
                <w:lang w:eastAsia="en-AU" w:bidi="ar-SA"/>
              </w:rPr>
            </w:pPr>
          </w:p>
        </w:tc>
      </w:tr>
      <w:tr w:rsidR="00415BFD" w:rsidRPr="00B958C2" w:rsidTr="00935075">
        <w:trPr>
          <w:trHeight w:val="309"/>
          <w:jc w:val="center"/>
        </w:trPr>
        <w:tc>
          <w:tcPr>
            <w:tcW w:w="3493" w:type="dxa"/>
            <w:tcBorders>
              <w:top w:val="nil"/>
              <w:left w:val="single" w:sz="4" w:space="0" w:color="auto"/>
              <w:bottom w:val="nil"/>
              <w:right w:val="single" w:sz="4" w:space="0" w:color="auto"/>
            </w:tcBorders>
            <w:shd w:val="clear" w:color="auto" w:fill="auto"/>
            <w:noWrap/>
            <w:vAlign w:val="center"/>
            <w:hideMark/>
          </w:tcPr>
          <w:p w:rsidR="00415BFD" w:rsidRPr="00B958C2" w:rsidRDefault="00415BFD" w:rsidP="007C7C28">
            <w:pPr>
              <w:spacing w:line="240" w:lineRule="auto"/>
              <w:jc w:val="left"/>
              <w:rPr>
                <w:rFonts w:ascii="Calibri" w:eastAsia="Times New Roman" w:hAnsi="Calibri"/>
                <w:sz w:val="18"/>
                <w:lang w:eastAsia="en-AU" w:bidi="ar-SA"/>
              </w:rPr>
            </w:pPr>
            <w:r w:rsidRPr="00B958C2">
              <w:rPr>
                <w:rFonts w:ascii="Calibri" w:eastAsia="Times New Roman" w:hAnsi="Calibri"/>
                <w:sz w:val="18"/>
                <w:lang w:eastAsia="en-AU" w:bidi="ar-SA"/>
              </w:rPr>
              <w:t>Training teachers to deliver intervention</w:t>
            </w:r>
          </w:p>
        </w:tc>
        <w:tc>
          <w:tcPr>
            <w:tcW w:w="1304" w:type="dxa"/>
            <w:tcBorders>
              <w:top w:val="nil"/>
              <w:left w:val="nil"/>
              <w:bottom w:val="nil"/>
              <w:right w:val="nil"/>
            </w:tcBorders>
            <w:shd w:val="clear" w:color="000000" w:fill="EBF1DE"/>
            <w:noWrap/>
            <w:vAlign w:val="center"/>
            <w:hideMark/>
          </w:tcPr>
          <w:p w:rsidR="00415BFD" w:rsidRPr="00B958C2" w:rsidRDefault="00415BFD" w:rsidP="007C7C28">
            <w:pPr>
              <w:spacing w:line="240" w:lineRule="auto"/>
              <w:jc w:val="left"/>
              <w:rPr>
                <w:rFonts w:ascii="Calibri" w:eastAsia="Times New Roman" w:hAnsi="Calibri"/>
                <w:color w:val="000000"/>
                <w:sz w:val="18"/>
                <w:lang w:eastAsia="en-AU" w:bidi="ar-SA"/>
              </w:rPr>
            </w:pPr>
            <w:r w:rsidRPr="00B958C2">
              <w:rPr>
                <w:rFonts w:ascii="Calibri" w:eastAsia="Times New Roman" w:hAnsi="Calibri"/>
                <w:color w:val="000000"/>
                <w:sz w:val="18"/>
                <w:lang w:eastAsia="en-AU" w:bidi="ar-SA"/>
              </w:rPr>
              <w:t>$             42.33</w:t>
            </w:r>
          </w:p>
        </w:tc>
        <w:tc>
          <w:tcPr>
            <w:tcW w:w="1247" w:type="dxa"/>
            <w:tcBorders>
              <w:top w:val="nil"/>
              <w:left w:val="single" w:sz="4" w:space="0" w:color="auto"/>
              <w:bottom w:val="nil"/>
              <w:right w:val="single" w:sz="4" w:space="0" w:color="auto"/>
            </w:tcBorders>
            <w:shd w:val="clear" w:color="000000" w:fill="EBF1DE"/>
            <w:noWrap/>
            <w:vAlign w:val="center"/>
            <w:hideMark/>
          </w:tcPr>
          <w:p w:rsidR="00415BFD" w:rsidRPr="00B958C2" w:rsidRDefault="00415BFD" w:rsidP="007C7C28">
            <w:pPr>
              <w:spacing w:line="240" w:lineRule="auto"/>
              <w:jc w:val="center"/>
              <w:rPr>
                <w:rFonts w:ascii="Calibri" w:eastAsia="Times New Roman" w:hAnsi="Calibri"/>
                <w:color w:val="000000"/>
                <w:sz w:val="18"/>
                <w:lang w:eastAsia="en-AU" w:bidi="ar-SA"/>
              </w:rPr>
            </w:pPr>
            <w:r>
              <w:rPr>
                <w:rFonts w:ascii="Calibri" w:eastAsia="Times New Roman" w:hAnsi="Calibri"/>
                <w:color w:val="000000"/>
                <w:sz w:val="18"/>
                <w:lang w:eastAsia="en-AU" w:bidi="ar-SA"/>
              </w:rPr>
              <w:t>2,060</w:t>
            </w:r>
          </w:p>
        </w:tc>
        <w:tc>
          <w:tcPr>
            <w:tcW w:w="1247" w:type="dxa"/>
            <w:tcBorders>
              <w:top w:val="nil"/>
              <w:left w:val="nil"/>
              <w:bottom w:val="nil"/>
              <w:right w:val="single" w:sz="4" w:space="0" w:color="auto"/>
            </w:tcBorders>
            <w:shd w:val="clear" w:color="000000" w:fill="EBF1DE"/>
            <w:noWrap/>
            <w:vAlign w:val="center"/>
            <w:hideMark/>
          </w:tcPr>
          <w:p w:rsidR="00415BFD" w:rsidRPr="00B958C2" w:rsidRDefault="00415BFD" w:rsidP="007C7C28">
            <w:pPr>
              <w:spacing w:line="240" w:lineRule="auto"/>
              <w:jc w:val="center"/>
              <w:rPr>
                <w:rFonts w:ascii="Calibri" w:eastAsia="Times New Roman" w:hAnsi="Calibri"/>
                <w:color w:val="000000"/>
                <w:sz w:val="18"/>
                <w:lang w:eastAsia="en-AU" w:bidi="ar-SA"/>
              </w:rPr>
            </w:pPr>
            <w:r>
              <w:rPr>
                <w:rFonts w:ascii="Calibri" w:eastAsia="Times New Roman" w:hAnsi="Calibri"/>
                <w:color w:val="000000"/>
                <w:sz w:val="18"/>
                <w:lang w:eastAsia="en-AU" w:bidi="ar-SA"/>
              </w:rPr>
              <w:t>17.2</w:t>
            </w:r>
          </w:p>
        </w:tc>
        <w:tc>
          <w:tcPr>
            <w:tcW w:w="1361" w:type="dxa"/>
            <w:tcBorders>
              <w:top w:val="nil"/>
              <w:left w:val="nil"/>
              <w:bottom w:val="nil"/>
              <w:right w:val="single" w:sz="4" w:space="0" w:color="auto"/>
            </w:tcBorders>
            <w:shd w:val="clear" w:color="auto" w:fill="auto"/>
            <w:noWrap/>
            <w:vAlign w:val="center"/>
            <w:hideMark/>
          </w:tcPr>
          <w:p w:rsidR="00415BFD" w:rsidRPr="00B958C2" w:rsidRDefault="00415BFD" w:rsidP="00D972F3">
            <w:pPr>
              <w:spacing w:line="240" w:lineRule="auto"/>
              <w:jc w:val="left"/>
              <w:rPr>
                <w:rFonts w:ascii="Calibri" w:eastAsia="Times New Roman" w:hAnsi="Calibri"/>
                <w:color w:val="000000"/>
                <w:sz w:val="18"/>
                <w:lang w:eastAsia="en-AU" w:bidi="ar-SA"/>
              </w:rPr>
            </w:pPr>
            <w:r>
              <w:rPr>
                <w:rFonts w:ascii="Calibri" w:eastAsia="Times New Roman" w:hAnsi="Calibri"/>
                <w:color w:val="000000"/>
                <w:sz w:val="18"/>
                <w:lang w:eastAsia="en-AU" w:bidi="ar-SA"/>
              </w:rPr>
              <w:t xml:space="preserve">$    </w:t>
            </w:r>
            <w:r w:rsidRPr="00B958C2">
              <w:rPr>
                <w:rFonts w:ascii="Calibri" w:eastAsia="Times New Roman" w:hAnsi="Calibri"/>
                <w:color w:val="000000"/>
                <w:sz w:val="18"/>
                <w:lang w:eastAsia="en-AU" w:bidi="ar-SA"/>
              </w:rPr>
              <w:t xml:space="preserve">   </w:t>
            </w:r>
            <w:r>
              <w:rPr>
                <w:rFonts w:ascii="Calibri" w:eastAsia="Times New Roman" w:hAnsi="Calibri"/>
                <w:color w:val="000000"/>
                <w:sz w:val="18"/>
                <w:lang w:eastAsia="en-AU" w:bidi="ar-SA"/>
              </w:rPr>
              <w:t>1,500,048</w:t>
            </w:r>
          </w:p>
        </w:tc>
      </w:tr>
      <w:tr w:rsidR="00415BFD" w:rsidRPr="00B958C2" w:rsidTr="00935075">
        <w:trPr>
          <w:trHeight w:val="309"/>
          <w:jc w:val="center"/>
        </w:trPr>
        <w:tc>
          <w:tcPr>
            <w:tcW w:w="3493" w:type="dxa"/>
            <w:tcBorders>
              <w:top w:val="nil"/>
              <w:left w:val="single" w:sz="4" w:space="0" w:color="auto"/>
              <w:bottom w:val="nil"/>
              <w:right w:val="single" w:sz="4" w:space="0" w:color="auto"/>
            </w:tcBorders>
            <w:shd w:val="clear" w:color="auto" w:fill="auto"/>
            <w:noWrap/>
            <w:vAlign w:val="center"/>
            <w:hideMark/>
          </w:tcPr>
          <w:p w:rsidR="00415BFD" w:rsidRPr="00B958C2" w:rsidRDefault="00415BFD" w:rsidP="009D7468">
            <w:pPr>
              <w:spacing w:line="240" w:lineRule="auto"/>
              <w:jc w:val="left"/>
              <w:rPr>
                <w:rFonts w:ascii="Calibri" w:eastAsia="Times New Roman" w:hAnsi="Calibri"/>
                <w:sz w:val="18"/>
                <w:lang w:eastAsia="en-AU" w:bidi="ar-SA"/>
              </w:rPr>
            </w:pPr>
            <w:r>
              <w:rPr>
                <w:rFonts w:ascii="Calibri" w:eastAsia="Times New Roman" w:hAnsi="Calibri"/>
                <w:sz w:val="18"/>
                <w:lang w:eastAsia="en-AU" w:bidi="ar-SA"/>
              </w:rPr>
              <w:t>Teachers deliver g</w:t>
            </w:r>
            <w:r w:rsidRPr="00B958C2">
              <w:rPr>
                <w:rFonts w:ascii="Calibri" w:eastAsia="Times New Roman" w:hAnsi="Calibri"/>
                <w:sz w:val="18"/>
                <w:lang w:eastAsia="en-AU" w:bidi="ar-SA"/>
              </w:rPr>
              <w:t>roup-based intervention</w:t>
            </w:r>
          </w:p>
        </w:tc>
        <w:tc>
          <w:tcPr>
            <w:tcW w:w="1304" w:type="dxa"/>
            <w:tcBorders>
              <w:top w:val="nil"/>
              <w:left w:val="nil"/>
              <w:bottom w:val="nil"/>
              <w:right w:val="nil"/>
            </w:tcBorders>
            <w:shd w:val="clear" w:color="000000" w:fill="EBF1DE"/>
            <w:noWrap/>
            <w:vAlign w:val="center"/>
            <w:hideMark/>
          </w:tcPr>
          <w:p w:rsidR="00415BFD" w:rsidRPr="00B958C2" w:rsidRDefault="00415BFD" w:rsidP="007C7C28">
            <w:pPr>
              <w:spacing w:line="240" w:lineRule="auto"/>
              <w:jc w:val="left"/>
              <w:rPr>
                <w:rFonts w:ascii="Calibri" w:eastAsia="Times New Roman" w:hAnsi="Calibri"/>
                <w:color w:val="000000"/>
                <w:sz w:val="18"/>
                <w:lang w:eastAsia="en-AU" w:bidi="ar-SA"/>
              </w:rPr>
            </w:pPr>
            <w:r w:rsidRPr="00B958C2">
              <w:rPr>
                <w:rFonts w:ascii="Calibri" w:eastAsia="Times New Roman" w:hAnsi="Calibri"/>
                <w:color w:val="000000"/>
                <w:sz w:val="18"/>
                <w:lang w:eastAsia="en-AU" w:bidi="ar-SA"/>
              </w:rPr>
              <w:t>$             45.26</w:t>
            </w:r>
          </w:p>
        </w:tc>
        <w:tc>
          <w:tcPr>
            <w:tcW w:w="1247" w:type="dxa"/>
            <w:tcBorders>
              <w:top w:val="nil"/>
              <w:left w:val="single" w:sz="4" w:space="0" w:color="auto"/>
              <w:bottom w:val="nil"/>
              <w:right w:val="single" w:sz="4" w:space="0" w:color="auto"/>
            </w:tcBorders>
            <w:shd w:val="clear" w:color="000000" w:fill="EBF1DE"/>
            <w:noWrap/>
            <w:vAlign w:val="center"/>
            <w:hideMark/>
          </w:tcPr>
          <w:p w:rsidR="00415BFD" w:rsidRPr="00B958C2" w:rsidRDefault="00415BFD" w:rsidP="006B2373">
            <w:pPr>
              <w:spacing w:line="240" w:lineRule="auto"/>
              <w:jc w:val="center"/>
              <w:rPr>
                <w:rFonts w:ascii="Calibri" w:eastAsia="Times New Roman" w:hAnsi="Calibri"/>
                <w:color w:val="000000"/>
                <w:sz w:val="18"/>
                <w:lang w:eastAsia="en-AU" w:bidi="ar-SA"/>
              </w:rPr>
            </w:pPr>
            <w:r>
              <w:rPr>
                <w:rFonts w:ascii="Calibri" w:eastAsia="Times New Roman" w:hAnsi="Calibri"/>
                <w:color w:val="000000"/>
                <w:sz w:val="18"/>
                <w:lang w:eastAsia="en-AU" w:bidi="ar-SA"/>
              </w:rPr>
              <w:t>675,230</w:t>
            </w:r>
          </w:p>
        </w:tc>
        <w:tc>
          <w:tcPr>
            <w:tcW w:w="1247" w:type="dxa"/>
            <w:tcBorders>
              <w:top w:val="nil"/>
              <w:left w:val="nil"/>
              <w:bottom w:val="nil"/>
              <w:right w:val="single" w:sz="4" w:space="0" w:color="auto"/>
            </w:tcBorders>
            <w:shd w:val="clear" w:color="000000" w:fill="EBF1DE"/>
            <w:noWrap/>
            <w:vAlign w:val="center"/>
            <w:hideMark/>
          </w:tcPr>
          <w:p w:rsidR="00415BFD" w:rsidRPr="00B958C2" w:rsidRDefault="00415BFD" w:rsidP="007C7C28">
            <w:pPr>
              <w:spacing w:line="240" w:lineRule="auto"/>
              <w:jc w:val="center"/>
              <w:rPr>
                <w:rFonts w:ascii="Calibri" w:eastAsia="Times New Roman" w:hAnsi="Calibri"/>
                <w:color w:val="000000"/>
                <w:sz w:val="18"/>
                <w:lang w:eastAsia="en-AU" w:bidi="ar-SA"/>
              </w:rPr>
            </w:pPr>
            <w:r>
              <w:rPr>
                <w:rFonts w:ascii="Calibri" w:eastAsia="Times New Roman" w:hAnsi="Calibri"/>
                <w:color w:val="000000"/>
                <w:sz w:val="18"/>
                <w:lang w:eastAsia="en-AU" w:bidi="ar-SA"/>
              </w:rPr>
              <w:t>1.2</w:t>
            </w:r>
          </w:p>
        </w:tc>
        <w:tc>
          <w:tcPr>
            <w:tcW w:w="1361" w:type="dxa"/>
            <w:tcBorders>
              <w:top w:val="nil"/>
              <w:left w:val="nil"/>
              <w:bottom w:val="nil"/>
              <w:right w:val="single" w:sz="4" w:space="0" w:color="auto"/>
            </w:tcBorders>
            <w:shd w:val="clear" w:color="auto" w:fill="auto"/>
            <w:noWrap/>
            <w:vAlign w:val="center"/>
            <w:hideMark/>
          </w:tcPr>
          <w:p w:rsidR="00415BFD" w:rsidRPr="00B958C2" w:rsidRDefault="00415BFD" w:rsidP="00781A82">
            <w:pPr>
              <w:spacing w:line="240" w:lineRule="auto"/>
              <w:jc w:val="left"/>
              <w:rPr>
                <w:rFonts w:ascii="Calibri" w:eastAsia="Times New Roman" w:hAnsi="Calibri"/>
                <w:color w:val="000000"/>
                <w:sz w:val="18"/>
                <w:lang w:eastAsia="en-AU" w:bidi="ar-SA"/>
              </w:rPr>
            </w:pPr>
            <w:r w:rsidRPr="00B958C2">
              <w:rPr>
                <w:rFonts w:ascii="Calibri" w:eastAsia="Times New Roman" w:hAnsi="Calibri"/>
                <w:color w:val="000000"/>
                <w:sz w:val="18"/>
                <w:lang w:eastAsia="en-AU" w:bidi="ar-SA"/>
              </w:rPr>
              <w:t xml:space="preserve">$     </w:t>
            </w:r>
            <w:r>
              <w:rPr>
                <w:rFonts w:ascii="Calibri" w:eastAsia="Times New Roman" w:hAnsi="Calibri"/>
                <w:color w:val="000000"/>
                <w:sz w:val="18"/>
                <w:lang w:eastAsia="en-AU" w:bidi="ar-SA"/>
              </w:rPr>
              <w:t>35,653,709</w:t>
            </w:r>
          </w:p>
        </w:tc>
      </w:tr>
      <w:tr w:rsidR="00415BFD" w:rsidRPr="00B958C2" w:rsidTr="00935075">
        <w:trPr>
          <w:trHeight w:val="209"/>
          <w:jc w:val="center"/>
        </w:trPr>
        <w:tc>
          <w:tcPr>
            <w:tcW w:w="3493" w:type="dxa"/>
            <w:tcBorders>
              <w:top w:val="nil"/>
              <w:left w:val="single" w:sz="4" w:space="0" w:color="auto"/>
              <w:bottom w:val="single" w:sz="4" w:space="0" w:color="auto"/>
              <w:right w:val="single" w:sz="4" w:space="0" w:color="auto"/>
            </w:tcBorders>
            <w:shd w:val="clear" w:color="auto" w:fill="auto"/>
            <w:noWrap/>
            <w:vAlign w:val="center"/>
            <w:hideMark/>
          </w:tcPr>
          <w:p w:rsidR="00415BFD" w:rsidRPr="00B958C2" w:rsidRDefault="00415BFD" w:rsidP="007C7C28">
            <w:pPr>
              <w:spacing w:line="240" w:lineRule="auto"/>
              <w:jc w:val="left"/>
              <w:rPr>
                <w:rFonts w:ascii="Calibri" w:eastAsia="Times New Roman" w:hAnsi="Calibri"/>
                <w:sz w:val="18"/>
                <w:szCs w:val="20"/>
                <w:lang w:eastAsia="en-AU" w:bidi="ar-SA"/>
              </w:rPr>
            </w:pPr>
          </w:p>
        </w:tc>
        <w:tc>
          <w:tcPr>
            <w:tcW w:w="1304" w:type="dxa"/>
            <w:tcBorders>
              <w:top w:val="nil"/>
              <w:left w:val="nil"/>
              <w:bottom w:val="single" w:sz="4" w:space="0" w:color="auto"/>
              <w:right w:val="nil"/>
            </w:tcBorders>
            <w:shd w:val="clear" w:color="auto" w:fill="auto"/>
            <w:noWrap/>
            <w:vAlign w:val="center"/>
            <w:hideMark/>
          </w:tcPr>
          <w:p w:rsidR="00415BFD" w:rsidRPr="00B958C2" w:rsidRDefault="00415BFD" w:rsidP="007C7C28">
            <w:pPr>
              <w:spacing w:line="240" w:lineRule="auto"/>
              <w:jc w:val="left"/>
              <w:rPr>
                <w:rFonts w:ascii="Calibri" w:eastAsia="Times New Roman" w:hAnsi="Calibri"/>
                <w:color w:val="000000"/>
                <w:sz w:val="18"/>
                <w:lang w:eastAsia="en-AU" w:bidi="ar-SA"/>
              </w:rPr>
            </w:pP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415BFD" w:rsidRPr="00B958C2" w:rsidRDefault="00415BFD" w:rsidP="007C7C28">
            <w:pPr>
              <w:spacing w:line="240" w:lineRule="auto"/>
              <w:jc w:val="center"/>
              <w:rPr>
                <w:rFonts w:ascii="Calibri" w:eastAsia="Times New Roman" w:hAnsi="Calibri"/>
                <w:color w:val="000000"/>
                <w:sz w:val="18"/>
                <w:lang w:eastAsia="en-AU" w:bidi="ar-SA"/>
              </w:rPr>
            </w:pPr>
          </w:p>
        </w:tc>
        <w:tc>
          <w:tcPr>
            <w:tcW w:w="1247" w:type="dxa"/>
            <w:tcBorders>
              <w:top w:val="nil"/>
              <w:left w:val="nil"/>
              <w:bottom w:val="single" w:sz="4" w:space="0" w:color="auto"/>
              <w:right w:val="single" w:sz="4" w:space="0" w:color="auto"/>
            </w:tcBorders>
            <w:shd w:val="clear" w:color="auto" w:fill="auto"/>
            <w:noWrap/>
            <w:vAlign w:val="center"/>
            <w:hideMark/>
          </w:tcPr>
          <w:p w:rsidR="00415BFD" w:rsidRPr="00B958C2" w:rsidRDefault="00415BFD" w:rsidP="007C7C28">
            <w:pPr>
              <w:spacing w:line="240" w:lineRule="auto"/>
              <w:jc w:val="center"/>
              <w:rPr>
                <w:rFonts w:ascii="Calibri" w:eastAsia="Times New Roman" w:hAnsi="Calibri"/>
                <w:color w:val="000000"/>
                <w:sz w:val="18"/>
                <w:lang w:eastAsia="en-AU" w:bidi="ar-SA"/>
              </w:rPr>
            </w:pPr>
          </w:p>
        </w:tc>
        <w:tc>
          <w:tcPr>
            <w:tcW w:w="1361" w:type="dxa"/>
            <w:tcBorders>
              <w:top w:val="nil"/>
              <w:left w:val="nil"/>
              <w:bottom w:val="single" w:sz="4" w:space="0" w:color="auto"/>
              <w:right w:val="single" w:sz="4" w:space="0" w:color="auto"/>
            </w:tcBorders>
            <w:shd w:val="clear" w:color="auto" w:fill="auto"/>
            <w:noWrap/>
            <w:vAlign w:val="center"/>
            <w:hideMark/>
          </w:tcPr>
          <w:p w:rsidR="00415BFD" w:rsidRPr="00B958C2" w:rsidRDefault="00415BFD" w:rsidP="007C7C28">
            <w:pPr>
              <w:spacing w:line="240" w:lineRule="auto"/>
              <w:jc w:val="left"/>
              <w:rPr>
                <w:rFonts w:ascii="Calibri" w:eastAsia="Times New Roman" w:hAnsi="Calibri"/>
                <w:color w:val="000000"/>
                <w:sz w:val="18"/>
                <w:lang w:eastAsia="en-AU" w:bidi="ar-SA"/>
              </w:rPr>
            </w:pPr>
          </w:p>
        </w:tc>
      </w:tr>
    </w:tbl>
    <w:p w:rsidR="00415BFD" w:rsidRDefault="00415BFD" w:rsidP="00B958C2"/>
    <w:p w:rsidR="00415BFD" w:rsidRPr="00172AE6" w:rsidRDefault="00415BFD" w:rsidP="00B958C2"/>
    <w:p w:rsidR="00415BFD" w:rsidRPr="008833F9" w:rsidRDefault="00415BFD" w:rsidP="001B1841">
      <w:pPr>
        <w:pStyle w:val="Explanatorytextmargins"/>
        <w:rPr>
          <w:u w:val="single"/>
        </w:rPr>
      </w:pPr>
      <w:r w:rsidRPr="008833F9">
        <w:rPr>
          <w:u w:val="single"/>
        </w:rPr>
        <w:t xml:space="preserve">Intervention delivery. </w:t>
      </w:r>
    </w:p>
    <w:p w:rsidR="00415BFD" w:rsidRDefault="00415BFD" w:rsidP="00415BFD">
      <w:pPr>
        <w:pStyle w:val="Letterfornumbereditems"/>
        <w:numPr>
          <w:ilvl w:val="0"/>
          <w:numId w:val="19"/>
        </w:numPr>
      </w:pPr>
      <w:r w:rsidRPr="00A44F6D">
        <w:rPr>
          <w:u w:val="single"/>
        </w:rPr>
        <w:t>Training teachers to deliver the intervention.</w:t>
      </w:r>
      <w:r>
        <w:t xml:space="preserve"> Prior to the delivery of intervention modules, we assumed that a salaried psychologist would be hired to go to each school to train teachers on how they are to deliver intervention modules. The total number of</w:t>
      </w:r>
      <w:r w:rsidRPr="00EA3FB9">
        <w:t xml:space="preserve"> schools </w:t>
      </w:r>
      <w:r>
        <w:t>to which</w:t>
      </w:r>
      <w:r w:rsidRPr="00EA3FB9">
        <w:t xml:space="preserve"> </w:t>
      </w:r>
      <w:r>
        <w:t xml:space="preserve">these </w:t>
      </w:r>
      <w:r w:rsidRPr="00EA3FB9">
        <w:t xml:space="preserve">psychologists </w:t>
      </w:r>
      <w:r>
        <w:t>are</w:t>
      </w:r>
      <w:r w:rsidRPr="00EA3FB9">
        <w:t xml:space="preserve"> </w:t>
      </w:r>
      <w:r>
        <w:t>required to</w:t>
      </w:r>
      <w:r w:rsidRPr="00EA3FB9">
        <w:t xml:space="preserve"> </w:t>
      </w:r>
      <w:r>
        <w:t>provide</w:t>
      </w:r>
      <w:r w:rsidRPr="00EA3FB9">
        <w:t xml:space="preserve"> training is calculated as</w:t>
      </w:r>
      <w:r>
        <w:t>:</w:t>
      </w:r>
      <w:r w:rsidRPr="00EA3FB9">
        <w:t xml:space="preserve"> the </w:t>
      </w:r>
      <w:r>
        <w:t>total number</w:t>
      </w:r>
      <w:r w:rsidRPr="00EA3FB9">
        <w:t xml:space="preserve"> of teachers</w:t>
      </w:r>
      <w:r>
        <w:t xml:space="preserve"> across Australia in 2013;</w:t>
      </w:r>
      <w:r w:rsidRPr="00EA3FB9">
        <w:t xml:space="preserve"> divided by the</w:t>
      </w:r>
      <w:r>
        <w:t xml:space="preserve"> average number</w:t>
      </w:r>
      <w:r w:rsidRPr="00EA3FB9">
        <w:t xml:space="preserve"> of teachers per school. </w:t>
      </w:r>
      <w:r>
        <w:t xml:space="preserve">From the eligible population </w:t>
      </w:r>
      <w:r w:rsidRPr="000D02B6">
        <w:t>calculations</w:t>
      </w:r>
      <w:r>
        <w:t xml:space="preserve"> in section </w:t>
      </w:r>
      <w:r>
        <w:fldChar w:fldCharType="begin"/>
      </w:r>
      <w:r>
        <w:instrText xml:space="preserve"> REF _Ref450772294 \n \h </w:instrText>
      </w:r>
      <w:r>
        <w:fldChar w:fldCharType="separate"/>
      </w:r>
      <w:r>
        <w:t>3.2</w:t>
      </w:r>
      <w:r>
        <w:fldChar w:fldCharType="end"/>
      </w:r>
      <w:r>
        <w:t xml:space="preserve"> we know that </w:t>
      </w:r>
      <w:r w:rsidRPr="00891B96">
        <w:t>1,558,171</w:t>
      </w:r>
      <w:r>
        <w:t xml:space="preserve"> students aged 11-17 years will participate in the intervention. If the average number of Australian students per class is 23, based on OECD data </w:t>
      </w:r>
      <w:r>
        <w:rPr>
          <w:noProof/>
        </w:rPr>
        <w:t>[21]</w:t>
      </w:r>
      <w:r>
        <w:t xml:space="preserve">, then there will be a total of 67,523 teachers. We know from ABS data that there are 33 teachers per school </w:t>
      </w:r>
      <w:r>
        <w:rPr>
          <w:noProof/>
        </w:rPr>
        <w:t>[22]</w:t>
      </w:r>
      <w:r>
        <w:t>. This results in a salaried psychologist having to provide teacher training to 2,060 schools. The average time required to train teachers (per school) was based on data from 5 RCT studies identified from our meta-</w:t>
      </w:r>
      <w:r>
        <w:lastRenderedPageBreak/>
        <w:t xml:space="preserve">review of intervention efficacy (see </w:t>
      </w:r>
      <w:r>
        <w:fldChar w:fldCharType="begin"/>
      </w:r>
      <w:r>
        <w:instrText xml:space="preserve"> REF _Ref451500046 \r \h </w:instrText>
      </w:r>
      <w:r>
        <w:fldChar w:fldCharType="separate"/>
      </w:r>
      <w:r>
        <w:t>Table 19</w:t>
      </w:r>
      <w:r>
        <w:fldChar w:fldCharType="end"/>
      </w:r>
      <w:r>
        <w:t xml:space="preserve">) </w:t>
      </w:r>
      <w:r>
        <w:rPr>
          <w:noProof/>
        </w:rPr>
        <w:t>[46,47,49,51,58]</w:t>
      </w:r>
      <w:r>
        <w:t xml:space="preserve">. The mean and standard deviation (hereafter ‘Std Dev’) of these data points was calculated to be 17.2 hours and 13.5 hours, respectively. Multiplying the average number of hours per school by the total number of schools across Australia in 2013 resulted in an estimate of the total psychologist hours required to train all teachers across participating Australian schools in 2013 to deliver the universal psychological intervention. Psychologist time was valued using an hourly wage rate of $42.33, which was calculated using data from the ABS Employee Earnings and Hours survey </w:t>
      </w:r>
      <w:r>
        <w:rPr>
          <w:noProof/>
        </w:rPr>
        <w:t>[23]</w:t>
      </w:r>
      <w:r>
        <w:t xml:space="preserve"> and</w:t>
      </w:r>
      <w:r w:rsidRPr="008D77DD">
        <w:t xml:space="preserve"> </w:t>
      </w:r>
      <w:r>
        <w:t>included a 30% loading for on-costs.</w:t>
      </w:r>
    </w:p>
    <w:p w:rsidR="00415BFD" w:rsidRDefault="00415BFD" w:rsidP="00A04AC9"/>
    <w:p w:rsidR="00415BFD" w:rsidRDefault="00415BFD" w:rsidP="00415BFD">
      <w:pPr>
        <w:pStyle w:val="MyTable"/>
        <w:numPr>
          <w:ilvl w:val="3"/>
          <w:numId w:val="9"/>
        </w:numPr>
      </w:pPr>
      <w:bookmarkStart w:id="147" w:name="_Ref451500046"/>
      <w:bookmarkStart w:id="148" w:name="_Toc452066464"/>
      <w:r>
        <w:t>Resource use parameters extracted from 9 RCT studies included in the meta-analysis of intervention efficacy for universal psychological prevention</w:t>
      </w:r>
      <w:bookmarkEnd w:id="147"/>
      <w:bookmarkEnd w:id="148"/>
    </w:p>
    <w:tbl>
      <w:tblPr>
        <w:tblW w:w="7313" w:type="dxa"/>
        <w:jc w:val="center"/>
        <w:tblLook w:val="04A0" w:firstRow="1" w:lastRow="0" w:firstColumn="1" w:lastColumn="0" w:noHBand="0" w:noVBand="1"/>
      </w:tblPr>
      <w:tblGrid>
        <w:gridCol w:w="2551"/>
        <w:gridCol w:w="1871"/>
        <w:gridCol w:w="1417"/>
        <w:gridCol w:w="1474"/>
      </w:tblGrid>
      <w:tr w:rsidR="00415BFD" w:rsidRPr="00A04AC9" w:rsidTr="00CE1AC2">
        <w:trPr>
          <w:trHeight w:val="1077"/>
          <w:jc w:val="center"/>
        </w:trPr>
        <w:tc>
          <w:tcPr>
            <w:tcW w:w="2551"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415BFD" w:rsidRPr="00A04AC9" w:rsidRDefault="00415BFD" w:rsidP="00A04AC9">
            <w:pPr>
              <w:spacing w:line="240" w:lineRule="auto"/>
              <w:jc w:val="left"/>
              <w:rPr>
                <w:rFonts w:ascii="Calibri" w:eastAsia="Times New Roman" w:hAnsi="Calibri"/>
                <w:b/>
                <w:bCs/>
                <w:color w:val="000000"/>
                <w:sz w:val="18"/>
                <w:lang w:eastAsia="en-AU" w:bidi="ar-SA"/>
              </w:rPr>
            </w:pPr>
            <w:r w:rsidRPr="00A04AC9">
              <w:rPr>
                <w:rFonts w:ascii="Calibri" w:eastAsia="Times New Roman" w:hAnsi="Calibri"/>
                <w:b/>
                <w:bCs/>
                <w:color w:val="000000"/>
                <w:sz w:val="18"/>
                <w:lang w:eastAsia="en-AU" w:bidi="ar-SA"/>
              </w:rPr>
              <w:t>Study name (N = 9)</w:t>
            </w:r>
          </w:p>
        </w:tc>
        <w:tc>
          <w:tcPr>
            <w:tcW w:w="1871" w:type="dxa"/>
            <w:tcBorders>
              <w:top w:val="single" w:sz="4" w:space="0" w:color="auto"/>
              <w:left w:val="nil"/>
              <w:bottom w:val="single" w:sz="4" w:space="0" w:color="auto"/>
              <w:right w:val="single" w:sz="4" w:space="0" w:color="auto"/>
            </w:tcBorders>
            <w:shd w:val="clear" w:color="000000" w:fill="D8E4BC"/>
            <w:vAlign w:val="bottom"/>
          </w:tcPr>
          <w:p w:rsidR="00415BFD" w:rsidRPr="00A04AC9" w:rsidRDefault="00415BFD" w:rsidP="00A04AC9">
            <w:pPr>
              <w:spacing w:line="240" w:lineRule="auto"/>
              <w:jc w:val="center"/>
              <w:rPr>
                <w:rFonts w:ascii="Calibri" w:eastAsia="Times New Roman" w:hAnsi="Calibri"/>
                <w:b/>
                <w:bCs/>
                <w:color w:val="000000"/>
                <w:sz w:val="18"/>
                <w:lang w:eastAsia="en-AU" w:bidi="ar-SA"/>
              </w:rPr>
            </w:pPr>
            <w:r w:rsidRPr="00A04AC9">
              <w:rPr>
                <w:rFonts w:ascii="Calibri" w:eastAsia="Times New Roman" w:hAnsi="Calibri"/>
                <w:b/>
                <w:bCs/>
                <w:color w:val="000000"/>
                <w:sz w:val="18"/>
                <w:lang w:eastAsia="en-AU" w:bidi="ar-SA"/>
              </w:rPr>
              <w:t xml:space="preserve">Time </w:t>
            </w:r>
            <w:r>
              <w:rPr>
                <w:rFonts w:ascii="Calibri" w:eastAsia="Times New Roman" w:hAnsi="Calibri"/>
                <w:b/>
                <w:bCs/>
                <w:color w:val="000000"/>
                <w:sz w:val="18"/>
                <w:lang w:eastAsia="en-AU" w:bidi="ar-SA"/>
              </w:rPr>
              <w:t>required to train</w:t>
            </w:r>
            <w:r w:rsidRPr="00A04AC9">
              <w:rPr>
                <w:rFonts w:ascii="Calibri" w:eastAsia="Times New Roman" w:hAnsi="Calibri"/>
                <w:b/>
                <w:bCs/>
                <w:color w:val="000000"/>
                <w:sz w:val="18"/>
                <w:lang w:eastAsia="en-AU" w:bidi="ar-SA"/>
              </w:rPr>
              <w:t xml:space="preserve"> teachers to deliver the intervention (hours)</w:t>
            </w:r>
          </w:p>
        </w:tc>
        <w:tc>
          <w:tcPr>
            <w:tcW w:w="1417" w:type="dxa"/>
            <w:tcBorders>
              <w:top w:val="single" w:sz="4" w:space="0" w:color="auto"/>
              <w:left w:val="single" w:sz="4" w:space="0" w:color="auto"/>
              <w:bottom w:val="single" w:sz="4" w:space="0" w:color="auto"/>
              <w:right w:val="single" w:sz="4" w:space="0" w:color="auto"/>
            </w:tcBorders>
            <w:shd w:val="clear" w:color="000000" w:fill="D8E4BC"/>
            <w:vAlign w:val="bottom"/>
            <w:hideMark/>
          </w:tcPr>
          <w:p w:rsidR="00415BFD" w:rsidRDefault="00415BFD" w:rsidP="00A04AC9">
            <w:pPr>
              <w:spacing w:line="240" w:lineRule="auto"/>
              <w:jc w:val="center"/>
              <w:rPr>
                <w:rFonts w:ascii="Calibri" w:eastAsia="Times New Roman" w:hAnsi="Calibri"/>
                <w:b/>
                <w:bCs/>
                <w:color w:val="000000"/>
                <w:sz w:val="18"/>
                <w:lang w:eastAsia="en-AU" w:bidi="ar-SA"/>
              </w:rPr>
            </w:pPr>
            <w:r w:rsidRPr="00A04AC9">
              <w:rPr>
                <w:rFonts w:ascii="Calibri" w:eastAsia="Times New Roman" w:hAnsi="Calibri"/>
                <w:b/>
                <w:bCs/>
                <w:color w:val="000000"/>
                <w:sz w:val="18"/>
                <w:lang w:eastAsia="en-AU" w:bidi="ar-SA"/>
              </w:rPr>
              <w:t>Number of intervention sessions</w:t>
            </w:r>
          </w:p>
          <w:p w:rsidR="00415BFD" w:rsidRPr="00A04AC9" w:rsidRDefault="00415BFD" w:rsidP="00A04AC9">
            <w:pPr>
              <w:spacing w:line="240" w:lineRule="auto"/>
              <w:jc w:val="center"/>
              <w:rPr>
                <w:rFonts w:ascii="Calibri" w:eastAsia="Times New Roman" w:hAnsi="Calibri"/>
                <w:b/>
                <w:bCs/>
                <w:color w:val="000000"/>
                <w:sz w:val="18"/>
                <w:lang w:eastAsia="en-AU" w:bidi="ar-SA"/>
              </w:rPr>
            </w:pPr>
            <w:r>
              <w:rPr>
                <w:rFonts w:ascii="Calibri" w:eastAsia="Times New Roman" w:hAnsi="Calibri"/>
                <w:b/>
                <w:bCs/>
                <w:color w:val="000000"/>
                <w:sz w:val="18"/>
                <w:lang w:eastAsia="en-AU" w:bidi="ar-SA"/>
              </w:rPr>
              <w:t>(count)</w:t>
            </w:r>
          </w:p>
        </w:tc>
        <w:tc>
          <w:tcPr>
            <w:tcW w:w="1474" w:type="dxa"/>
            <w:tcBorders>
              <w:top w:val="single" w:sz="4" w:space="0" w:color="auto"/>
              <w:left w:val="nil"/>
              <w:bottom w:val="single" w:sz="4" w:space="0" w:color="auto"/>
              <w:right w:val="single" w:sz="4" w:space="0" w:color="auto"/>
            </w:tcBorders>
            <w:shd w:val="clear" w:color="000000" w:fill="D8E4BC"/>
            <w:vAlign w:val="bottom"/>
            <w:hideMark/>
          </w:tcPr>
          <w:p w:rsidR="00415BFD" w:rsidRPr="00A04AC9" w:rsidRDefault="00415BFD" w:rsidP="00A04AC9">
            <w:pPr>
              <w:spacing w:line="240" w:lineRule="auto"/>
              <w:jc w:val="center"/>
              <w:rPr>
                <w:rFonts w:ascii="Calibri" w:eastAsia="Times New Roman" w:hAnsi="Calibri"/>
                <w:b/>
                <w:bCs/>
                <w:color w:val="000000"/>
                <w:sz w:val="18"/>
                <w:lang w:eastAsia="en-AU" w:bidi="ar-SA"/>
              </w:rPr>
            </w:pPr>
            <w:r w:rsidRPr="00A04AC9">
              <w:rPr>
                <w:rFonts w:ascii="Calibri" w:eastAsia="Times New Roman" w:hAnsi="Calibri"/>
                <w:b/>
                <w:bCs/>
                <w:color w:val="000000"/>
                <w:sz w:val="18"/>
                <w:lang w:eastAsia="en-AU" w:bidi="ar-SA"/>
              </w:rPr>
              <w:t xml:space="preserve">Length of intervention sessions </w:t>
            </w:r>
            <w:r w:rsidRPr="00A04AC9">
              <w:rPr>
                <w:rFonts w:ascii="Calibri" w:eastAsia="Times New Roman" w:hAnsi="Calibri"/>
                <w:b/>
                <w:bCs/>
                <w:color w:val="000000"/>
                <w:sz w:val="18"/>
                <w:lang w:eastAsia="en-AU" w:bidi="ar-SA"/>
              </w:rPr>
              <w:br/>
              <w:t>(hours)</w:t>
            </w:r>
          </w:p>
        </w:tc>
      </w:tr>
      <w:tr w:rsidR="00415BFD" w:rsidRPr="00A04AC9" w:rsidTr="00CE1AC2">
        <w:trPr>
          <w:trHeight w:val="255"/>
          <w:jc w:val="center"/>
        </w:trPr>
        <w:tc>
          <w:tcPr>
            <w:tcW w:w="2551" w:type="dxa"/>
            <w:tcBorders>
              <w:top w:val="nil"/>
              <w:left w:val="single" w:sz="4" w:space="0" w:color="auto"/>
              <w:bottom w:val="nil"/>
              <w:right w:val="single" w:sz="4" w:space="0" w:color="auto"/>
            </w:tcBorders>
            <w:shd w:val="clear" w:color="000000" w:fill="EBF1DE"/>
            <w:noWrap/>
            <w:vAlign w:val="center"/>
            <w:hideMark/>
          </w:tcPr>
          <w:p w:rsidR="00415BFD" w:rsidRPr="00A04AC9" w:rsidRDefault="00415BFD" w:rsidP="00A04AC9">
            <w:pPr>
              <w:spacing w:line="240" w:lineRule="auto"/>
              <w:jc w:val="left"/>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Bond 2004</w:t>
            </w:r>
          </w:p>
        </w:tc>
        <w:tc>
          <w:tcPr>
            <w:tcW w:w="1871" w:type="dxa"/>
            <w:tcBorders>
              <w:top w:val="nil"/>
              <w:left w:val="nil"/>
              <w:bottom w:val="nil"/>
              <w:right w:val="single" w:sz="4" w:space="0" w:color="auto"/>
            </w:tcBorders>
            <w:shd w:val="clear" w:color="000000" w:fill="EBF1DE"/>
            <w:vAlign w:val="center"/>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w:t>
            </w:r>
          </w:p>
        </w:tc>
        <w:tc>
          <w:tcPr>
            <w:tcW w:w="1417" w:type="dxa"/>
            <w:tcBorders>
              <w:top w:val="nil"/>
              <w:left w:val="single" w:sz="4" w:space="0" w:color="auto"/>
              <w:bottom w:val="nil"/>
              <w:right w:val="single" w:sz="4" w:space="0" w:color="auto"/>
            </w:tcBorders>
            <w:shd w:val="clear" w:color="000000" w:fill="EBF1DE"/>
            <w:noWrap/>
            <w:vAlign w:val="center"/>
            <w:hideMark/>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10</w:t>
            </w:r>
          </w:p>
        </w:tc>
        <w:tc>
          <w:tcPr>
            <w:tcW w:w="1474" w:type="dxa"/>
            <w:tcBorders>
              <w:top w:val="nil"/>
              <w:left w:val="nil"/>
              <w:bottom w:val="nil"/>
              <w:right w:val="single" w:sz="4" w:space="0" w:color="auto"/>
            </w:tcBorders>
            <w:shd w:val="clear" w:color="000000" w:fill="EBF1DE"/>
            <w:noWrap/>
            <w:vAlign w:val="center"/>
            <w:hideMark/>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0.75</w:t>
            </w:r>
          </w:p>
        </w:tc>
      </w:tr>
      <w:tr w:rsidR="00415BFD" w:rsidRPr="00A04AC9" w:rsidTr="00CE1AC2">
        <w:trPr>
          <w:trHeight w:val="255"/>
          <w:jc w:val="center"/>
        </w:trPr>
        <w:tc>
          <w:tcPr>
            <w:tcW w:w="2551" w:type="dxa"/>
            <w:tcBorders>
              <w:top w:val="nil"/>
              <w:left w:val="single" w:sz="4" w:space="0" w:color="auto"/>
              <w:bottom w:val="nil"/>
              <w:right w:val="single" w:sz="4" w:space="0" w:color="auto"/>
            </w:tcBorders>
            <w:shd w:val="clear" w:color="000000" w:fill="EBF1DE"/>
            <w:noWrap/>
            <w:vAlign w:val="center"/>
            <w:hideMark/>
          </w:tcPr>
          <w:p w:rsidR="00415BFD" w:rsidRPr="00A04AC9" w:rsidRDefault="00415BFD" w:rsidP="00A04AC9">
            <w:pPr>
              <w:spacing w:line="240" w:lineRule="auto"/>
              <w:jc w:val="left"/>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Cardemil 2002a &amp; b</w:t>
            </w:r>
          </w:p>
        </w:tc>
        <w:tc>
          <w:tcPr>
            <w:tcW w:w="1871" w:type="dxa"/>
            <w:tcBorders>
              <w:top w:val="nil"/>
              <w:left w:val="nil"/>
              <w:bottom w:val="nil"/>
              <w:right w:val="single" w:sz="4" w:space="0" w:color="auto"/>
            </w:tcBorders>
            <w:shd w:val="clear" w:color="000000" w:fill="EBF1DE"/>
            <w:vAlign w:val="center"/>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w:t>
            </w:r>
          </w:p>
        </w:tc>
        <w:tc>
          <w:tcPr>
            <w:tcW w:w="1417" w:type="dxa"/>
            <w:tcBorders>
              <w:top w:val="nil"/>
              <w:left w:val="single" w:sz="4" w:space="0" w:color="auto"/>
              <w:bottom w:val="nil"/>
              <w:right w:val="single" w:sz="4" w:space="0" w:color="auto"/>
            </w:tcBorders>
            <w:shd w:val="clear" w:color="000000" w:fill="EBF1DE"/>
            <w:noWrap/>
            <w:vAlign w:val="center"/>
            <w:hideMark/>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12</w:t>
            </w:r>
          </w:p>
        </w:tc>
        <w:tc>
          <w:tcPr>
            <w:tcW w:w="1474" w:type="dxa"/>
            <w:tcBorders>
              <w:top w:val="nil"/>
              <w:left w:val="nil"/>
              <w:bottom w:val="nil"/>
              <w:right w:val="single" w:sz="4" w:space="0" w:color="auto"/>
            </w:tcBorders>
            <w:shd w:val="clear" w:color="000000" w:fill="EBF1DE"/>
            <w:noWrap/>
            <w:vAlign w:val="center"/>
            <w:hideMark/>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1.50</w:t>
            </w:r>
          </w:p>
        </w:tc>
      </w:tr>
      <w:tr w:rsidR="00415BFD" w:rsidRPr="00A04AC9" w:rsidTr="00CE1AC2">
        <w:trPr>
          <w:trHeight w:val="255"/>
          <w:jc w:val="center"/>
        </w:trPr>
        <w:tc>
          <w:tcPr>
            <w:tcW w:w="2551" w:type="dxa"/>
            <w:tcBorders>
              <w:top w:val="nil"/>
              <w:left w:val="single" w:sz="4" w:space="0" w:color="auto"/>
              <w:bottom w:val="nil"/>
              <w:right w:val="single" w:sz="4" w:space="0" w:color="auto"/>
            </w:tcBorders>
            <w:shd w:val="clear" w:color="000000" w:fill="EBF1DE"/>
            <w:noWrap/>
            <w:vAlign w:val="center"/>
            <w:hideMark/>
          </w:tcPr>
          <w:p w:rsidR="00415BFD" w:rsidRPr="00A04AC9" w:rsidRDefault="00415BFD" w:rsidP="00A04AC9">
            <w:pPr>
              <w:spacing w:line="240" w:lineRule="auto"/>
              <w:jc w:val="left"/>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Gillham 2012a &amp; b</w:t>
            </w:r>
          </w:p>
        </w:tc>
        <w:tc>
          <w:tcPr>
            <w:tcW w:w="1871" w:type="dxa"/>
            <w:tcBorders>
              <w:top w:val="nil"/>
              <w:left w:val="nil"/>
              <w:bottom w:val="nil"/>
              <w:right w:val="single" w:sz="4" w:space="0" w:color="auto"/>
            </w:tcBorders>
            <w:shd w:val="clear" w:color="000000" w:fill="EBF1DE"/>
            <w:vAlign w:val="center"/>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6</w:t>
            </w:r>
          </w:p>
        </w:tc>
        <w:tc>
          <w:tcPr>
            <w:tcW w:w="1417" w:type="dxa"/>
            <w:tcBorders>
              <w:top w:val="nil"/>
              <w:left w:val="single" w:sz="4" w:space="0" w:color="auto"/>
              <w:bottom w:val="nil"/>
              <w:right w:val="single" w:sz="4" w:space="0" w:color="auto"/>
            </w:tcBorders>
            <w:shd w:val="clear" w:color="000000" w:fill="EBF1DE"/>
            <w:noWrap/>
            <w:vAlign w:val="center"/>
            <w:hideMark/>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10</w:t>
            </w:r>
          </w:p>
        </w:tc>
        <w:tc>
          <w:tcPr>
            <w:tcW w:w="1474" w:type="dxa"/>
            <w:tcBorders>
              <w:top w:val="nil"/>
              <w:left w:val="nil"/>
              <w:bottom w:val="nil"/>
              <w:right w:val="single" w:sz="4" w:space="0" w:color="auto"/>
            </w:tcBorders>
            <w:shd w:val="clear" w:color="000000" w:fill="EBF1DE"/>
            <w:noWrap/>
            <w:vAlign w:val="center"/>
            <w:hideMark/>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1.50</w:t>
            </w:r>
          </w:p>
        </w:tc>
      </w:tr>
      <w:tr w:rsidR="00415BFD" w:rsidRPr="00A04AC9" w:rsidTr="00CE1AC2">
        <w:trPr>
          <w:trHeight w:val="255"/>
          <w:jc w:val="center"/>
        </w:trPr>
        <w:tc>
          <w:tcPr>
            <w:tcW w:w="2551" w:type="dxa"/>
            <w:tcBorders>
              <w:top w:val="nil"/>
              <w:left w:val="single" w:sz="4" w:space="0" w:color="auto"/>
              <w:bottom w:val="nil"/>
              <w:right w:val="single" w:sz="4" w:space="0" w:color="auto"/>
            </w:tcBorders>
            <w:shd w:val="clear" w:color="000000" w:fill="EBF1DE"/>
            <w:noWrap/>
            <w:vAlign w:val="center"/>
            <w:hideMark/>
          </w:tcPr>
          <w:p w:rsidR="00415BFD" w:rsidRPr="00A04AC9" w:rsidRDefault="00415BFD" w:rsidP="00A04AC9">
            <w:pPr>
              <w:spacing w:line="240" w:lineRule="auto"/>
              <w:jc w:val="left"/>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Lowry-Webster 2001</w:t>
            </w:r>
          </w:p>
        </w:tc>
        <w:tc>
          <w:tcPr>
            <w:tcW w:w="1871" w:type="dxa"/>
            <w:tcBorders>
              <w:top w:val="nil"/>
              <w:left w:val="nil"/>
              <w:bottom w:val="nil"/>
              <w:right w:val="single" w:sz="4" w:space="0" w:color="auto"/>
            </w:tcBorders>
            <w:shd w:val="clear" w:color="000000" w:fill="EBF1DE"/>
            <w:vAlign w:val="center"/>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16</w:t>
            </w:r>
          </w:p>
        </w:tc>
        <w:tc>
          <w:tcPr>
            <w:tcW w:w="1417" w:type="dxa"/>
            <w:tcBorders>
              <w:top w:val="nil"/>
              <w:left w:val="single" w:sz="4" w:space="0" w:color="auto"/>
              <w:bottom w:val="nil"/>
              <w:right w:val="single" w:sz="4" w:space="0" w:color="auto"/>
            </w:tcBorders>
            <w:shd w:val="clear" w:color="000000" w:fill="EBF1DE"/>
            <w:noWrap/>
            <w:vAlign w:val="center"/>
            <w:hideMark/>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10</w:t>
            </w:r>
          </w:p>
        </w:tc>
        <w:tc>
          <w:tcPr>
            <w:tcW w:w="1474" w:type="dxa"/>
            <w:tcBorders>
              <w:top w:val="nil"/>
              <w:left w:val="nil"/>
              <w:bottom w:val="nil"/>
              <w:right w:val="single" w:sz="4" w:space="0" w:color="auto"/>
            </w:tcBorders>
            <w:shd w:val="clear" w:color="000000" w:fill="EBF1DE"/>
            <w:noWrap/>
            <w:vAlign w:val="center"/>
            <w:hideMark/>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1.25</w:t>
            </w:r>
          </w:p>
        </w:tc>
      </w:tr>
      <w:tr w:rsidR="00415BFD" w:rsidRPr="00A04AC9" w:rsidTr="00CE1AC2">
        <w:trPr>
          <w:trHeight w:val="255"/>
          <w:jc w:val="center"/>
        </w:trPr>
        <w:tc>
          <w:tcPr>
            <w:tcW w:w="2551" w:type="dxa"/>
            <w:tcBorders>
              <w:top w:val="nil"/>
              <w:left w:val="single" w:sz="4" w:space="0" w:color="auto"/>
              <w:bottom w:val="nil"/>
              <w:right w:val="single" w:sz="4" w:space="0" w:color="auto"/>
            </w:tcBorders>
            <w:shd w:val="clear" w:color="000000" w:fill="EBF1DE"/>
            <w:noWrap/>
            <w:vAlign w:val="center"/>
            <w:hideMark/>
          </w:tcPr>
          <w:p w:rsidR="00415BFD" w:rsidRPr="00A04AC9" w:rsidRDefault="00415BFD" w:rsidP="00A04AC9">
            <w:pPr>
              <w:spacing w:line="240" w:lineRule="auto"/>
              <w:jc w:val="left"/>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Quayle 2001</w:t>
            </w:r>
          </w:p>
        </w:tc>
        <w:tc>
          <w:tcPr>
            <w:tcW w:w="1871" w:type="dxa"/>
            <w:tcBorders>
              <w:top w:val="nil"/>
              <w:left w:val="nil"/>
              <w:bottom w:val="nil"/>
              <w:right w:val="single" w:sz="4" w:space="0" w:color="auto"/>
            </w:tcBorders>
            <w:shd w:val="clear" w:color="000000" w:fill="EBF1DE"/>
            <w:vAlign w:val="center"/>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w:t>
            </w:r>
          </w:p>
        </w:tc>
        <w:tc>
          <w:tcPr>
            <w:tcW w:w="1417" w:type="dxa"/>
            <w:tcBorders>
              <w:top w:val="nil"/>
              <w:left w:val="single" w:sz="4" w:space="0" w:color="auto"/>
              <w:bottom w:val="nil"/>
              <w:right w:val="single" w:sz="4" w:space="0" w:color="auto"/>
            </w:tcBorders>
            <w:shd w:val="clear" w:color="000000" w:fill="EBF1DE"/>
            <w:noWrap/>
            <w:vAlign w:val="center"/>
            <w:hideMark/>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8</w:t>
            </w:r>
          </w:p>
        </w:tc>
        <w:tc>
          <w:tcPr>
            <w:tcW w:w="1474" w:type="dxa"/>
            <w:tcBorders>
              <w:top w:val="nil"/>
              <w:left w:val="nil"/>
              <w:bottom w:val="nil"/>
              <w:right w:val="single" w:sz="4" w:space="0" w:color="auto"/>
            </w:tcBorders>
            <w:shd w:val="clear" w:color="000000" w:fill="EBF1DE"/>
            <w:noWrap/>
            <w:vAlign w:val="center"/>
            <w:hideMark/>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0.67</w:t>
            </w:r>
          </w:p>
        </w:tc>
      </w:tr>
      <w:tr w:rsidR="00415BFD" w:rsidRPr="00A04AC9" w:rsidTr="00CE1AC2">
        <w:trPr>
          <w:trHeight w:val="255"/>
          <w:jc w:val="center"/>
        </w:trPr>
        <w:tc>
          <w:tcPr>
            <w:tcW w:w="2551" w:type="dxa"/>
            <w:tcBorders>
              <w:top w:val="nil"/>
              <w:left w:val="single" w:sz="4" w:space="0" w:color="auto"/>
              <w:bottom w:val="nil"/>
              <w:right w:val="single" w:sz="4" w:space="0" w:color="auto"/>
            </w:tcBorders>
            <w:shd w:val="clear" w:color="000000" w:fill="EBF1DE"/>
            <w:noWrap/>
            <w:vAlign w:val="center"/>
            <w:hideMark/>
          </w:tcPr>
          <w:p w:rsidR="00415BFD" w:rsidRPr="00A04AC9" w:rsidRDefault="00415BFD" w:rsidP="00A04AC9">
            <w:pPr>
              <w:spacing w:line="240" w:lineRule="auto"/>
              <w:jc w:val="left"/>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Rivet 2005</w:t>
            </w:r>
          </w:p>
        </w:tc>
        <w:tc>
          <w:tcPr>
            <w:tcW w:w="1871" w:type="dxa"/>
            <w:tcBorders>
              <w:top w:val="nil"/>
              <w:left w:val="nil"/>
              <w:bottom w:val="nil"/>
              <w:right w:val="single" w:sz="4" w:space="0" w:color="auto"/>
            </w:tcBorders>
            <w:shd w:val="clear" w:color="000000" w:fill="EBF1DE"/>
            <w:vAlign w:val="center"/>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16</w:t>
            </w:r>
          </w:p>
        </w:tc>
        <w:tc>
          <w:tcPr>
            <w:tcW w:w="1417" w:type="dxa"/>
            <w:tcBorders>
              <w:top w:val="nil"/>
              <w:left w:val="single" w:sz="4" w:space="0" w:color="auto"/>
              <w:bottom w:val="nil"/>
              <w:right w:val="single" w:sz="4" w:space="0" w:color="auto"/>
            </w:tcBorders>
            <w:shd w:val="clear" w:color="000000" w:fill="EBF1DE"/>
            <w:noWrap/>
            <w:vAlign w:val="center"/>
            <w:hideMark/>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11</w:t>
            </w:r>
          </w:p>
        </w:tc>
        <w:tc>
          <w:tcPr>
            <w:tcW w:w="1474" w:type="dxa"/>
            <w:tcBorders>
              <w:top w:val="nil"/>
              <w:left w:val="nil"/>
              <w:bottom w:val="nil"/>
              <w:right w:val="single" w:sz="4" w:space="0" w:color="auto"/>
            </w:tcBorders>
            <w:shd w:val="clear" w:color="000000" w:fill="EBF1DE"/>
            <w:noWrap/>
            <w:vAlign w:val="center"/>
            <w:hideMark/>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0.83</w:t>
            </w:r>
          </w:p>
        </w:tc>
      </w:tr>
      <w:tr w:rsidR="00415BFD" w:rsidRPr="00A04AC9" w:rsidTr="00CE1AC2">
        <w:trPr>
          <w:trHeight w:val="255"/>
          <w:jc w:val="center"/>
        </w:trPr>
        <w:tc>
          <w:tcPr>
            <w:tcW w:w="2551" w:type="dxa"/>
            <w:tcBorders>
              <w:top w:val="nil"/>
              <w:left w:val="single" w:sz="4" w:space="0" w:color="auto"/>
              <w:bottom w:val="nil"/>
              <w:right w:val="single" w:sz="4" w:space="0" w:color="auto"/>
            </w:tcBorders>
            <w:shd w:val="clear" w:color="000000" w:fill="EBF1DE"/>
            <w:noWrap/>
            <w:vAlign w:val="center"/>
            <w:hideMark/>
          </w:tcPr>
          <w:p w:rsidR="00415BFD" w:rsidRPr="00A04AC9" w:rsidRDefault="00415BFD" w:rsidP="00A04AC9">
            <w:pPr>
              <w:spacing w:line="240" w:lineRule="auto"/>
              <w:jc w:val="left"/>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Rooney 2006</w:t>
            </w:r>
          </w:p>
        </w:tc>
        <w:tc>
          <w:tcPr>
            <w:tcW w:w="1871" w:type="dxa"/>
            <w:tcBorders>
              <w:top w:val="nil"/>
              <w:left w:val="nil"/>
              <w:bottom w:val="nil"/>
              <w:right w:val="single" w:sz="4" w:space="0" w:color="auto"/>
            </w:tcBorders>
            <w:shd w:val="clear" w:color="000000" w:fill="EBF1DE"/>
            <w:vAlign w:val="center"/>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w:t>
            </w:r>
          </w:p>
        </w:tc>
        <w:tc>
          <w:tcPr>
            <w:tcW w:w="1417" w:type="dxa"/>
            <w:tcBorders>
              <w:top w:val="nil"/>
              <w:left w:val="single" w:sz="4" w:space="0" w:color="auto"/>
              <w:bottom w:val="nil"/>
              <w:right w:val="single" w:sz="4" w:space="0" w:color="auto"/>
            </w:tcBorders>
            <w:shd w:val="clear" w:color="000000" w:fill="EBF1DE"/>
            <w:noWrap/>
            <w:vAlign w:val="center"/>
            <w:hideMark/>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8</w:t>
            </w:r>
          </w:p>
        </w:tc>
        <w:tc>
          <w:tcPr>
            <w:tcW w:w="1474" w:type="dxa"/>
            <w:tcBorders>
              <w:top w:val="nil"/>
              <w:left w:val="nil"/>
              <w:bottom w:val="nil"/>
              <w:right w:val="single" w:sz="4" w:space="0" w:color="auto"/>
            </w:tcBorders>
            <w:shd w:val="clear" w:color="000000" w:fill="EBF1DE"/>
            <w:noWrap/>
            <w:vAlign w:val="center"/>
            <w:hideMark/>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1.00</w:t>
            </w:r>
          </w:p>
        </w:tc>
      </w:tr>
      <w:tr w:rsidR="00415BFD" w:rsidRPr="00A04AC9" w:rsidTr="00CE1AC2">
        <w:trPr>
          <w:trHeight w:val="255"/>
          <w:jc w:val="center"/>
        </w:trPr>
        <w:tc>
          <w:tcPr>
            <w:tcW w:w="2551" w:type="dxa"/>
            <w:tcBorders>
              <w:top w:val="nil"/>
              <w:left w:val="single" w:sz="4" w:space="0" w:color="auto"/>
              <w:bottom w:val="nil"/>
              <w:right w:val="single" w:sz="4" w:space="0" w:color="auto"/>
            </w:tcBorders>
            <w:shd w:val="clear" w:color="000000" w:fill="EBF1DE"/>
            <w:noWrap/>
            <w:vAlign w:val="center"/>
            <w:hideMark/>
          </w:tcPr>
          <w:p w:rsidR="00415BFD" w:rsidRPr="00A04AC9" w:rsidRDefault="00415BFD" w:rsidP="00A04AC9">
            <w:pPr>
              <w:spacing w:line="240" w:lineRule="auto"/>
              <w:jc w:val="left"/>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Rooney 2013</w:t>
            </w:r>
          </w:p>
        </w:tc>
        <w:tc>
          <w:tcPr>
            <w:tcW w:w="1871" w:type="dxa"/>
            <w:tcBorders>
              <w:top w:val="nil"/>
              <w:left w:val="nil"/>
              <w:bottom w:val="nil"/>
              <w:right w:val="single" w:sz="4" w:space="0" w:color="auto"/>
            </w:tcBorders>
            <w:shd w:val="clear" w:color="000000" w:fill="EBF1DE"/>
            <w:vAlign w:val="center"/>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8</w:t>
            </w:r>
          </w:p>
        </w:tc>
        <w:tc>
          <w:tcPr>
            <w:tcW w:w="1417" w:type="dxa"/>
            <w:tcBorders>
              <w:top w:val="nil"/>
              <w:left w:val="single" w:sz="4" w:space="0" w:color="auto"/>
              <w:bottom w:val="nil"/>
              <w:right w:val="single" w:sz="4" w:space="0" w:color="auto"/>
            </w:tcBorders>
            <w:shd w:val="clear" w:color="000000" w:fill="EBF1DE"/>
            <w:noWrap/>
            <w:vAlign w:val="center"/>
            <w:hideMark/>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10</w:t>
            </w:r>
          </w:p>
        </w:tc>
        <w:tc>
          <w:tcPr>
            <w:tcW w:w="1474" w:type="dxa"/>
            <w:tcBorders>
              <w:top w:val="nil"/>
              <w:left w:val="nil"/>
              <w:bottom w:val="nil"/>
              <w:right w:val="single" w:sz="4" w:space="0" w:color="auto"/>
            </w:tcBorders>
            <w:shd w:val="clear" w:color="000000" w:fill="EBF1DE"/>
            <w:noWrap/>
            <w:vAlign w:val="center"/>
            <w:hideMark/>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1.00</w:t>
            </w:r>
          </w:p>
        </w:tc>
      </w:tr>
      <w:tr w:rsidR="00415BFD" w:rsidRPr="00A04AC9" w:rsidTr="00CE1AC2">
        <w:trPr>
          <w:trHeight w:val="255"/>
          <w:jc w:val="center"/>
        </w:trPr>
        <w:tc>
          <w:tcPr>
            <w:tcW w:w="2551" w:type="dxa"/>
            <w:tcBorders>
              <w:top w:val="nil"/>
              <w:left w:val="single" w:sz="4" w:space="0" w:color="auto"/>
              <w:bottom w:val="single" w:sz="4" w:space="0" w:color="auto"/>
              <w:right w:val="single" w:sz="4" w:space="0" w:color="auto"/>
            </w:tcBorders>
            <w:shd w:val="clear" w:color="000000" w:fill="EBF1DE"/>
            <w:noWrap/>
            <w:vAlign w:val="center"/>
            <w:hideMark/>
          </w:tcPr>
          <w:p w:rsidR="00415BFD" w:rsidRPr="00A04AC9" w:rsidRDefault="00415BFD" w:rsidP="00A04AC9">
            <w:pPr>
              <w:spacing w:line="240" w:lineRule="auto"/>
              <w:jc w:val="left"/>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Shatte 1997a &amp; b</w:t>
            </w:r>
          </w:p>
        </w:tc>
        <w:tc>
          <w:tcPr>
            <w:tcW w:w="1871" w:type="dxa"/>
            <w:tcBorders>
              <w:top w:val="nil"/>
              <w:left w:val="nil"/>
              <w:bottom w:val="single" w:sz="4" w:space="0" w:color="auto"/>
              <w:right w:val="single" w:sz="4" w:space="0" w:color="auto"/>
            </w:tcBorders>
            <w:shd w:val="clear" w:color="000000" w:fill="EBF1DE"/>
            <w:vAlign w:val="center"/>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40</w:t>
            </w:r>
          </w:p>
        </w:tc>
        <w:tc>
          <w:tcPr>
            <w:tcW w:w="1417" w:type="dxa"/>
            <w:tcBorders>
              <w:top w:val="nil"/>
              <w:left w:val="single" w:sz="4" w:space="0" w:color="auto"/>
              <w:bottom w:val="single" w:sz="4" w:space="0" w:color="auto"/>
              <w:right w:val="single" w:sz="4" w:space="0" w:color="auto"/>
            </w:tcBorders>
            <w:shd w:val="clear" w:color="000000" w:fill="EBF1DE"/>
            <w:noWrap/>
            <w:vAlign w:val="center"/>
            <w:hideMark/>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12</w:t>
            </w:r>
          </w:p>
        </w:tc>
        <w:tc>
          <w:tcPr>
            <w:tcW w:w="1474" w:type="dxa"/>
            <w:tcBorders>
              <w:top w:val="nil"/>
              <w:left w:val="nil"/>
              <w:bottom w:val="single" w:sz="4" w:space="0" w:color="auto"/>
              <w:right w:val="single" w:sz="4" w:space="0" w:color="auto"/>
            </w:tcBorders>
            <w:shd w:val="clear" w:color="000000" w:fill="EBF1DE"/>
            <w:noWrap/>
            <w:vAlign w:val="center"/>
            <w:hideMark/>
          </w:tcPr>
          <w:p w:rsidR="00415BFD" w:rsidRPr="00A04AC9" w:rsidRDefault="00415BFD" w:rsidP="00A04AC9">
            <w:pPr>
              <w:spacing w:line="240" w:lineRule="auto"/>
              <w:jc w:val="center"/>
              <w:rPr>
                <w:rFonts w:ascii="Calibri" w:eastAsia="Times New Roman" w:hAnsi="Calibri"/>
                <w:color w:val="000000"/>
                <w:sz w:val="18"/>
                <w:lang w:eastAsia="en-AU" w:bidi="ar-SA"/>
              </w:rPr>
            </w:pPr>
            <w:r w:rsidRPr="00A04AC9">
              <w:rPr>
                <w:rFonts w:ascii="Calibri" w:eastAsia="Times New Roman" w:hAnsi="Calibri"/>
                <w:color w:val="000000"/>
                <w:sz w:val="18"/>
                <w:lang w:eastAsia="en-AU" w:bidi="ar-SA"/>
              </w:rPr>
              <w:t>2.00</w:t>
            </w:r>
          </w:p>
        </w:tc>
      </w:tr>
    </w:tbl>
    <w:p w:rsidR="00415BFD" w:rsidRDefault="00415BFD" w:rsidP="00A04AC9"/>
    <w:p w:rsidR="00415BFD" w:rsidRDefault="00415BFD" w:rsidP="00A04AC9"/>
    <w:p w:rsidR="00415BFD" w:rsidRDefault="00415BFD" w:rsidP="00415BFD">
      <w:pPr>
        <w:pStyle w:val="Letterfornumbereditems"/>
        <w:numPr>
          <w:ilvl w:val="0"/>
          <w:numId w:val="19"/>
        </w:numPr>
      </w:pPr>
      <w:r w:rsidRPr="00FE3E4B">
        <w:rPr>
          <w:u w:val="single"/>
        </w:rPr>
        <w:t>Teachers deliver the group-based intervention modules.</w:t>
      </w:r>
      <w:r>
        <w:t xml:space="preserve"> We calculated total time spent by teachers delivering face-to-face universal intervention modules across Australia in 2013 by calculating the </w:t>
      </w:r>
      <w:r w:rsidRPr="00A44F6D">
        <w:t>product</w:t>
      </w:r>
      <w:r>
        <w:t xml:space="preserve"> of: the total number of teachers across Australia in 2013; the average number of group-based intervention modules; and the average duration of each module. The total number of teachers across Australia in 2013 was based on the estimate calculated in the previous step (i.e., 67,523 teachers). We calculated the average number of group-based intervention modules offered based on data from the 9 RCT studies (see </w:t>
      </w:r>
      <w:r>
        <w:fldChar w:fldCharType="begin"/>
      </w:r>
      <w:r>
        <w:instrText xml:space="preserve"> REF _Ref451500046 \r \h </w:instrText>
      </w:r>
      <w:r>
        <w:fldChar w:fldCharType="separate"/>
      </w:r>
      <w:r>
        <w:t>Table 19</w:t>
      </w:r>
      <w:r>
        <w:fldChar w:fldCharType="end"/>
      </w:r>
      <w:r>
        <w:t xml:space="preserve">) included in our meta-analysis of intervention efficacy for universal prevention (Mean = 10.1, Std Dev = 1.5) </w:t>
      </w:r>
      <w:r>
        <w:rPr>
          <w:noProof/>
        </w:rPr>
        <w:t>[44-52]</w:t>
      </w:r>
      <w:r>
        <w:t>. Note, in the model we rounded the average number of intervention modules to the nearest whole number (i.e., 10 sessions). These same 9 studies also contained relevant data by which to calculate a pooled estimate of the average duration of each group-based intervention module (Mean = 1.2 hours, Std Dev = 0.4 hours)</w:t>
      </w:r>
      <w:r w:rsidRPr="00AB25D9">
        <w:t xml:space="preserve"> </w:t>
      </w:r>
      <w:r>
        <w:rPr>
          <w:noProof/>
        </w:rPr>
        <w:t>[44-52]</w:t>
      </w:r>
      <w:r>
        <w:t xml:space="preserve">.  The aggregate estimate of teacher’s time spent delivering group-based intervention modules was valued using an hourly wage rate of $45.26, which was calculated using data from the ABS Employee Earnings and Hours survey </w:t>
      </w:r>
      <w:r>
        <w:rPr>
          <w:noProof/>
        </w:rPr>
        <w:t>[23]</w:t>
      </w:r>
      <w:r>
        <w:t xml:space="preserve"> and</w:t>
      </w:r>
      <w:r w:rsidRPr="008D77DD">
        <w:t xml:space="preserve"> </w:t>
      </w:r>
      <w:r>
        <w:t xml:space="preserve">included a 30% loading for on-costs. </w:t>
      </w:r>
    </w:p>
    <w:p w:rsidR="00415BFD" w:rsidRDefault="00415BFD">
      <w:pPr>
        <w:spacing w:line="240" w:lineRule="auto"/>
        <w:jc w:val="left"/>
        <w:rPr>
          <w:lang w:bidi="ar-SA"/>
        </w:rPr>
      </w:pPr>
      <w:r>
        <w:rPr>
          <w:lang w:bidi="ar-SA"/>
        </w:rPr>
        <w:br w:type="page"/>
      </w:r>
    </w:p>
    <w:p w:rsidR="00415BFD" w:rsidRPr="009B4DF9" w:rsidRDefault="00415BFD" w:rsidP="006C29E8">
      <w:pPr>
        <w:pStyle w:val="Heading3"/>
      </w:pPr>
      <w:bookmarkStart w:id="149" w:name="_Ref451182615"/>
      <w:bookmarkStart w:id="150" w:name="_Ref451275702"/>
      <w:bookmarkStart w:id="151" w:name="_Toc452066410"/>
      <w:r>
        <w:lastRenderedPageBreak/>
        <w:t>Cost analysis of internet-delivered universal psychological intervention</w:t>
      </w:r>
      <w:bookmarkEnd w:id="149"/>
      <w:bookmarkEnd w:id="150"/>
      <w:bookmarkEnd w:id="151"/>
    </w:p>
    <w:p w:rsidR="00415BFD" w:rsidRDefault="00415BFD" w:rsidP="00CD4BEB">
      <w:r>
        <w:rPr>
          <w:lang w:bidi="ar-SA"/>
        </w:rPr>
        <w:t>Internet-delivered universal psychological intervention followed a modified intervention pathway to that used for face-to-face delivery. In this case, we a</w:t>
      </w:r>
      <w:r w:rsidRPr="00DF34A5">
        <w:rPr>
          <w:lang w:bidi="ar-SA"/>
        </w:rPr>
        <w:t>ssume</w:t>
      </w:r>
      <w:r>
        <w:rPr>
          <w:lang w:bidi="ar-SA"/>
        </w:rPr>
        <w:t>d</w:t>
      </w:r>
      <w:r w:rsidRPr="00DF34A5">
        <w:rPr>
          <w:lang w:bidi="ar-SA"/>
        </w:rPr>
        <w:t xml:space="preserve"> that all children and adolescents take time in class to complete online </w:t>
      </w:r>
      <w:r>
        <w:rPr>
          <w:lang w:bidi="ar-SA"/>
        </w:rPr>
        <w:t xml:space="preserve">intervention </w:t>
      </w:r>
      <w:r w:rsidRPr="00DF34A5">
        <w:rPr>
          <w:lang w:bidi="ar-SA"/>
        </w:rPr>
        <w:t>modules. During this time, teachers</w:t>
      </w:r>
      <w:r>
        <w:rPr>
          <w:lang w:bidi="ar-SA"/>
        </w:rPr>
        <w:t xml:space="preserve"> </w:t>
      </w:r>
      <w:r w:rsidRPr="00DF34A5">
        <w:rPr>
          <w:lang w:bidi="ar-SA"/>
        </w:rPr>
        <w:t xml:space="preserve">provide </w:t>
      </w:r>
      <w:r>
        <w:rPr>
          <w:lang w:bidi="ar-SA"/>
        </w:rPr>
        <w:t>basic</w:t>
      </w:r>
      <w:r w:rsidRPr="00DF34A5">
        <w:rPr>
          <w:lang w:bidi="ar-SA"/>
        </w:rPr>
        <w:t xml:space="preserve"> supervision while children comple</w:t>
      </w:r>
      <w:r>
        <w:rPr>
          <w:lang w:bidi="ar-SA"/>
        </w:rPr>
        <w:t>ted self-directed</w:t>
      </w:r>
      <w:r w:rsidRPr="00DF34A5">
        <w:rPr>
          <w:lang w:bidi="ar-SA"/>
        </w:rPr>
        <w:t xml:space="preserve"> modules on a school computer</w:t>
      </w:r>
      <w:r>
        <w:rPr>
          <w:lang w:bidi="ar-SA"/>
        </w:rPr>
        <w:t xml:space="preserve"> </w:t>
      </w:r>
      <w:r w:rsidRPr="00730EEF">
        <w:t>(i.e., the teacher monitors the class and provides behaviour management when required, but does not actively guide the students through the completion of modules)</w:t>
      </w:r>
      <w:r>
        <w:t>.</w:t>
      </w:r>
      <w:r>
        <w:rPr>
          <w:lang w:bidi="ar-SA"/>
        </w:rPr>
        <w:t xml:space="preserve"> </w:t>
      </w:r>
      <w:r w:rsidRPr="00730EEF">
        <w:t>This unmoderated</w:t>
      </w:r>
      <w:r>
        <w:t xml:space="preserve"> form of internet-delivery meant</w:t>
      </w:r>
      <w:r w:rsidRPr="00730EEF">
        <w:t xml:space="preserve"> </w:t>
      </w:r>
      <w:r>
        <w:t>that teachers did</w:t>
      </w:r>
      <w:r w:rsidRPr="00730EEF">
        <w:t xml:space="preserve"> not require additional training to learn how to facilitate the delivery of intervention modules.</w:t>
      </w:r>
      <w:r>
        <w:t xml:space="preserve"> </w:t>
      </w:r>
      <w:r>
        <w:rPr>
          <w:lang w:bidi="ar-SA"/>
        </w:rPr>
        <w:fldChar w:fldCharType="begin"/>
      </w:r>
      <w:r>
        <w:instrText xml:space="preserve"> REF _Ref432947952 \r \h </w:instrText>
      </w:r>
      <w:r>
        <w:rPr>
          <w:lang w:bidi="ar-SA"/>
        </w:rPr>
      </w:r>
      <w:r>
        <w:rPr>
          <w:lang w:bidi="ar-SA"/>
        </w:rPr>
        <w:fldChar w:fldCharType="separate"/>
      </w:r>
      <w:r>
        <w:t>Table 20</w:t>
      </w:r>
      <w:r>
        <w:rPr>
          <w:lang w:bidi="ar-SA"/>
        </w:rPr>
        <w:fldChar w:fldCharType="end"/>
      </w:r>
      <w:r>
        <w:rPr>
          <w:lang w:bidi="ar-SA"/>
        </w:rPr>
        <w:t xml:space="preserve"> presents a summary of the different cost items associated with the internet-based delivery of universal prevention. The total cost of each cost item is (broadly speaking) the product of unit cost, quantity and (when applicable) time. Resource use parameters and unit costs that were used to enumerate these cost items are presented in Table 2 of the main manuscript. A detailed summary of the method used to cost the intervention pathway for face-to-face delivery of universal psychological intervention is provided below.</w:t>
      </w:r>
      <w:r>
        <w:t xml:space="preserve"> </w:t>
      </w:r>
    </w:p>
    <w:p w:rsidR="00415BFD" w:rsidRDefault="00415BFD" w:rsidP="00025EED">
      <w:pPr>
        <w:tabs>
          <w:tab w:val="left" w:pos="3423"/>
        </w:tabs>
        <w:rPr>
          <w:lang w:bidi="ar-SA"/>
        </w:rPr>
      </w:pPr>
      <w:r>
        <w:rPr>
          <w:lang w:bidi="ar-SA"/>
        </w:rPr>
        <w:tab/>
      </w:r>
    </w:p>
    <w:p w:rsidR="00415BFD" w:rsidRDefault="00415BFD" w:rsidP="00415BFD">
      <w:pPr>
        <w:pStyle w:val="MyTable"/>
        <w:numPr>
          <w:ilvl w:val="3"/>
          <w:numId w:val="9"/>
        </w:numPr>
        <w:rPr>
          <w:lang w:bidi="ar-SA"/>
        </w:rPr>
      </w:pPr>
      <w:bookmarkStart w:id="152" w:name="_Ref432947952"/>
      <w:bookmarkStart w:id="153" w:name="_Toc452066465"/>
      <w:r>
        <w:rPr>
          <w:lang w:bidi="ar-SA"/>
        </w:rPr>
        <w:t>C</w:t>
      </w:r>
      <w:r w:rsidRPr="00AB67EA">
        <w:rPr>
          <w:lang w:bidi="ar-SA"/>
        </w:rPr>
        <w:t xml:space="preserve">ost items for </w:t>
      </w:r>
      <w:r>
        <w:rPr>
          <w:lang w:bidi="ar-SA"/>
        </w:rPr>
        <w:t>internet-</w:t>
      </w:r>
      <w:r w:rsidRPr="00AB67EA">
        <w:rPr>
          <w:lang w:bidi="ar-SA"/>
        </w:rPr>
        <w:t xml:space="preserve">delivery of </w:t>
      </w:r>
      <w:r>
        <w:rPr>
          <w:lang w:bidi="ar-SA"/>
        </w:rPr>
        <w:t>universal</w:t>
      </w:r>
      <w:r w:rsidRPr="00AB67EA">
        <w:rPr>
          <w:lang w:bidi="ar-SA"/>
        </w:rPr>
        <w:t xml:space="preserve"> psychological </w:t>
      </w:r>
      <w:r>
        <w:rPr>
          <w:lang w:bidi="ar-SA"/>
        </w:rPr>
        <w:t>intervention</w:t>
      </w:r>
      <w:bookmarkEnd w:id="152"/>
      <w:bookmarkEnd w:id="153"/>
    </w:p>
    <w:tbl>
      <w:tblPr>
        <w:tblW w:w="8718" w:type="dxa"/>
        <w:jc w:val="center"/>
        <w:tblLook w:val="04A0" w:firstRow="1" w:lastRow="0" w:firstColumn="1" w:lastColumn="0" w:noHBand="0" w:noVBand="1"/>
      </w:tblPr>
      <w:tblGrid>
        <w:gridCol w:w="3572"/>
        <w:gridCol w:w="1304"/>
        <w:gridCol w:w="1191"/>
        <w:gridCol w:w="1191"/>
        <w:gridCol w:w="1460"/>
      </w:tblGrid>
      <w:tr w:rsidR="00415BFD" w:rsidRPr="006F54D7" w:rsidTr="00A40873">
        <w:trPr>
          <w:trHeight w:val="300"/>
          <w:jc w:val="center"/>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BFD" w:rsidRPr="006F54D7" w:rsidRDefault="00415BFD" w:rsidP="00A40873">
            <w:pPr>
              <w:spacing w:line="240" w:lineRule="auto"/>
              <w:jc w:val="center"/>
              <w:rPr>
                <w:rFonts w:ascii="Calibri" w:eastAsia="Times New Roman" w:hAnsi="Calibri"/>
                <w:b/>
                <w:bCs/>
                <w:color w:val="000000"/>
                <w:sz w:val="18"/>
                <w:szCs w:val="18"/>
                <w:lang w:eastAsia="en-AU" w:bidi="ar-SA"/>
              </w:rPr>
            </w:pPr>
            <w:r w:rsidRPr="006F54D7">
              <w:rPr>
                <w:rFonts w:ascii="Calibri" w:eastAsia="Times New Roman" w:hAnsi="Calibri"/>
                <w:b/>
                <w:bCs/>
                <w:color w:val="000000"/>
                <w:sz w:val="18"/>
                <w:szCs w:val="18"/>
                <w:lang w:eastAsia="en-AU" w:bidi="ar-SA"/>
              </w:rPr>
              <w:t>Cost item</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415BFD" w:rsidRPr="006F54D7" w:rsidRDefault="00415BFD" w:rsidP="00A40873">
            <w:pPr>
              <w:spacing w:line="240" w:lineRule="auto"/>
              <w:jc w:val="center"/>
              <w:rPr>
                <w:rFonts w:ascii="Calibri" w:eastAsia="Times New Roman" w:hAnsi="Calibri"/>
                <w:b/>
                <w:bCs/>
                <w:color w:val="000000"/>
                <w:sz w:val="18"/>
                <w:szCs w:val="18"/>
                <w:lang w:eastAsia="en-AU" w:bidi="ar-SA"/>
              </w:rPr>
            </w:pPr>
            <w:r w:rsidRPr="006F54D7">
              <w:rPr>
                <w:rFonts w:ascii="Calibri" w:eastAsia="Times New Roman" w:hAnsi="Calibri"/>
                <w:b/>
                <w:bCs/>
                <w:color w:val="000000"/>
                <w:sz w:val="18"/>
                <w:szCs w:val="18"/>
                <w:lang w:eastAsia="en-AU" w:bidi="ar-SA"/>
              </w:rPr>
              <w:t>Unit Cost</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415BFD" w:rsidRPr="006F54D7" w:rsidRDefault="00415BFD" w:rsidP="00A40873">
            <w:pPr>
              <w:spacing w:line="240" w:lineRule="auto"/>
              <w:jc w:val="center"/>
              <w:rPr>
                <w:rFonts w:ascii="Calibri" w:eastAsia="Times New Roman" w:hAnsi="Calibri"/>
                <w:b/>
                <w:bCs/>
                <w:color w:val="000000"/>
                <w:sz w:val="18"/>
                <w:szCs w:val="18"/>
                <w:lang w:eastAsia="en-AU" w:bidi="ar-SA"/>
              </w:rPr>
            </w:pPr>
            <w:r w:rsidRPr="006F54D7">
              <w:rPr>
                <w:rFonts w:ascii="Calibri" w:eastAsia="Times New Roman" w:hAnsi="Calibri"/>
                <w:b/>
                <w:bCs/>
                <w:color w:val="000000"/>
                <w:sz w:val="18"/>
                <w:szCs w:val="18"/>
                <w:lang w:eastAsia="en-AU" w:bidi="ar-SA"/>
              </w:rPr>
              <w:t>Quantity</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415BFD" w:rsidRPr="006F54D7" w:rsidRDefault="00415BFD" w:rsidP="00A40873">
            <w:pPr>
              <w:spacing w:line="240" w:lineRule="auto"/>
              <w:jc w:val="center"/>
              <w:rPr>
                <w:rFonts w:ascii="Calibri" w:eastAsia="Times New Roman" w:hAnsi="Calibri"/>
                <w:b/>
                <w:bCs/>
                <w:color w:val="000000"/>
                <w:sz w:val="18"/>
                <w:szCs w:val="18"/>
                <w:lang w:eastAsia="en-AU" w:bidi="ar-SA"/>
              </w:rPr>
            </w:pPr>
            <w:r w:rsidRPr="006F54D7">
              <w:rPr>
                <w:rFonts w:ascii="Calibri" w:eastAsia="Times New Roman" w:hAnsi="Calibri"/>
                <w:b/>
                <w:bCs/>
                <w:color w:val="000000"/>
                <w:sz w:val="18"/>
                <w:szCs w:val="18"/>
                <w:lang w:eastAsia="en-AU" w:bidi="ar-SA"/>
              </w:rPr>
              <w:t>Time (hrs)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415BFD" w:rsidRPr="006F54D7" w:rsidRDefault="00415BFD" w:rsidP="00A40873">
            <w:pPr>
              <w:spacing w:line="240" w:lineRule="auto"/>
              <w:jc w:val="center"/>
              <w:rPr>
                <w:rFonts w:ascii="Calibri" w:eastAsia="Times New Roman" w:hAnsi="Calibri"/>
                <w:b/>
                <w:bCs/>
                <w:color w:val="000000"/>
                <w:sz w:val="18"/>
                <w:szCs w:val="18"/>
                <w:lang w:eastAsia="en-AU" w:bidi="ar-SA"/>
              </w:rPr>
            </w:pPr>
            <w:r w:rsidRPr="006F54D7">
              <w:rPr>
                <w:rFonts w:ascii="Calibri" w:eastAsia="Times New Roman" w:hAnsi="Calibri"/>
                <w:b/>
                <w:bCs/>
                <w:color w:val="000000"/>
                <w:sz w:val="18"/>
                <w:szCs w:val="18"/>
                <w:lang w:eastAsia="en-AU" w:bidi="ar-SA"/>
              </w:rPr>
              <w:t>Total</w:t>
            </w:r>
          </w:p>
        </w:tc>
      </w:tr>
      <w:tr w:rsidR="00415BFD" w:rsidRPr="006F54D7" w:rsidTr="00A40873">
        <w:trPr>
          <w:trHeight w:val="300"/>
          <w:jc w:val="center"/>
        </w:trPr>
        <w:tc>
          <w:tcPr>
            <w:tcW w:w="3572" w:type="dxa"/>
            <w:tcBorders>
              <w:top w:val="nil"/>
              <w:left w:val="single" w:sz="4" w:space="0" w:color="auto"/>
              <w:bottom w:val="nil"/>
              <w:right w:val="single" w:sz="4" w:space="0" w:color="auto"/>
            </w:tcBorders>
            <w:shd w:val="clear" w:color="auto" w:fill="auto"/>
            <w:noWrap/>
            <w:vAlign w:val="center"/>
            <w:hideMark/>
          </w:tcPr>
          <w:p w:rsidR="00415BFD" w:rsidRPr="006F54D7" w:rsidRDefault="00415BFD" w:rsidP="00A40873">
            <w:pPr>
              <w:spacing w:line="240" w:lineRule="auto"/>
              <w:jc w:val="left"/>
              <w:rPr>
                <w:rFonts w:ascii="Calibri" w:eastAsia="Times New Roman" w:hAnsi="Calibri"/>
                <w:b/>
                <w:bCs/>
                <w:color w:val="963634"/>
                <w:sz w:val="18"/>
                <w:szCs w:val="18"/>
                <w:lang w:eastAsia="en-AU" w:bidi="ar-SA"/>
              </w:rPr>
            </w:pPr>
            <w:r>
              <w:rPr>
                <w:rFonts w:ascii="Calibri" w:eastAsia="Times New Roman" w:hAnsi="Calibri"/>
                <w:b/>
                <w:bCs/>
                <w:color w:val="963634"/>
                <w:sz w:val="18"/>
                <w:szCs w:val="18"/>
                <w:lang w:eastAsia="en-AU" w:bidi="ar-SA"/>
              </w:rPr>
              <w:t>A</w:t>
            </w:r>
            <w:r w:rsidRPr="006F54D7">
              <w:rPr>
                <w:rFonts w:ascii="Calibri" w:eastAsia="Times New Roman" w:hAnsi="Calibri"/>
                <w:b/>
                <w:bCs/>
                <w:color w:val="963634"/>
                <w:sz w:val="18"/>
                <w:szCs w:val="18"/>
                <w:lang w:eastAsia="en-AU" w:bidi="ar-SA"/>
              </w:rPr>
              <w:t>. Intervention delivery</w:t>
            </w:r>
          </w:p>
        </w:tc>
        <w:tc>
          <w:tcPr>
            <w:tcW w:w="1304" w:type="dxa"/>
            <w:tcBorders>
              <w:top w:val="nil"/>
              <w:left w:val="nil"/>
              <w:bottom w:val="nil"/>
              <w:right w:val="nil"/>
            </w:tcBorders>
            <w:shd w:val="clear" w:color="auto" w:fill="auto"/>
            <w:noWrap/>
            <w:vAlign w:val="bottom"/>
            <w:hideMark/>
          </w:tcPr>
          <w:p w:rsidR="00415BFD" w:rsidRPr="006F54D7" w:rsidRDefault="00415BFD" w:rsidP="00B003D4">
            <w:pPr>
              <w:spacing w:line="240" w:lineRule="auto"/>
              <w:jc w:val="left"/>
              <w:rPr>
                <w:rFonts w:ascii="Calibri" w:eastAsia="Times New Roman" w:hAnsi="Calibri"/>
                <w:color w:val="000000"/>
                <w:sz w:val="18"/>
                <w:szCs w:val="18"/>
                <w:lang w:eastAsia="en-AU" w:bidi="ar-SA"/>
              </w:rPr>
            </w:pPr>
            <w:r w:rsidRPr="006F54D7">
              <w:rPr>
                <w:rFonts w:ascii="Calibri" w:eastAsia="Times New Roman" w:hAnsi="Calibri"/>
                <w:color w:val="000000"/>
                <w:sz w:val="18"/>
                <w:szCs w:val="18"/>
                <w:lang w:eastAsia="en-AU" w:bidi="ar-SA"/>
              </w:rPr>
              <w:t> </w:t>
            </w:r>
          </w:p>
        </w:tc>
        <w:tc>
          <w:tcPr>
            <w:tcW w:w="1191" w:type="dxa"/>
            <w:tcBorders>
              <w:top w:val="nil"/>
              <w:left w:val="single" w:sz="4" w:space="0" w:color="auto"/>
              <w:bottom w:val="nil"/>
              <w:right w:val="single" w:sz="4" w:space="0" w:color="auto"/>
            </w:tcBorders>
            <w:shd w:val="clear" w:color="auto" w:fill="auto"/>
            <w:noWrap/>
            <w:vAlign w:val="bottom"/>
            <w:hideMark/>
          </w:tcPr>
          <w:p w:rsidR="00415BFD" w:rsidRPr="006F54D7" w:rsidRDefault="00415BFD" w:rsidP="00B003D4">
            <w:pPr>
              <w:spacing w:line="240" w:lineRule="auto"/>
              <w:jc w:val="center"/>
              <w:rPr>
                <w:rFonts w:ascii="Calibri" w:eastAsia="Times New Roman" w:hAnsi="Calibri"/>
                <w:color w:val="000000"/>
                <w:sz w:val="18"/>
                <w:szCs w:val="18"/>
                <w:lang w:eastAsia="en-AU" w:bidi="ar-SA"/>
              </w:rPr>
            </w:pPr>
            <w:r w:rsidRPr="006F54D7">
              <w:rPr>
                <w:rFonts w:ascii="Calibri" w:eastAsia="Times New Roman" w:hAnsi="Calibri"/>
                <w:color w:val="000000"/>
                <w:sz w:val="18"/>
                <w:szCs w:val="18"/>
                <w:lang w:eastAsia="en-AU" w:bidi="ar-SA"/>
              </w:rPr>
              <w:t> </w:t>
            </w:r>
          </w:p>
        </w:tc>
        <w:tc>
          <w:tcPr>
            <w:tcW w:w="1191" w:type="dxa"/>
            <w:tcBorders>
              <w:top w:val="nil"/>
              <w:left w:val="nil"/>
              <w:bottom w:val="nil"/>
              <w:right w:val="single" w:sz="4" w:space="0" w:color="auto"/>
            </w:tcBorders>
            <w:shd w:val="clear" w:color="auto" w:fill="auto"/>
            <w:noWrap/>
            <w:vAlign w:val="bottom"/>
            <w:hideMark/>
          </w:tcPr>
          <w:p w:rsidR="00415BFD" w:rsidRPr="006F54D7" w:rsidRDefault="00415BFD" w:rsidP="00B003D4">
            <w:pPr>
              <w:spacing w:line="240" w:lineRule="auto"/>
              <w:jc w:val="center"/>
              <w:rPr>
                <w:rFonts w:ascii="Calibri" w:eastAsia="Times New Roman" w:hAnsi="Calibri"/>
                <w:color w:val="000000"/>
                <w:sz w:val="18"/>
                <w:szCs w:val="18"/>
                <w:lang w:eastAsia="en-AU" w:bidi="ar-SA"/>
              </w:rPr>
            </w:pPr>
            <w:r w:rsidRPr="006F54D7">
              <w:rPr>
                <w:rFonts w:ascii="Calibri" w:eastAsia="Times New Roman" w:hAnsi="Calibri"/>
                <w:color w:val="000000"/>
                <w:sz w:val="18"/>
                <w:szCs w:val="18"/>
                <w:lang w:eastAsia="en-AU" w:bidi="ar-SA"/>
              </w:rPr>
              <w:t> </w:t>
            </w:r>
          </w:p>
        </w:tc>
        <w:tc>
          <w:tcPr>
            <w:tcW w:w="1460" w:type="dxa"/>
            <w:tcBorders>
              <w:top w:val="nil"/>
              <w:left w:val="nil"/>
              <w:bottom w:val="nil"/>
              <w:right w:val="single" w:sz="4" w:space="0" w:color="auto"/>
            </w:tcBorders>
            <w:shd w:val="clear" w:color="auto" w:fill="auto"/>
            <w:noWrap/>
            <w:vAlign w:val="bottom"/>
            <w:hideMark/>
          </w:tcPr>
          <w:p w:rsidR="00415BFD" w:rsidRPr="006F54D7" w:rsidRDefault="00415BFD" w:rsidP="00B003D4">
            <w:pPr>
              <w:spacing w:line="240" w:lineRule="auto"/>
              <w:jc w:val="left"/>
              <w:rPr>
                <w:rFonts w:ascii="Calibri" w:eastAsia="Times New Roman" w:hAnsi="Calibri"/>
                <w:color w:val="000000"/>
                <w:sz w:val="18"/>
                <w:szCs w:val="18"/>
                <w:lang w:eastAsia="en-AU" w:bidi="ar-SA"/>
              </w:rPr>
            </w:pPr>
            <w:r w:rsidRPr="006F54D7">
              <w:rPr>
                <w:rFonts w:ascii="Calibri" w:eastAsia="Times New Roman" w:hAnsi="Calibri"/>
                <w:color w:val="000000"/>
                <w:sz w:val="18"/>
                <w:szCs w:val="18"/>
                <w:lang w:eastAsia="en-AU" w:bidi="ar-SA"/>
              </w:rPr>
              <w:t> </w:t>
            </w:r>
          </w:p>
        </w:tc>
      </w:tr>
      <w:tr w:rsidR="00415BFD" w:rsidRPr="006F54D7" w:rsidTr="00A40873">
        <w:trPr>
          <w:trHeight w:val="300"/>
          <w:jc w:val="center"/>
        </w:trPr>
        <w:tc>
          <w:tcPr>
            <w:tcW w:w="3572" w:type="dxa"/>
            <w:tcBorders>
              <w:top w:val="nil"/>
              <w:left w:val="single" w:sz="4" w:space="0" w:color="auto"/>
              <w:bottom w:val="nil"/>
              <w:right w:val="single" w:sz="4" w:space="0" w:color="auto"/>
            </w:tcBorders>
            <w:shd w:val="clear" w:color="auto" w:fill="auto"/>
            <w:noWrap/>
            <w:vAlign w:val="center"/>
            <w:hideMark/>
          </w:tcPr>
          <w:p w:rsidR="00415BFD" w:rsidRPr="006F54D7" w:rsidRDefault="00415BFD" w:rsidP="00A40873">
            <w:pPr>
              <w:spacing w:line="240" w:lineRule="auto"/>
              <w:jc w:val="left"/>
              <w:rPr>
                <w:rFonts w:ascii="Calibri" w:eastAsia="Times New Roman" w:hAnsi="Calibri"/>
                <w:sz w:val="18"/>
                <w:szCs w:val="18"/>
                <w:lang w:eastAsia="en-AU" w:bidi="ar-SA"/>
              </w:rPr>
            </w:pPr>
            <w:r w:rsidRPr="006F54D7">
              <w:rPr>
                <w:rFonts w:ascii="Calibri" w:eastAsia="Times New Roman" w:hAnsi="Calibri"/>
                <w:sz w:val="18"/>
                <w:szCs w:val="18"/>
                <w:lang w:eastAsia="en-AU" w:bidi="ar-SA"/>
              </w:rPr>
              <w:t xml:space="preserve">   Annual subscription to ThisWayUp</w:t>
            </w:r>
          </w:p>
        </w:tc>
        <w:tc>
          <w:tcPr>
            <w:tcW w:w="1304" w:type="dxa"/>
            <w:tcBorders>
              <w:top w:val="nil"/>
              <w:left w:val="nil"/>
              <w:bottom w:val="nil"/>
              <w:right w:val="nil"/>
            </w:tcBorders>
            <w:shd w:val="clear" w:color="000000" w:fill="EBF1DE"/>
            <w:noWrap/>
            <w:vAlign w:val="center"/>
            <w:hideMark/>
          </w:tcPr>
          <w:p w:rsidR="00415BFD" w:rsidRPr="006F54D7" w:rsidRDefault="00415BFD" w:rsidP="00A40873">
            <w:pPr>
              <w:spacing w:line="240" w:lineRule="auto"/>
              <w:jc w:val="center"/>
              <w:rPr>
                <w:rFonts w:ascii="Calibri" w:eastAsia="Times New Roman" w:hAnsi="Calibri"/>
                <w:color w:val="000000"/>
                <w:sz w:val="18"/>
                <w:szCs w:val="18"/>
                <w:lang w:eastAsia="en-AU" w:bidi="ar-SA"/>
              </w:rPr>
            </w:pPr>
            <w:r w:rsidRPr="006F54D7">
              <w:rPr>
                <w:rFonts w:ascii="Calibri" w:eastAsia="Times New Roman" w:hAnsi="Calibri"/>
                <w:color w:val="000000"/>
                <w:sz w:val="18"/>
                <w:szCs w:val="18"/>
                <w:lang w:eastAsia="en-AU" w:bidi="ar-SA"/>
              </w:rPr>
              <w:t>$             10.87</w:t>
            </w:r>
          </w:p>
        </w:tc>
        <w:tc>
          <w:tcPr>
            <w:tcW w:w="1191" w:type="dxa"/>
            <w:tcBorders>
              <w:top w:val="nil"/>
              <w:left w:val="single" w:sz="4" w:space="0" w:color="auto"/>
              <w:bottom w:val="nil"/>
              <w:right w:val="single" w:sz="4" w:space="0" w:color="auto"/>
            </w:tcBorders>
            <w:shd w:val="clear" w:color="000000" w:fill="EBF1DE"/>
            <w:noWrap/>
            <w:vAlign w:val="center"/>
            <w:hideMark/>
          </w:tcPr>
          <w:p w:rsidR="00415BFD" w:rsidRPr="006F54D7" w:rsidRDefault="00415BFD" w:rsidP="00A40873">
            <w:pPr>
              <w:spacing w:line="240" w:lineRule="auto"/>
              <w:jc w:val="center"/>
              <w:rPr>
                <w:rFonts w:ascii="Calibri" w:eastAsia="Times New Roman" w:hAnsi="Calibri"/>
                <w:color w:val="000000"/>
                <w:sz w:val="18"/>
                <w:szCs w:val="18"/>
                <w:lang w:eastAsia="en-AU" w:bidi="ar-SA"/>
              </w:rPr>
            </w:pPr>
            <w:r w:rsidRPr="006F54D7">
              <w:rPr>
                <w:rFonts w:ascii="Calibri" w:eastAsia="Times New Roman" w:hAnsi="Calibri"/>
                <w:color w:val="000000"/>
                <w:sz w:val="18"/>
                <w:szCs w:val="18"/>
                <w:lang w:eastAsia="en-AU" w:bidi="ar-SA"/>
              </w:rPr>
              <w:t>1,558,171</w:t>
            </w:r>
          </w:p>
        </w:tc>
        <w:tc>
          <w:tcPr>
            <w:tcW w:w="1191" w:type="dxa"/>
            <w:tcBorders>
              <w:top w:val="nil"/>
              <w:left w:val="nil"/>
              <w:bottom w:val="nil"/>
              <w:right w:val="single" w:sz="4" w:space="0" w:color="auto"/>
            </w:tcBorders>
            <w:shd w:val="clear" w:color="000000" w:fill="D9D9D9"/>
            <w:noWrap/>
            <w:vAlign w:val="center"/>
            <w:hideMark/>
          </w:tcPr>
          <w:p w:rsidR="00415BFD" w:rsidRPr="006F54D7" w:rsidRDefault="00415BFD" w:rsidP="00A40873">
            <w:pPr>
              <w:spacing w:line="240" w:lineRule="auto"/>
              <w:jc w:val="center"/>
              <w:rPr>
                <w:rFonts w:ascii="Calibri" w:eastAsia="Times New Roman" w:hAnsi="Calibri"/>
                <w:color w:val="000000"/>
                <w:sz w:val="18"/>
                <w:szCs w:val="18"/>
                <w:lang w:eastAsia="en-AU" w:bidi="ar-SA"/>
              </w:rPr>
            </w:pPr>
            <w:r w:rsidRPr="006F54D7">
              <w:rPr>
                <w:rFonts w:ascii="Calibri" w:eastAsia="Times New Roman" w:hAnsi="Calibri"/>
                <w:color w:val="000000"/>
                <w:sz w:val="18"/>
                <w:szCs w:val="18"/>
                <w:lang w:eastAsia="en-AU" w:bidi="ar-SA"/>
              </w:rPr>
              <w:t>N/A</w:t>
            </w:r>
          </w:p>
        </w:tc>
        <w:tc>
          <w:tcPr>
            <w:tcW w:w="1460" w:type="dxa"/>
            <w:tcBorders>
              <w:top w:val="nil"/>
              <w:left w:val="nil"/>
              <w:bottom w:val="nil"/>
              <w:right w:val="single" w:sz="4" w:space="0" w:color="auto"/>
            </w:tcBorders>
            <w:shd w:val="clear" w:color="auto" w:fill="auto"/>
            <w:noWrap/>
            <w:vAlign w:val="center"/>
            <w:hideMark/>
          </w:tcPr>
          <w:p w:rsidR="00415BFD" w:rsidRPr="006F54D7" w:rsidRDefault="00415BFD" w:rsidP="00A40873">
            <w:pPr>
              <w:spacing w:line="240" w:lineRule="auto"/>
              <w:jc w:val="center"/>
              <w:rPr>
                <w:rFonts w:ascii="Calibri" w:eastAsia="Times New Roman" w:hAnsi="Calibri"/>
                <w:color w:val="000000"/>
                <w:sz w:val="18"/>
                <w:szCs w:val="18"/>
                <w:lang w:eastAsia="en-AU" w:bidi="ar-SA"/>
              </w:rPr>
            </w:pPr>
            <w:r w:rsidRPr="006F54D7">
              <w:rPr>
                <w:rFonts w:ascii="Calibri" w:eastAsia="Times New Roman" w:hAnsi="Calibri"/>
                <w:color w:val="000000"/>
                <w:sz w:val="18"/>
                <w:szCs w:val="18"/>
                <w:lang w:eastAsia="en-AU" w:bidi="ar-SA"/>
              </w:rPr>
              <w:t>$     16,936,644</w:t>
            </w:r>
          </w:p>
        </w:tc>
      </w:tr>
      <w:tr w:rsidR="00415BFD" w:rsidRPr="006F54D7" w:rsidTr="00A40873">
        <w:trPr>
          <w:trHeight w:val="300"/>
          <w:jc w:val="center"/>
        </w:trPr>
        <w:tc>
          <w:tcPr>
            <w:tcW w:w="3572" w:type="dxa"/>
            <w:tcBorders>
              <w:top w:val="nil"/>
              <w:left w:val="single" w:sz="4" w:space="0" w:color="auto"/>
              <w:bottom w:val="nil"/>
              <w:right w:val="single" w:sz="4" w:space="0" w:color="auto"/>
            </w:tcBorders>
            <w:shd w:val="clear" w:color="auto" w:fill="auto"/>
            <w:noWrap/>
            <w:vAlign w:val="center"/>
          </w:tcPr>
          <w:p w:rsidR="00415BFD" w:rsidRPr="006F54D7" w:rsidRDefault="00415BFD" w:rsidP="00A40873">
            <w:pPr>
              <w:spacing w:line="240" w:lineRule="auto"/>
              <w:jc w:val="left"/>
              <w:rPr>
                <w:rFonts w:ascii="Calibri" w:eastAsia="Times New Roman" w:hAnsi="Calibri"/>
                <w:sz w:val="18"/>
                <w:szCs w:val="18"/>
                <w:lang w:eastAsia="en-AU" w:bidi="ar-SA"/>
              </w:rPr>
            </w:pPr>
            <w:r w:rsidRPr="006F54D7">
              <w:rPr>
                <w:rFonts w:ascii="Calibri" w:eastAsia="Times New Roman" w:hAnsi="Calibri"/>
                <w:sz w:val="18"/>
                <w:szCs w:val="18"/>
                <w:lang w:eastAsia="en-AU" w:bidi="ar-SA"/>
              </w:rPr>
              <w:t xml:space="preserve">   </w:t>
            </w:r>
            <w:r>
              <w:rPr>
                <w:rFonts w:ascii="Calibri" w:eastAsia="Times New Roman" w:hAnsi="Calibri"/>
                <w:sz w:val="18"/>
                <w:szCs w:val="18"/>
                <w:lang w:eastAsia="en-AU" w:bidi="ar-SA"/>
              </w:rPr>
              <w:t>Teacher supervision</w:t>
            </w:r>
          </w:p>
        </w:tc>
        <w:tc>
          <w:tcPr>
            <w:tcW w:w="1304" w:type="dxa"/>
            <w:tcBorders>
              <w:top w:val="nil"/>
              <w:left w:val="nil"/>
              <w:bottom w:val="nil"/>
              <w:right w:val="nil"/>
            </w:tcBorders>
            <w:shd w:val="clear" w:color="000000" w:fill="EBF1DE"/>
            <w:noWrap/>
            <w:vAlign w:val="center"/>
          </w:tcPr>
          <w:p w:rsidR="00415BFD" w:rsidRPr="006F54D7" w:rsidRDefault="00415BFD" w:rsidP="00A40873">
            <w:pPr>
              <w:spacing w:line="240" w:lineRule="auto"/>
              <w:jc w:val="center"/>
              <w:rPr>
                <w:rFonts w:ascii="Calibri" w:eastAsia="Times New Roman" w:hAnsi="Calibri"/>
                <w:color w:val="000000"/>
                <w:sz w:val="18"/>
                <w:szCs w:val="18"/>
                <w:lang w:eastAsia="en-AU" w:bidi="ar-SA"/>
              </w:rPr>
            </w:pPr>
            <w:r w:rsidRPr="006F54D7">
              <w:rPr>
                <w:rFonts w:ascii="Calibri" w:eastAsia="Times New Roman" w:hAnsi="Calibri"/>
                <w:color w:val="000000"/>
                <w:sz w:val="18"/>
                <w:szCs w:val="18"/>
                <w:lang w:eastAsia="en-AU" w:bidi="ar-SA"/>
              </w:rPr>
              <w:t xml:space="preserve">$             </w:t>
            </w:r>
            <w:r>
              <w:rPr>
                <w:rFonts w:ascii="Calibri" w:eastAsia="Times New Roman" w:hAnsi="Calibri"/>
                <w:color w:val="000000"/>
                <w:sz w:val="18"/>
                <w:szCs w:val="18"/>
                <w:lang w:eastAsia="en-AU" w:bidi="ar-SA"/>
              </w:rPr>
              <w:t>45</w:t>
            </w:r>
            <w:r w:rsidRPr="006F54D7">
              <w:rPr>
                <w:rFonts w:ascii="Calibri" w:eastAsia="Times New Roman" w:hAnsi="Calibri"/>
                <w:color w:val="000000"/>
                <w:sz w:val="18"/>
                <w:szCs w:val="18"/>
                <w:lang w:eastAsia="en-AU" w:bidi="ar-SA"/>
              </w:rPr>
              <w:t>.</w:t>
            </w:r>
            <w:r>
              <w:rPr>
                <w:rFonts w:ascii="Calibri" w:eastAsia="Times New Roman" w:hAnsi="Calibri"/>
                <w:color w:val="000000"/>
                <w:sz w:val="18"/>
                <w:szCs w:val="18"/>
                <w:lang w:eastAsia="en-AU" w:bidi="ar-SA"/>
              </w:rPr>
              <w:t>26</w:t>
            </w:r>
          </w:p>
        </w:tc>
        <w:tc>
          <w:tcPr>
            <w:tcW w:w="1191" w:type="dxa"/>
            <w:tcBorders>
              <w:top w:val="nil"/>
              <w:left w:val="single" w:sz="4" w:space="0" w:color="auto"/>
              <w:bottom w:val="nil"/>
              <w:right w:val="single" w:sz="4" w:space="0" w:color="auto"/>
            </w:tcBorders>
            <w:shd w:val="clear" w:color="000000" w:fill="EBF1DE"/>
            <w:noWrap/>
            <w:vAlign w:val="center"/>
          </w:tcPr>
          <w:p w:rsidR="00415BFD" w:rsidRPr="006F54D7" w:rsidRDefault="00415BFD" w:rsidP="00A40873">
            <w:pPr>
              <w:spacing w:line="240" w:lineRule="auto"/>
              <w:jc w:val="center"/>
              <w:rPr>
                <w:rFonts w:ascii="Calibri" w:eastAsia="Times New Roman" w:hAnsi="Calibri"/>
                <w:color w:val="000000"/>
                <w:sz w:val="18"/>
                <w:szCs w:val="18"/>
                <w:lang w:eastAsia="en-AU" w:bidi="ar-SA"/>
              </w:rPr>
            </w:pPr>
            <w:r>
              <w:rPr>
                <w:rFonts w:ascii="Calibri" w:eastAsia="Times New Roman" w:hAnsi="Calibri"/>
                <w:color w:val="000000"/>
                <w:sz w:val="18"/>
                <w:szCs w:val="18"/>
                <w:lang w:eastAsia="en-AU" w:bidi="ar-SA"/>
              </w:rPr>
              <w:t>405</w:t>
            </w:r>
            <w:r w:rsidRPr="006F54D7">
              <w:rPr>
                <w:rFonts w:ascii="Calibri" w:eastAsia="Times New Roman" w:hAnsi="Calibri"/>
                <w:color w:val="000000"/>
                <w:sz w:val="18"/>
                <w:szCs w:val="18"/>
                <w:lang w:eastAsia="en-AU" w:bidi="ar-SA"/>
              </w:rPr>
              <w:t>,1</w:t>
            </w:r>
            <w:r>
              <w:rPr>
                <w:rFonts w:ascii="Calibri" w:eastAsia="Times New Roman" w:hAnsi="Calibri"/>
                <w:color w:val="000000"/>
                <w:sz w:val="18"/>
                <w:szCs w:val="18"/>
                <w:lang w:eastAsia="en-AU" w:bidi="ar-SA"/>
              </w:rPr>
              <w:t>38</w:t>
            </w:r>
          </w:p>
        </w:tc>
        <w:tc>
          <w:tcPr>
            <w:tcW w:w="1191" w:type="dxa"/>
            <w:tcBorders>
              <w:top w:val="nil"/>
              <w:left w:val="nil"/>
              <w:bottom w:val="nil"/>
              <w:right w:val="single" w:sz="4" w:space="0" w:color="auto"/>
            </w:tcBorders>
            <w:shd w:val="clear" w:color="auto" w:fill="EAF1DD" w:themeFill="accent3" w:themeFillTint="33"/>
            <w:noWrap/>
            <w:vAlign w:val="center"/>
          </w:tcPr>
          <w:p w:rsidR="00415BFD" w:rsidRPr="006F54D7" w:rsidRDefault="00415BFD" w:rsidP="00A40873">
            <w:pPr>
              <w:spacing w:line="240" w:lineRule="auto"/>
              <w:jc w:val="center"/>
              <w:rPr>
                <w:rFonts w:ascii="Calibri" w:eastAsia="Times New Roman" w:hAnsi="Calibri"/>
                <w:color w:val="000000"/>
                <w:sz w:val="18"/>
                <w:szCs w:val="18"/>
                <w:lang w:eastAsia="en-AU" w:bidi="ar-SA"/>
              </w:rPr>
            </w:pPr>
            <w:r>
              <w:rPr>
                <w:rFonts w:ascii="Calibri" w:eastAsia="Times New Roman" w:hAnsi="Calibri"/>
                <w:color w:val="000000"/>
                <w:sz w:val="18"/>
                <w:szCs w:val="18"/>
                <w:lang w:eastAsia="en-AU" w:bidi="ar-SA"/>
              </w:rPr>
              <w:t>0.8</w:t>
            </w:r>
          </w:p>
        </w:tc>
        <w:tc>
          <w:tcPr>
            <w:tcW w:w="1460" w:type="dxa"/>
            <w:tcBorders>
              <w:top w:val="nil"/>
              <w:left w:val="nil"/>
              <w:bottom w:val="nil"/>
              <w:right w:val="single" w:sz="4" w:space="0" w:color="auto"/>
            </w:tcBorders>
            <w:shd w:val="clear" w:color="auto" w:fill="auto"/>
            <w:noWrap/>
            <w:vAlign w:val="center"/>
          </w:tcPr>
          <w:p w:rsidR="00415BFD" w:rsidRPr="006F54D7" w:rsidRDefault="00415BFD" w:rsidP="00E474A7">
            <w:pPr>
              <w:spacing w:line="240" w:lineRule="auto"/>
              <w:jc w:val="center"/>
              <w:rPr>
                <w:rFonts w:ascii="Calibri" w:eastAsia="Times New Roman" w:hAnsi="Calibri"/>
                <w:color w:val="000000"/>
                <w:sz w:val="18"/>
                <w:szCs w:val="18"/>
                <w:lang w:eastAsia="en-AU" w:bidi="ar-SA"/>
              </w:rPr>
            </w:pPr>
            <w:r w:rsidRPr="006F54D7">
              <w:rPr>
                <w:rFonts w:ascii="Calibri" w:eastAsia="Times New Roman" w:hAnsi="Calibri"/>
                <w:color w:val="000000"/>
                <w:sz w:val="18"/>
                <w:szCs w:val="18"/>
                <w:lang w:eastAsia="en-AU" w:bidi="ar-SA"/>
              </w:rPr>
              <w:t xml:space="preserve">$     </w:t>
            </w:r>
            <w:r>
              <w:rPr>
                <w:rFonts w:ascii="Calibri" w:eastAsia="Times New Roman" w:hAnsi="Calibri"/>
                <w:color w:val="000000"/>
                <w:sz w:val="18"/>
                <w:szCs w:val="18"/>
                <w:lang w:eastAsia="en-AU" w:bidi="ar-SA"/>
              </w:rPr>
              <w:t>13,752,145</w:t>
            </w:r>
          </w:p>
        </w:tc>
      </w:tr>
      <w:tr w:rsidR="00415BFD" w:rsidRPr="006F54D7" w:rsidTr="00B003D4">
        <w:trPr>
          <w:trHeight w:val="20"/>
          <w:jc w:val="center"/>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rsidR="00415BFD" w:rsidRPr="006F54D7" w:rsidRDefault="00415BFD" w:rsidP="00B003D4">
            <w:pPr>
              <w:spacing w:line="240" w:lineRule="auto"/>
              <w:jc w:val="left"/>
              <w:rPr>
                <w:rFonts w:ascii="Calibri" w:eastAsia="Times New Roman" w:hAnsi="Calibri"/>
                <w:sz w:val="18"/>
                <w:szCs w:val="18"/>
                <w:lang w:eastAsia="en-AU" w:bidi="ar-SA"/>
              </w:rPr>
            </w:pPr>
            <w:r w:rsidRPr="006F54D7">
              <w:rPr>
                <w:rFonts w:ascii="Calibri" w:eastAsia="Times New Roman" w:hAnsi="Calibri"/>
                <w:sz w:val="18"/>
                <w:szCs w:val="18"/>
                <w:lang w:eastAsia="en-AU" w:bidi="ar-SA"/>
              </w:rPr>
              <w:t> </w:t>
            </w:r>
          </w:p>
        </w:tc>
        <w:tc>
          <w:tcPr>
            <w:tcW w:w="1304" w:type="dxa"/>
            <w:tcBorders>
              <w:top w:val="nil"/>
              <w:left w:val="nil"/>
              <w:bottom w:val="single" w:sz="4" w:space="0" w:color="auto"/>
              <w:right w:val="nil"/>
            </w:tcBorders>
            <w:shd w:val="clear" w:color="auto" w:fill="auto"/>
            <w:noWrap/>
            <w:vAlign w:val="bottom"/>
            <w:hideMark/>
          </w:tcPr>
          <w:p w:rsidR="00415BFD" w:rsidRPr="006F54D7" w:rsidRDefault="00415BFD" w:rsidP="00B003D4">
            <w:pPr>
              <w:spacing w:line="240" w:lineRule="auto"/>
              <w:jc w:val="left"/>
              <w:rPr>
                <w:rFonts w:ascii="Calibri" w:eastAsia="Times New Roman" w:hAnsi="Calibri"/>
                <w:color w:val="000000"/>
                <w:sz w:val="18"/>
                <w:szCs w:val="18"/>
                <w:lang w:eastAsia="en-AU" w:bidi="ar-SA"/>
              </w:rPr>
            </w:pPr>
            <w:r w:rsidRPr="006F54D7">
              <w:rPr>
                <w:rFonts w:ascii="Calibri" w:eastAsia="Times New Roman" w:hAnsi="Calibri"/>
                <w:color w:val="000000"/>
                <w:sz w:val="18"/>
                <w:szCs w:val="18"/>
                <w:lang w:eastAsia="en-AU" w:bidi="ar-SA"/>
              </w:rPr>
              <w:t> </w:t>
            </w:r>
          </w:p>
        </w:tc>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415BFD" w:rsidRPr="006F54D7" w:rsidRDefault="00415BFD" w:rsidP="00B003D4">
            <w:pPr>
              <w:spacing w:line="240" w:lineRule="auto"/>
              <w:jc w:val="center"/>
              <w:rPr>
                <w:rFonts w:ascii="Calibri" w:eastAsia="Times New Roman" w:hAnsi="Calibri"/>
                <w:color w:val="000000"/>
                <w:sz w:val="18"/>
                <w:szCs w:val="18"/>
                <w:lang w:eastAsia="en-AU" w:bidi="ar-SA"/>
              </w:rPr>
            </w:pPr>
            <w:r w:rsidRPr="006F54D7">
              <w:rPr>
                <w:rFonts w:ascii="Calibri" w:eastAsia="Times New Roman" w:hAnsi="Calibri"/>
                <w:color w:val="000000"/>
                <w:sz w:val="18"/>
                <w:szCs w:val="18"/>
                <w:lang w:eastAsia="en-AU" w:bidi="ar-SA"/>
              </w:rPr>
              <w:t> </w:t>
            </w:r>
          </w:p>
        </w:tc>
        <w:tc>
          <w:tcPr>
            <w:tcW w:w="1191" w:type="dxa"/>
            <w:tcBorders>
              <w:top w:val="nil"/>
              <w:left w:val="nil"/>
              <w:bottom w:val="single" w:sz="4" w:space="0" w:color="auto"/>
              <w:right w:val="single" w:sz="4" w:space="0" w:color="auto"/>
            </w:tcBorders>
            <w:shd w:val="clear" w:color="auto" w:fill="auto"/>
            <w:noWrap/>
            <w:vAlign w:val="bottom"/>
            <w:hideMark/>
          </w:tcPr>
          <w:p w:rsidR="00415BFD" w:rsidRPr="006F54D7" w:rsidRDefault="00415BFD" w:rsidP="00B003D4">
            <w:pPr>
              <w:spacing w:line="240" w:lineRule="auto"/>
              <w:jc w:val="center"/>
              <w:rPr>
                <w:rFonts w:ascii="Calibri" w:eastAsia="Times New Roman" w:hAnsi="Calibri"/>
                <w:color w:val="000000"/>
                <w:sz w:val="18"/>
                <w:szCs w:val="18"/>
                <w:lang w:eastAsia="en-AU" w:bidi="ar-SA"/>
              </w:rPr>
            </w:pPr>
            <w:r w:rsidRPr="006F54D7">
              <w:rPr>
                <w:rFonts w:ascii="Calibri" w:eastAsia="Times New Roman" w:hAnsi="Calibri"/>
                <w:color w:val="000000"/>
                <w:sz w:val="18"/>
                <w:szCs w:val="18"/>
                <w:lang w:eastAsia="en-AU" w:bidi="ar-SA"/>
              </w:rPr>
              <w:t> </w:t>
            </w:r>
          </w:p>
        </w:tc>
        <w:tc>
          <w:tcPr>
            <w:tcW w:w="1460" w:type="dxa"/>
            <w:tcBorders>
              <w:top w:val="nil"/>
              <w:left w:val="nil"/>
              <w:bottom w:val="single" w:sz="4" w:space="0" w:color="auto"/>
              <w:right w:val="single" w:sz="4" w:space="0" w:color="auto"/>
            </w:tcBorders>
            <w:shd w:val="clear" w:color="auto" w:fill="auto"/>
            <w:noWrap/>
            <w:vAlign w:val="bottom"/>
            <w:hideMark/>
          </w:tcPr>
          <w:p w:rsidR="00415BFD" w:rsidRPr="006F54D7" w:rsidRDefault="00415BFD" w:rsidP="00B003D4">
            <w:pPr>
              <w:spacing w:line="240" w:lineRule="auto"/>
              <w:jc w:val="left"/>
              <w:rPr>
                <w:rFonts w:ascii="Calibri" w:eastAsia="Times New Roman" w:hAnsi="Calibri"/>
                <w:color w:val="000000"/>
                <w:sz w:val="18"/>
                <w:szCs w:val="18"/>
                <w:lang w:eastAsia="en-AU" w:bidi="ar-SA"/>
              </w:rPr>
            </w:pPr>
            <w:r w:rsidRPr="006F54D7">
              <w:rPr>
                <w:rFonts w:ascii="Calibri" w:eastAsia="Times New Roman" w:hAnsi="Calibri"/>
                <w:color w:val="000000"/>
                <w:sz w:val="18"/>
                <w:szCs w:val="18"/>
                <w:lang w:eastAsia="en-AU" w:bidi="ar-SA"/>
              </w:rPr>
              <w:t> </w:t>
            </w:r>
          </w:p>
        </w:tc>
      </w:tr>
    </w:tbl>
    <w:p w:rsidR="00415BFD" w:rsidRDefault="00415BFD" w:rsidP="00025EED">
      <w:pPr>
        <w:rPr>
          <w:lang w:bidi="ar-SA"/>
        </w:rPr>
      </w:pPr>
    </w:p>
    <w:p w:rsidR="00415BFD" w:rsidRDefault="00415BFD" w:rsidP="00CD4BEB"/>
    <w:p w:rsidR="00415BFD" w:rsidRDefault="00415BFD" w:rsidP="00025EED">
      <w:pPr>
        <w:pStyle w:val="Explanatorytextmargins"/>
      </w:pPr>
      <w:r w:rsidRPr="008833F9">
        <w:t>Intervention delivery.</w:t>
      </w:r>
    </w:p>
    <w:p w:rsidR="00415BFD" w:rsidRDefault="00415BFD" w:rsidP="00415BFD">
      <w:pPr>
        <w:pStyle w:val="Letterfornumbereditems"/>
        <w:numPr>
          <w:ilvl w:val="0"/>
          <w:numId w:val="20"/>
        </w:numPr>
      </w:pPr>
      <w:r w:rsidRPr="008B4332">
        <w:rPr>
          <w:u w:val="single"/>
        </w:rPr>
        <w:t>Total annual subscription cost of internet-based intervention.</w:t>
      </w:r>
      <w:r>
        <w:t xml:space="preserve"> We were</w:t>
      </w:r>
      <w:r w:rsidRPr="00DF34A5">
        <w:t xml:space="preserve"> unable to find a comprehensive estimate on the cost of delivering an online universal intervention – i.e., an estimate inclusive of the cost of developing the content, staff, maintaining servers and other IT infrastructure. </w:t>
      </w:r>
      <w:r>
        <w:t xml:space="preserve">As such, we calculated a crude estimate of the annual cost per student of delivering internet-based universal prevention using data on annual subscription fees from </w:t>
      </w:r>
      <w:r w:rsidRPr="00DF34A5">
        <w:t>THIS WAY UP Schools</w:t>
      </w:r>
      <w:r>
        <w:t xml:space="preserve"> </w:t>
      </w:r>
      <w:r>
        <w:rPr>
          <w:noProof/>
        </w:rPr>
        <w:t>[26]</w:t>
      </w:r>
      <w:r>
        <w:t xml:space="preserve">. This internet-delivered program has been designed to prevent the onset of depression among students and </w:t>
      </w:r>
      <w:r w:rsidRPr="00DF34A5">
        <w:t>charges each participating school an annual subscription fee based on the number of s</w:t>
      </w:r>
      <w:r>
        <w:t>tudents who access the program</w:t>
      </w:r>
      <w:r>
        <w:rPr>
          <w:rStyle w:val="FootnoteReference"/>
        </w:rPr>
        <w:footnoteReference w:id="8"/>
      </w:r>
      <w:r w:rsidRPr="00DF34A5">
        <w:t xml:space="preserve">. From this, </w:t>
      </w:r>
      <w:r>
        <w:t>we</w:t>
      </w:r>
      <w:r w:rsidRPr="00DF34A5">
        <w:t xml:space="preserve"> calculated that the</w:t>
      </w:r>
      <w:r>
        <w:t xml:space="preserve"> annual</w:t>
      </w:r>
      <w:r w:rsidRPr="00DF34A5">
        <w:t xml:space="preserve"> cost per student would be $10.87.</w:t>
      </w:r>
      <w:r>
        <w:t xml:space="preserve"> From the meta-review of intervention efficacy we found 2 RCT studies </w:t>
      </w:r>
      <w:r>
        <w:rPr>
          <w:noProof/>
        </w:rPr>
        <w:t>[11,12]</w:t>
      </w:r>
      <w:r>
        <w:t xml:space="preserve"> pertaining to the internet-based delivery of universal prevention (see section </w:t>
      </w:r>
      <w:r>
        <w:fldChar w:fldCharType="begin"/>
      </w:r>
      <w:r>
        <w:instrText xml:space="preserve"> REF _Ref451271670 \r \h </w:instrText>
      </w:r>
      <w:r>
        <w:fldChar w:fldCharType="separate"/>
      </w:r>
      <w:r>
        <w:t>2.6</w:t>
      </w:r>
      <w:r>
        <w:fldChar w:fldCharType="end"/>
      </w:r>
      <w:r>
        <w:t xml:space="preserve">). It should be noted that the cost profile outlined above relates to the unmoderated internet-based delivery of universal psychological prevention. </w:t>
      </w:r>
      <w:r w:rsidRPr="008B4332">
        <w:t xml:space="preserve">Online psychological interventions are conventionally delivered through either unmoderated modalities (i.e., self-help) or clinician-moderated modalities (i.e., self-directed treatment with periodic monitoring by a health professional or clinician; which can improve </w:t>
      </w:r>
      <w:r w:rsidRPr="008B4332">
        <w:lastRenderedPageBreak/>
        <w:t>adherence to the internet-delivered psychological intervention).</w:t>
      </w:r>
      <w:r>
        <w:t xml:space="preserve"> In the sensitivity analysis, we examined the cost-effectiveness of internet-based delivery of universal prevention by assuming either unmoderated or clinician-moderated internet delivery. Examining the latter simply involved substituting the unmoderated cost outlined above (i.e., $10.87 per student) with the corresponding cost associated with clinician-moderated internet delivery. This was calculated to be $223 per person (see section </w:t>
      </w:r>
      <w:r>
        <w:fldChar w:fldCharType="begin"/>
      </w:r>
      <w:r>
        <w:instrText xml:space="preserve"> REF _Ref451605203 \r \h </w:instrText>
      </w:r>
      <w:r>
        <w:fldChar w:fldCharType="separate"/>
      </w:r>
      <w:r>
        <w:t>6.10</w:t>
      </w:r>
      <w:r>
        <w:fldChar w:fldCharType="end"/>
      </w:r>
      <w:r>
        <w:t>).</w:t>
      </w:r>
    </w:p>
    <w:p w:rsidR="00415BFD" w:rsidRDefault="00415BFD" w:rsidP="00415BFD">
      <w:pPr>
        <w:pStyle w:val="Letterfornumbereditems"/>
        <w:numPr>
          <w:ilvl w:val="0"/>
          <w:numId w:val="20"/>
        </w:numPr>
      </w:pPr>
      <w:r>
        <w:t xml:space="preserve">Cost of teachers providing basic supervision. We calculated the total time spent by teachers providing basic supervision to students (while completing online intervention modules using class computers) by calculating the product of: the total number of classes requiring teacher supervision (i.e., 67,523); the average number of internet-delivered intervention modules; and the average duration required to complete each module. From the meta-review of intervention efficacy, we found 2 studies (see </w:t>
      </w:r>
      <w:r>
        <w:fldChar w:fldCharType="begin"/>
      </w:r>
      <w:r>
        <w:instrText xml:space="preserve"> REF _Ref451504938 \r \h </w:instrText>
      </w:r>
      <w:r>
        <w:fldChar w:fldCharType="separate"/>
      </w:r>
      <w:r>
        <w:t>Table 21</w:t>
      </w:r>
      <w:r>
        <w:fldChar w:fldCharType="end"/>
      </w:r>
      <w:r>
        <w:t xml:space="preserve">) examining the efficacy of internet-delivered universal prevention </w:t>
      </w:r>
      <w:r>
        <w:rPr>
          <w:noProof/>
        </w:rPr>
        <w:t>[11,12]</w:t>
      </w:r>
      <w:r>
        <w:t xml:space="preserve">. We obtained data from these studies to calculate the average number of internet-delivered sessions (Mean = 5.5, Std Dev = 0.7) and the average duration of sessions (Mean = </w:t>
      </w:r>
      <w:r w:rsidRPr="00E158B2">
        <w:t>0.8</w:t>
      </w:r>
      <w:r>
        <w:t xml:space="preserve"> hours, Std Dev =</w:t>
      </w:r>
      <w:r w:rsidRPr="00E158B2">
        <w:t xml:space="preserve"> 0.4</w:t>
      </w:r>
      <w:r>
        <w:t xml:space="preserve"> hours). Note, in the model we rounded the average number of internet-delivered sessions to the nearest whole number (i.e., 6 sessions). The aggregate estimate of teacher’s time spent providing classroom supervision was valued using an hourly wage rate calculated using data from the ABS Employee Earnings and Hours survey </w:t>
      </w:r>
      <w:r>
        <w:rPr>
          <w:noProof/>
        </w:rPr>
        <w:t>[23]</w:t>
      </w:r>
      <w:r>
        <w:t>) which</w:t>
      </w:r>
      <w:r w:rsidRPr="008D77DD">
        <w:t xml:space="preserve"> </w:t>
      </w:r>
      <w:r>
        <w:t>included a 30% loading for on-costs.</w:t>
      </w:r>
    </w:p>
    <w:p w:rsidR="00415BFD" w:rsidRDefault="00415BFD" w:rsidP="009B2A3A"/>
    <w:p w:rsidR="00415BFD" w:rsidRDefault="00415BFD" w:rsidP="00415BFD">
      <w:pPr>
        <w:pStyle w:val="MyTable"/>
        <w:numPr>
          <w:ilvl w:val="3"/>
          <w:numId w:val="9"/>
        </w:numPr>
      </w:pPr>
      <w:bookmarkStart w:id="154" w:name="_Ref451504938"/>
      <w:bookmarkStart w:id="155" w:name="_Toc452066466"/>
      <w:r w:rsidRPr="003D4F1B">
        <w:t xml:space="preserve">Resource use parameters extracted from </w:t>
      </w:r>
      <w:r>
        <w:t>2</w:t>
      </w:r>
      <w:r w:rsidRPr="003D4F1B">
        <w:t xml:space="preserve"> RCT studies included in the meta-analysis of intervention efficacy for universal psychological prevention</w:t>
      </w:r>
      <w:bookmarkEnd w:id="154"/>
      <w:bookmarkEnd w:id="155"/>
    </w:p>
    <w:tbl>
      <w:tblPr>
        <w:tblW w:w="4994" w:type="dxa"/>
        <w:jc w:val="center"/>
        <w:tblLook w:val="04A0" w:firstRow="1" w:lastRow="0" w:firstColumn="1" w:lastColumn="0" w:noHBand="0" w:noVBand="1"/>
      </w:tblPr>
      <w:tblGrid>
        <w:gridCol w:w="2500"/>
        <w:gridCol w:w="1247"/>
        <w:gridCol w:w="1247"/>
      </w:tblGrid>
      <w:tr w:rsidR="00415BFD" w:rsidRPr="003D4F1B" w:rsidTr="003D4F1B">
        <w:trPr>
          <w:trHeight w:val="1020"/>
          <w:jc w:val="center"/>
        </w:trPr>
        <w:tc>
          <w:tcPr>
            <w:tcW w:w="250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415BFD" w:rsidRPr="003D4F1B" w:rsidRDefault="00415BFD" w:rsidP="003D4F1B">
            <w:pPr>
              <w:spacing w:line="240" w:lineRule="auto"/>
              <w:jc w:val="left"/>
              <w:rPr>
                <w:rFonts w:ascii="Calibri" w:eastAsia="Times New Roman" w:hAnsi="Calibri"/>
                <w:b/>
                <w:bCs/>
                <w:color w:val="000000"/>
                <w:sz w:val="18"/>
                <w:lang w:eastAsia="en-AU" w:bidi="ar-SA"/>
              </w:rPr>
            </w:pPr>
            <w:r w:rsidRPr="003D4F1B">
              <w:rPr>
                <w:rFonts w:ascii="Calibri" w:eastAsia="Times New Roman" w:hAnsi="Calibri"/>
                <w:b/>
                <w:bCs/>
                <w:color w:val="000000"/>
                <w:sz w:val="18"/>
                <w:lang w:eastAsia="en-AU" w:bidi="ar-SA"/>
              </w:rPr>
              <w:t>Study name (N = 2)</w:t>
            </w:r>
          </w:p>
        </w:tc>
        <w:tc>
          <w:tcPr>
            <w:tcW w:w="1247" w:type="dxa"/>
            <w:tcBorders>
              <w:top w:val="single" w:sz="4" w:space="0" w:color="auto"/>
              <w:left w:val="nil"/>
              <w:bottom w:val="single" w:sz="4" w:space="0" w:color="auto"/>
              <w:right w:val="single" w:sz="4" w:space="0" w:color="auto"/>
            </w:tcBorders>
            <w:shd w:val="clear" w:color="000000" w:fill="D8E4BC"/>
            <w:vAlign w:val="bottom"/>
            <w:hideMark/>
          </w:tcPr>
          <w:p w:rsidR="00415BFD" w:rsidRPr="003D4F1B" w:rsidRDefault="00415BFD" w:rsidP="003D4F1B">
            <w:pPr>
              <w:spacing w:line="240" w:lineRule="auto"/>
              <w:jc w:val="center"/>
              <w:rPr>
                <w:rFonts w:ascii="Calibri" w:eastAsia="Times New Roman" w:hAnsi="Calibri"/>
                <w:b/>
                <w:bCs/>
                <w:color w:val="000000"/>
                <w:sz w:val="18"/>
                <w:lang w:eastAsia="en-AU" w:bidi="ar-SA"/>
              </w:rPr>
            </w:pPr>
            <w:r w:rsidRPr="003D4F1B">
              <w:rPr>
                <w:rFonts w:ascii="Calibri" w:eastAsia="Times New Roman" w:hAnsi="Calibri"/>
                <w:b/>
                <w:bCs/>
                <w:color w:val="000000"/>
                <w:sz w:val="18"/>
                <w:lang w:eastAsia="en-AU" w:bidi="ar-SA"/>
              </w:rPr>
              <w:t>Number of intervention sessions</w:t>
            </w:r>
            <w:r w:rsidRPr="003D4F1B">
              <w:rPr>
                <w:rFonts w:ascii="Calibri" w:eastAsia="Times New Roman" w:hAnsi="Calibri"/>
                <w:b/>
                <w:bCs/>
                <w:color w:val="000000"/>
                <w:sz w:val="18"/>
                <w:lang w:eastAsia="en-AU" w:bidi="ar-SA"/>
              </w:rPr>
              <w:br/>
              <w:t>(count)</w:t>
            </w:r>
          </w:p>
        </w:tc>
        <w:tc>
          <w:tcPr>
            <w:tcW w:w="1247" w:type="dxa"/>
            <w:tcBorders>
              <w:top w:val="single" w:sz="4" w:space="0" w:color="auto"/>
              <w:left w:val="nil"/>
              <w:bottom w:val="single" w:sz="4" w:space="0" w:color="auto"/>
              <w:right w:val="single" w:sz="4" w:space="0" w:color="auto"/>
            </w:tcBorders>
            <w:shd w:val="clear" w:color="000000" w:fill="D8E4BC"/>
            <w:vAlign w:val="bottom"/>
            <w:hideMark/>
          </w:tcPr>
          <w:p w:rsidR="00415BFD" w:rsidRPr="003D4F1B" w:rsidRDefault="00415BFD" w:rsidP="003D4F1B">
            <w:pPr>
              <w:spacing w:line="240" w:lineRule="auto"/>
              <w:jc w:val="center"/>
              <w:rPr>
                <w:rFonts w:ascii="Calibri" w:eastAsia="Times New Roman" w:hAnsi="Calibri"/>
                <w:b/>
                <w:bCs/>
                <w:color w:val="000000"/>
                <w:sz w:val="18"/>
                <w:lang w:eastAsia="en-AU" w:bidi="ar-SA"/>
              </w:rPr>
            </w:pPr>
            <w:r w:rsidRPr="003D4F1B">
              <w:rPr>
                <w:rFonts w:ascii="Calibri" w:eastAsia="Times New Roman" w:hAnsi="Calibri"/>
                <w:b/>
                <w:bCs/>
                <w:color w:val="000000"/>
                <w:sz w:val="18"/>
                <w:lang w:eastAsia="en-AU" w:bidi="ar-SA"/>
              </w:rPr>
              <w:t xml:space="preserve">Length of intervention sessions </w:t>
            </w:r>
            <w:r w:rsidRPr="003D4F1B">
              <w:rPr>
                <w:rFonts w:ascii="Calibri" w:eastAsia="Times New Roman" w:hAnsi="Calibri"/>
                <w:b/>
                <w:bCs/>
                <w:color w:val="000000"/>
                <w:sz w:val="18"/>
                <w:lang w:eastAsia="en-AU" w:bidi="ar-SA"/>
              </w:rPr>
              <w:br/>
              <w:t>(hours)</w:t>
            </w:r>
          </w:p>
        </w:tc>
      </w:tr>
      <w:tr w:rsidR="00415BFD" w:rsidRPr="003D4F1B" w:rsidTr="003D4F1B">
        <w:trPr>
          <w:trHeight w:val="300"/>
          <w:jc w:val="center"/>
        </w:trPr>
        <w:tc>
          <w:tcPr>
            <w:tcW w:w="2500" w:type="dxa"/>
            <w:tcBorders>
              <w:top w:val="nil"/>
              <w:left w:val="single" w:sz="4" w:space="0" w:color="auto"/>
              <w:bottom w:val="nil"/>
              <w:right w:val="single" w:sz="4" w:space="0" w:color="auto"/>
            </w:tcBorders>
            <w:shd w:val="clear" w:color="000000" w:fill="EBF1DE"/>
            <w:noWrap/>
            <w:vAlign w:val="center"/>
            <w:hideMark/>
          </w:tcPr>
          <w:p w:rsidR="00415BFD" w:rsidRPr="003D4F1B" w:rsidRDefault="00415BFD" w:rsidP="003D4F1B">
            <w:pPr>
              <w:spacing w:line="240" w:lineRule="auto"/>
              <w:jc w:val="left"/>
              <w:rPr>
                <w:rFonts w:ascii="Calibri" w:eastAsia="Times New Roman" w:hAnsi="Calibri"/>
                <w:color w:val="000000"/>
                <w:sz w:val="18"/>
                <w:lang w:eastAsia="en-AU" w:bidi="ar-SA"/>
              </w:rPr>
            </w:pPr>
            <w:r w:rsidRPr="003D4F1B">
              <w:rPr>
                <w:rFonts w:ascii="Calibri" w:eastAsia="Times New Roman" w:hAnsi="Calibri"/>
                <w:color w:val="000000"/>
                <w:sz w:val="18"/>
                <w:lang w:eastAsia="en-AU" w:bidi="ar-SA"/>
              </w:rPr>
              <w:t>Calear 2009</w:t>
            </w:r>
          </w:p>
        </w:tc>
        <w:tc>
          <w:tcPr>
            <w:tcW w:w="1247" w:type="dxa"/>
            <w:tcBorders>
              <w:top w:val="nil"/>
              <w:left w:val="nil"/>
              <w:bottom w:val="nil"/>
              <w:right w:val="single" w:sz="4" w:space="0" w:color="auto"/>
            </w:tcBorders>
            <w:shd w:val="clear" w:color="000000" w:fill="EBF1DE"/>
            <w:noWrap/>
            <w:vAlign w:val="center"/>
            <w:hideMark/>
          </w:tcPr>
          <w:p w:rsidR="00415BFD" w:rsidRPr="003D4F1B" w:rsidRDefault="00415BFD" w:rsidP="003D4F1B">
            <w:pPr>
              <w:spacing w:line="240" w:lineRule="auto"/>
              <w:jc w:val="center"/>
              <w:rPr>
                <w:rFonts w:ascii="Calibri" w:eastAsia="Times New Roman" w:hAnsi="Calibri"/>
                <w:color w:val="000000"/>
                <w:sz w:val="18"/>
                <w:lang w:eastAsia="en-AU" w:bidi="ar-SA"/>
              </w:rPr>
            </w:pPr>
            <w:r w:rsidRPr="003D4F1B">
              <w:rPr>
                <w:rFonts w:ascii="Calibri" w:eastAsia="Times New Roman" w:hAnsi="Calibri"/>
                <w:color w:val="000000"/>
                <w:sz w:val="18"/>
                <w:lang w:eastAsia="en-AU" w:bidi="ar-SA"/>
              </w:rPr>
              <w:t>5</w:t>
            </w:r>
          </w:p>
        </w:tc>
        <w:tc>
          <w:tcPr>
            <w:tcW w:w="1247" w:type="dxa"/>
            <w:tcBorders>
              <w:top w:val="nil"/>
              <w:left w:val="nil"/>
              <w:bottom w:val="nil"/>
              <w:right w:val="single" w:sz="4" w:space="0" w:color="auto"/>
            </w:tcBorders>
            <w:shd w:val="clear" w:color="000000" w:fill="EBF1DE"/>
            <w:noWrap/>
            <w:vAlign w:val="center"/>
            <w:hideMark/>
          </w:tcPr>
          <w:p w:rsidR="00415BFD" w:rsidRPr="003D4F1B" w:rsidRDefault="00415BFD" w:rsidP="003D4F1B">
            <w:pPr>
              <w:spacing w:line="240" w:lineRule="auto"/>
              <w:jc w:val="center"/>
              <w:rPr>
                <w:rFonts w:ascii="Calibri" w:eastAsia="Times New Roman" w:hAnsi="Calibri"/>
                <w:color w:val="000000"/>
                <w:sz w:val="18"/>
                <w:lang w:eastAsia="en-AU" w:bidi="ar-SA"/>
              </w:rPr>
            </w:pPr>
            <w:r w:rsidRPr="003D4F1B">
              <w:rPr>
                <w:rFonts w:ascii="Calibri" w:eastAsia="Times New Roman" w:hAnsi="Calibri"/>
                <w:color w:val="000000"/>
                <w:sz w:val="18"/>
                <w:lang w:eastAsia="en-AU" w:bidi="ar-SA"/>
              </w:rPr>
              <w:t>0.50</w:t>
            </w:r>
          </w:p>
        </w:tc>
      </w:tr>
      <w:tr w:rsidR="00415BFD" w:rsidRPr="003D4F1B" w:rsidTr="003D4F1B">
        <w:trPr>
          <w:trHeight w:val="300"/>
          <w:jc w:val="center"/>
        </w:trPr>
        <w:tc>
          <w:tcPr>
            <w:tcW w:w="2500" w:type="dxa"/>
            <w:tcBorders>
              <w:top w:val="nil"/>
              <w:left w:val="single" w:sz="4" w:space="0" w:color="auto"/>
              <w:bottom w:val="single" w:sz="4" w:space="0" w:color="auto"/>
              <w:right w:val="single" w:sz="4" w:space="0" w:color="auto"/>
            </w:tcBorders>
            <w:shd w:val="clear" w:color="000000" w:fill="EBF1DE"/>
            <w:noWrap/>
            <w:vAlign w:val="center"/>
            <w:hideMark/>
          </w:tcPr>
          <w:p w:rsidR="00415BFD" w:rsidRPr="003D4F1B" w:rsidRDefault="00415BFD" w:rsidP="003D4F1B">
            <w:pPr>
              <w:spacing w:line="240" w:lineRule="auto"/>
              <w:jc w:val="left"/>
              <w:rPr>
                <w:rFonts w:ascii="Calibri" w:eastAsia="Times New Roman" w:hAnsi="Calibri"/>
                <w:color w:val="000000"/>
                <w:sz w:val="18"/>
                <w:lang w:eastAsia="en-AU" w:bidi="ar-SA"/>
              </w:rPr>
            </w:pPr>
            <w:r w:rsidRPr="003D4F1B">
              <w:rPr>
                <w:rFonts w:ascii="Calibri" w:eastAsia="Times New Roman" w:hAnsi="Calibri"/>
                <w:color w:val="000000"/>
                <w:sz w:val="18"/>
                <w:lang w:eastAsia="en-AU" w:bidi="ar-SA"/>
              </w:rPr>
              <w:t>Wong 2014</w:t>
            </w:r>
          </w:p>
        </w:tc>
        <w:tc>
          <w:tcPr>
            <w:tcW w:w="1247" w:type="dxa"/>
            <w:tcBorders>
              <w:top w:val="nil"/>
              <w:left w:val="nil"/>
              <w:bottom w:val="single" w:sz="4" w:space="0" w:color="auto"/>
              <w:right w:val="single" w:sz="4" w:space="0" w:color="auto"/>
            </w:tcBorders>
            <w:shd w:val="clear" w:color="000000" w:fill="EBF1DE"/>
            <w:noWrap/>
            <w:vAlign w:val="center"/>
            <w:hideMark/>
          </w:tcPr>
          <w:p w:rsidR="00415BFD" w:rsidRPr="003D4F1B" w:rsidRDefault="00415BFD" w:rsidP="003D4F1B">
            <w:pPr>
              <w:spacing w:line="240" w:lineRule="auto"/>
              <w:jc w:val="center"/>
              <w:rPr>
                <w:rFonts w:ascii="Calibri" w:eastAsia="Times New Roman" w:hAnsi="Calibri"/>
                <w:color w:val="000000"/>
                <w:sz w:val="18"/>
                <w:lang w:eastAsia="en-AU" w:bidi="ar-SA"/>
              </w:rPr>
            </w:pPr>
            <w:r w:rsidRPr="003D4F1B">
              <w:rPr>
                <w:rFonts w:ascii="Calibri" w:eastAsia="Times New Roman" w:hAnsi="Calibri"/>
                <w:color w:val="000000"/>
                <w:sz w:val="18"/>
                <w:lang w:eastAsia="en-AU" w:bidi="ar-SA"/>
              </w:rPr>
              <w:t>6</w:t>
            </w:r>
          </w:p>
        </w:tc>
        <w:tc>
          <w:tcPr>
            <w:tcW w:w="1247" w:type="dxa"/>
            <w:tcBorders>
              <w:top w:val="nil"/>
              <w:left w:val="nil"/>
              <w:bottom w:val="single" w:sz="4" w:space="0" w:color="auto"/>
              <w:right w:val="single" w:sz="4" w:space="0" w:color="auto"/>
            </w:tcBorders>
            <w:shd w:val="clear" w:color="000000" w:fill="EBF1DE"/>
            <w:noWrap/>
            <w:vAlign w:val="center"/>
            <w:hideMark/>
          </w:tcPr>
          <w:p w:rsidR="00415BFD" w:rsidRPr="003D4F1B" w:rsidRDefault="00415BFD" w:rsidP="003D4F1B">
            <w:pPr>
              <w:spacing w:line="240" w:lineRule="auto"/>
              <w:jc w:val="center"/>
              <w:rPr>
                <w:rFonts w:ascii="Calibri" w:eastAsia="Times New Roman" w:hAnsi="Calibri"/>
                <w:color w:val="000000"/>
                <w:sz w:val="18"/>
                <w:lang w:eastAsia="en-AU" w:bidi="ar-SA"/>
              </w:rPr>
            </w:pPr>
            <w:r w:rsidRPr="003D4F1B">
              <w:rPr>
                <w:rFonts w:ascii="Calibri" w:eastAsia="Times New Roman" w:hAnsi="Calibri"/>
                <w:color w:val="000000"/>
                <w:sz w:val="18"/>
                <w:lang w:eastAsia="en-AU" w:bidi="ar-SA"/>
              </w:rPr>
              <w:t>1.00</w:t>
            </w:r>
          </w:p>
        </w:tc>
      </w:tr>
    </w:tbl>
    <w:p w:rsidR="00415BFD" w:rsidRPr="003D4F1B" w:rsidRDefault="00415BFD" w:rsidP="003D4F1B"/>
    <w:p w:rsidR="00415BFD" w:rsidRDefault="00415BFD" w:rsidP="009B2A3A">
      <w:pPr>
        <w:rPr>
          <w:lang w:bidi="ar-SA"/>
        </w:rPr>
      </w:pPr>
    </w:p>
    <w:p w:rsidR="00415BFD" w:rsidRPr="009B4DF9" w:rsidRDefault="00415BFD" w:rsidP="00747D5F">
      <w:pPr>
        <w:pStyle w:val="Heading3"/>
      </w:pPr>
      <w:bookmarkStart w:id="156" w:name="_Ref451283357"/>
      <w:bookmarkStart w:id="157" w:name="_Toc452066411"/>
      <w:r>
        <w:t>Cost analysis of face-to-face indicated psychological intervention</w:t>
      </w:r>
      <w:bookmarkEnd w:id="156"/>
      <w:bookmarkEnd w:id="157"/>
    </w:p>
    <w:p w:rsidR="00415BFD" w:rsidRDefault="00415BFD" w:rsidP="00767174">
      <w:pPr>
        <w:rPr>
          <w:lang w:bidi="ar-SA"/>
        </w:rPr>
      </w:pPr>
      <w:r w:rsidRPr="00730EEF">
        <w:t>The intervention pathway for face-to-face delivery of indicated psychological prevention involve</w:t>
      </w:r>
      <w:r>
        <w:t>d</w:t>
      </w:r>
      <w:r w:rsidRPr="00730EEF">
        <w:t xml:space="preserve"> three main steps: (</w:t>
      </w:r>
      <w:r>
        <w:t>i</w:t>
      </w:r>
      <w:r w:rsidRPr="00730EEF">
        <w:t>) screening students at participating schools for elevated symptoms</w:t>
      </w:r>
      <w:r>
        <w:t xml:space="preserve"> of depression using the CES-D</w:t>
      </w:r>
      <w:r w:rsidRPr="00730EEF">
        <w:t>; (</w:t>
      </w:r>
      <w:r>
        <w:t>ii</w:t>
      </w:r>
      <w:r w:rsidRPr="00730EEF">
        <w:t xml:space="preserve">) </w:t>
      </w:r>
      <w:r>
        <w:t>psychologists conducting</w:t>
      </w:r>
      <w:r w:rsidRPr="00730EEF">
        <w:t xml:space="preserve"> further diagnostic testing to identify students without a depression diagnosis; and (</w:t>
      </w:r>
      <w:r>
        <w:t>iii</w:t>
      </w:r>
      <w:r w:rsidRPr="00730EEF">
        <w:t xml:space="preserve">) </w:t>
      </w:r>
      <w:r>
        <w:t>psychologists delivering group-based psychological intervention modules to eligible students</w:t>
      </w:r>
      <w:r w:rsidRPr="00730EEF">
        <w:t>.</w:t>
      </w:r>
      <w:r>
        <w:t xml:space="preserve"> </w:t>
      </w:r>
      <w:r>
        <w:rPr>
          <w:lang w:bidi="ar-SA"/>
        </w:rPr>
        <w:fldChar w:fldCharType="begin"/>
      </w:r>
      <w:r>
        <w:rPr>
          <w:lang w:bidi="ar-SA"/>
        </w:rPr>
        <w:instrText xml:space="preserve"> REF _Ref451355759 \n \h </w:instrText>
      </w:r>
      <w:r>
        <w:rPr>
          <w:lang w:bidi="ar-SA"/>
        </w:rPr>
      </w:r>
      <w:r>
        <w:rPr>
          <w:lang w:bidi="ar-SA"/>
        </w:rPr>
        <w:fldChar w:fldCharType="separate"/>
      </w:r>
      <w:r>
        <w:rPr>
          <w:lang w:bidi="ar-SA"/>
        </w:rPr>
        <w:t>Table 4</w:t>
      </w:r>
      <w:r>
        <w:rPr>
          <w:lang w:bidi="ar-SA"/>
        </w:rPr>
        <w:fldChar w:fldCharType="end"/>
      </w:r>
      <w:r>
        <w:rPr>
          <w:lang w:bidi="ar-SA"/>
        </w:rPr>
        <w:t xml:space="preserve"> provides a brief description of the rationale behind data and assumption used to cost intervention pathways for the face-to-face delivery of indicated prevention. This section provides further details on how we costed the intervention pathway for the face-to-face delivery of indicated psychological prevention via (MBS-funded) psychologists. </w:t>
      </w:r>
      <w:r>
        <w:rPr>
          <w:lang w:bidi="ar-SA"/>
        </w:rPr>
        <w:fldChar w:fldCharType="begin"/>
      </w:r>
      <w:r>
        <w:rPr>
          <w:lang w:bidi="ar-SA"/>
        </w:rPr>
        <w:instrText xml:space="preserve"> REF _Ref427758715 \n \h </w:instrText>
      </w:r>
      <w:r>
        <w:rPr>
          <w:lang w:bidi="ar-SA"/>
        </w:rPr>
      </w:r>
      <w:r>
        <w:rPr>
          <w:lang w:bidi="ar-SA"/>
        </w:rPr>
        <w:fldChar w:fldCharType="separate"/>
      </w:r>
      <w:r>
        <w:rPr>
          <w:lang w:bidi="ar-SA"/>
        </w:rPr>
        <w:t>Table 22</w:t>
      </w:r>
      <w:r>
        <w:rPr>
          <w:lang w:bidi="ar-SA"/>
        </w:rPr>
        <w:fldChar w:fldCharType="end"/>
      </w:r>
      <w:r>
        <w:rPr>
          <w:lang w:bidi="ar-SA"/>
        </w:rPr>
        <w:t xml:space="preserve"> presents a summary of the different cost items associated with the face-to-face delivery of indicated prevention. The total cost of each cost item is (broadly speaking) the product of unit cost, quantity and (when applicable) time. Resource use parameters and unit costs that were used to enumerate these cost items </w:t>
      </w:r>
      <w:r>
        <w:rPr>
          <w:lang w:bidi="ar-SA"/>
        </w:rPr>
        <w:lastRenderedPageBreak/>
        <w:t>are presented in Table 2 of the main manuscript. A detailed summary of the method used to cost the intervention pathway for face-to-face delivery of indicated psychological intervention is provided below.</w:t>
      </w:r>
    </w:p>
    <w:p w:rsidR="00415BFD" w:rsidRDefault="00415BFD" w:rsidP="00DD51AD">
      <w:pPr>
        <w:tabs>
          <w:tab w:val="left" w:pos="2201"/>
        </w:tabs>
        <w:rPr>
          <w:lang w:bidi="ar-SA"/>
        </w:rPr>
      </w:pPr>
      <w:r>
        <w:rPr>
          <w:lang w:bidi="ar-SA"/>
        </w:rPr>
        <w:tab/>
      </w:r>
    </w:p>
    <w:p w:rsidR="00415BFD" w:rsidRDefault="00415BFD" w:rsidP="00415BFD">
      <w:pPr>
        <w:pStyle w:val="MyTable"/>
        <w:numPr>
          <w:ilvl w:val="3"/>
          <w:numId w:val="9"/>
        </w:numPr>
        <w:rPr>
          <w:lang w:bidi="ar-SA"/>
        </w:rPr>
      </w:pPr>
      <w:bookmarkStart w:id="158" w:name="_Ref427758715"/>
      <w:bookmarkStart w:id="159" w:name="_Ref451444107"/>
      <w:bookmarkStart w:id="160" w:name="_Ref451444789"/>
      <w:bookmarkStart w:id="161" w:name="_Ref451445856"/>
      <w:bookmarkStart w:id="162" w:name="_Toc452066467"/>
      <w:r>
        <w:rPr>
          <w:lang w:bidi="ar-SA"/>
        </w:rPr>
        <w:t xml:space="preserve">Cost items for face-to-face delivery of indicated psychological </w:t>
      </w:r>
      <w:bookmarkEnd w:id="158"/>
      <w:r>
        <w:rPr>
          <w:lang w:bidi="ar-SA"/>
        </w:rPr>
        <w:t>intervention</w:t>
      </w:r>
      <w:bookmarkEnd w:id="159"/>
      <w:bookmarkEnd w:id="160"/>
      <w:bookmarkEnd w:id="161"/>
      <w:bookmarkEnd w:id="162"/>
      <w:r>
        <w:rPr>
          <w:lang w:bidi="ar-SA"/>
        </w:rPr>
        <w:t xml:space="preserve"> </w:t>
      </w:r>
    </w:p>
    <w:tbl>
      <w:tblPr>
        <w:tblW w:w="9015" w:type="dxa"/>
        <w:jc w:val="center"/>
        <w:tblLook w:val="04A0" w:firstRow="1" w:lastRow="0" w:firstColumn="1" w:lastColumn="0" w:noHBand="0" w:noVBand="1"/>
      </w:tblPr>
      <w:tblGrid>
        <w:gridCol w:w="3685"/>
        <w:gridCol w:w="1531"/>
        <w:gridCol w:w="1134"/>
        <w:gridCol w:w="1134"/>
        <w:gridCol w:w="1531"/>
      </w:tblGrid>
      <w:tr w:rsidR="00415BFD" w:rsidRPr="00CC4A3E" w:rsidTr="00501992">
        <w:trPr>
          <w:trHeight w:val="300"/>
          <w:jc w:val="center"/>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b/>
                <w:bCs/>
                <w:color w:val="000000"/>
                <w:sz w:val="18"/>
                <w:szCs w:val="18"/>
                <w:lang w:eastAsia="en-AU" w:bidi="ar-SA"/>
              </w:rPr>
            </w:pPr>
            <w:r w:rsidRPr="00CC4A3E">
              <w:rPr>
                <w:rFonts w:ascii="Calibri" w:eastAsia="Times New Roman" w:hAnsi="Calibri"/>
                <w:b/>
                <w:bCs/>
                <w:color w:val="000000"/>
                <w:sz w:val="18"/>
                <w:szCs w:val="18"/>
                <w:lang w:eastAsia="en-AU" w:bidi="ar-SA"/>
              </w:rPr>
              <w:t>Cost item</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b/>
                <w:bCs/>
                <w:color w:val="000000"/>
                <w:sz w:val="18"/>
                <w:szCs w:val="18"/>
                <w:lang w:eastAsia="en-AU" w:bidi="ar-SA"/>
              </w:rPr>
            </w:pPr>
            <w:r w:rsidRPr="00CC4A3E">
              <w:rPr>
                <w:rFonts w:ascii="Calibri" w:eastAsia="Times New Roman" w:hAnsi="Calibri"/>
                <w:b/>
                <w:bCs/>
                <w:color w:val="000000"/>
                <w:sz w:val="18"/>
                <w:szCs w:val="18"/>
                <w:lang w:eastAsia="en-AU" w:bidi="ar-SA"/>
              </w:rPr>
              <w:t>Unit Cost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b/>
                <w:bCs/>
                <w:color w:val="000000"/>
                <w:sz w:val="18"/>
                <w:szCs w:val="18"/>
                <w:lang w:eastAsia="en-AU" w:bidi="ar-SA"/>
              </w:rPr>
            </w:pPr>
            <w:r w:rsidRPr="00CC4A3E">
              <w:rPr>
                <w:rFonts w:ascii="Calibri" w:eastAsia="Times New Roman" w:hAnsi="Calibri"/>
                <w:b/>
                <w:bCs/>
                <w:color w:val="000000"/>
                <w:sz w:val="18"/>
                <w:szCs w:val="18"/>
                <w:lang w:eastAsia="en-AU" w:bidi="ar-SA"/>
              </w:rPr>
              <w:t>Quantity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b/>
                <w:bCs/>
                <w:color w:val="000000"/>
                <w:sz w:val="18"/>
                <w:szCs w:val="18"/>
                <w:lang w:eastAsia="en-AU" w:bidi="ar-SA"/>
              </w:rPr>
            </w:pPr>
            <w:r w:rsidRPr="00CC4A3E">
              <w:rPr>
                <w:rFonts w:ascii="Calibri" w:eastAsia="Times New Roman" w:hAnsi="Calibri"/>
                <w:b/>
                <w:bCs/>
                <w:color w:val="000000"/>
                <w:sz w:val="18"/>
                <w:szCs w:val="18"/>
                <w:lang w:eastAsia="en-AU" w:bidi="ar-SA"/>
              </w:rPr>
              <w:t>Time (hrs)</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b/>
                <w:bCs/>
                <w:color w:val="000000"/>
                <w:sz w:val="18"/>
                <w:szCs w:val="18"/>
                <w:lang w:eastAsia="en-AU" w:bidi="ar-SA"/>
              </w:rPr>
            </w:pPr>
            <w:r w:rsidRPr="00CC4A3E">
              <w:rPr>
                <w:rFonts w:ascii="Calibri" w:eastAsia="Times New Roman" w:hAnsi="Calibri"/>
                <w:b/>
                <w:bCs/>
                <w:color w:val="000000"/>
                <w:sz w:val="18"/>
                <w:szCs w:val="18"/>
                <w:lang w:eastAsia="en-AU" w:bidi="ar-SA"/>
              </w:rPr>
              <w:t>Total</w:t>
            </w:r>
          </w:p>
        </w:tc>
      </w:tr>
      <w:tr w:rsidR="00415BFD" w:rsidRPr="00CC4A3E" w:rsidTr="00501992">
        <w:trPr>
          <w:trHeight w:val="255"/>
          <w:jc w:val="center"/>
        </w:trPr>
        <w:tc>
          <w:tcPr>
            <w:tcW w:w="3685" w:type="dxa"/>
            <w:tcBorders>
              <w:top w:val="nil"/>
              <w:left w:val="single" w:sz="4" w:space="0" w:color="auto"/>
              <w:bottom w:val="nil"/>
              <w:right w:val="nil"/>
            </w:tcBorders>
            <w:shd w:val="clear" w:color="auto" w:fill="auto"/>
            <w:noWrap/>
            <w:vAlign w:val="center"/>
            <w:hideMark/>
          </w:tcPr>
          <w:p w:rsidR="00415BFD" w:rsidRPr="00CC4A3E" w:rsidRDefault="00415BFD" w:rsidP="00501992">
            <w:pPr>
              <w:spacing w:line="240" w:lineRule="auto"/>
              <w:jc w:val="left"/>
              <w:rPr>
                <w:rFonts w:ascii="Calibri" w:eastAsia="Times New Roman" w:hAnsi="Calibri"/>
                <w:b/>
                <w:bCs/>
                <w:color w:val="963634"/>
                <w:sz w:val="18"/>
                <w:szCs w:val="18"/>
                <w:lang w:eastAsia="en-AU" w:bidi="ar-SA"/>
              </w:rPr>
            </w:pPr>
            <w:r w:rsidRPr="00CC4A3E">
              <w:rPr>
                <w:rFonts w:ascii="Calibri" w:eastAsia="Times New Roman" w:hAnsi="Calibri"/>
                <w:b/>
                <w:bCs/>
                <w:color w:val="963634"/>
                <w:sz w:val="18"/>
                <w:szCs w:val="18"/>
                <w:lang w:eastAsia="en-AU" w:bidi="ar-SA"/>
              </w:rPr>
              <w:t>A. Screening</w:t>
            </w:r>
          </w:p>
        </w:tc>
        <w:tc>
          <w:tcPr>
            <w:tcW w:w="1531" w:type="dxa"/>
            <w:tcBorders>
              <w:top w:val="nil"/>
              <w:left w:val="single" w:sz="4" w:space="0" w:color="auto"/>
              <w:bottom w:val="nil"/>
              <w:right w:val="nil"/>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b/>
                <w:bCs/>
                <w:color w:val="000000"/>
                <w:sz w:val="18"/>
                <w:szCs w:val="18"/>
                <w:lang w:eastAsia="en-AU" w:bidi="ar-SA"/>
              </w:rPr>
            </w:pPr>
          </w:p>
        </w:tc>
        <w:tc>
          <w:tcPr>
            <w:tcW w:w="1134" w:type="dxa"/>
            <w:tcBorders>
              <w:top w:val="nil"/>
              <w:left w:val="single" w:sz="4" w:space="0" w:color="auto"/>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b/>
                <w:bCs/>
                <w:color w:val="000000"/>
                <w:sz w:val="18"/>
                <w:szCs w:val="18"/>
                <w:lang w:eastAsia="en-AU" w:bidi="ar-SA"/>
              </w:rPr>
            </w:pPr>
          </w:p>
        </w:tc>
        <w:tc>
          <w:tcPr>
            <w:tcW w:w="1134" w:type="dxa"/>
            <w:tcBorders>
              <w:top w:val="nil"/>
              <w:left w:val="nil"/>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b/>
                <w:bCs/>
                <w:color w:val="000000"/>
                <w:sz w:val="18"/>
                <w:szCs w:val="18"/>
                <w:lang w:eastAsia="en-AU" w:bidi="ar-SA"/>
              </w:rPr>
            </w:pPr>
          </w:p>
        </w:tc>
        <w:tc>
          <w:tcPr>
            <w:tcW w:w="1531" w:type="dxa"/>
            <w:tcBorders>
              <w:top w:val="nil"/>
              <w:left w:val="nil"/>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b/>
                <w:bCs/>
                <w:color w:val="000000"/>
                <w:sz w:val="18"/>
                <w:szCs w:val="18"/>
                <w:lang w:eastAsia="en-AU" w:bidi="ar-SA"/>
              </w:rPr>
            </w:pPr>
          </w:p>
        </w:tc>
      </w:tr>
      <w:tr w:rsidR="00415BFD" w:rsidRPr="00CC4A3E" w:rsidTr="00501992">
        <w:trPr>
          <w:trHeight w:val="255"/>
          <w:jc w:val="center"/>
        </w:trPr>
        <w:tc>
          <w:tcPr>
            <w:tcW w:w="3685" w:type="dxa"/>
            <w:tcBorders>
              <w:top w:val="nil"/>
              <w:left w:val="single" w:sz="4" w:space="0" w:color="auto"/>
              <w:bottom w:val="nil"/>
              <w:right w:val="single" w:sz="4" w:space="0" w:color="auto"/>
            </w:tcBorders>
            <w:shd w:val="clear" w:color="auto" w:fill="auto"/>
            <w:noWrap/>
            <w:vAlign w:val="center"/>
            <w:hideMark/>
          </w:tcPr>
          <w:p w:rsidR="00415BFD" w:rsidRPr="00CC4A3E" w:rsidRDefault="00415BFD" w:rsidP="00501992">
            <w:pPr>
              <w:spacing w:line="240" w:lineRule="auto"/>
              <w:jc w:val="left"/>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 xml:space="preserve">   Training teachers to conduct screening</w:t>
            </w:r>
          </w:p>
        </w:tc>
        <w:tc>
          <w:tcPr>
            <w:tcW w:w="1531" w:type="dxa"/>
            <w:tcBorders>
              <w:top w:val="nil"/>
              <w:left w:val="nil"/>
              <w:bottom w:val="nil"/>
              <w:right w:val="nil"/>
            </w:tcBorders>
            <w:shd w:val="clear" w:color="000000" w:fill="EBF1DE"/>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                42.33</w:t>
            </w:r>
          </w:p>
        </w:tc>
        <w:tc>
          <w:tcPr>
            <w:tcW w:w="1134" w:type="dxa"/>
            <w:tcBorders>
              <w:top w:val="nil"/>
              <w:left w:val="single" w:sz="4" w:space="0" w:color="auto"/>
              <w:bottom w:val="nil"/>
              <w:right w:val="single" w:sz="4" w:space="0" w:color="auto"/>
            </w:tcBorders>
            <w:shd w:val="clear" w:color="000000" w:fill="EBF1DE"/>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2,621</w:t>
            </w:r>
          </w:p>
        </w:tc>
        <w:tc>
          <w:tcPr>
            <w:tcW w:w="1134" w:type="dxa"/>
            <w:tcBorders>
              <w:top w:val="nil"/>
              <w:left w:val="nil"/>
              <w:bottom w:val="nil"/>
              <w:right w:val="single" w:sz="4" w:space="0" w:color="auto"/>
            </w:tcBorders>
            <w:shd w:val="clear" w:color="000000" w:fill="EBF1DE"/>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1.0</w:t>
            </w:r>
          </w:p>
        </w:tc>
        <w:tc>
          <w:tcPr>
            <w:tcW w:w="1531" w:type="dxa"/>
            <w:tcBorders>
              <w:top w:val="nil"/>
              <w:left w:val="nil"/>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           110,966</w:t>
            </w:r>
          </w:p>
        </w:tc>
      </w:tr>
      <w:tr w:rsidR="00415BFD" w:rsidRPr="00CC4A3E" w:rsidTr="00501992">
        <w:trPr>
          <w:trHeight w:val="255"/>
          <w:jc w:val="center"/>
        </w:trPr>
        <w:tc>
          <w:tcPr>
            <w:tcW w:w="3685" w:type="dxa"/>
            <w:tcBorders>
              <w:top w:val="nil"/>
              <w:left w:val="single" w:sz="4" w:space="0" w:color="auto"/>
              <w:bottom w:val="nil"/>
              <w:right w:val="single" w:sz="4" w:space="0" w:color="auto"/>
            </w:tcBorders>
            <w:shd w:val="clear" w:color="auto" w:fill="auto"/>
            <w:noWrap/>
            <w:vAlign w:val="center"/>
            <w:hideMark/>
          </w:tcPr>
          <w:p w:rsidR="00415BFD" w:rsidRPr="00CC4A3E" w:rsidRDefault="00415BFD" w:rsidP="00501992">
            <w:pPr>
              <w:spacing w:line="240" w:lineRule="auto"/>
              <w:jc w:val="left"/>
              <w:rPr>
                <w:rFonts w:ascii="Calibri" w:eastAsia="Times New Roman" w:hAnsi="Calibri"/>
                <w:sz w:val="18"/>
                <w:szCs w:val="18"/>
                <w:lang w:eastAsia="en-AU" w:bidi="ar-SA"/>
              </w:rPr>
            </w:pPr>
            <w:r w:rsidRPr="00CC4A3E">
              <w:rPr>
                <w:rFonts w:ascii="Calibri" w:eastAsia="Times New Roman" w:hAnsi="Calibri"/>
                <w:sz w:val="18"/>
                <w:szCs w:val="18"/>
                <w:lang w:eastAsia="en-AU" w:bidi="ar-SA"/>
              </w:rPr>
              <w:t xml:space="preserve">   Teachers disseminate CES-D in class</w:t>
            </w:r>
          </w:p>
        </w:tc>
        <w:tc>
          <w:tcPr>
            <w:tcW w:w="1531" w:type="dxa"/>
            <w:tcBorders>
              <w:top w:val="nil"/>
              <w:left w:val="nil"/>
              <w:bottom w:val="nil"/>
              <w:right w:val="nil"/>
            </w:tcBorders>
            <w:shd w:val="clear" w:color="000000" w:fill="EBF1DE"/>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                45.26</w:t>
            </w:r>
          </w:p>
        </w:tc>
        <w:tc>
          <w:tcPr>
            <w:tcW w:w="1134" w:type="dxa"/>
            <w:tcBorders>
              <w:top w:val="nil"/>
              <w:left w:val="single" w:sz="4" w:space="0" w:color="auto"/>
              <w:bottom w:val="nil"/>
              <w:right w:val="single" w:sz="4" w:space="0" w:color="auto"/>
            </w:tcBorders>
            <w:shd w:val="clear" w:color="000000" w:fill="EBF1DE"/>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Pr>
                <w:rFonts w:ascii="Calibri" w:eastAsia="Times New Roman" w:hAnsi="Calibri"/>
                <w:color w:val="000000"/>
                <w:sz w:val="18"/>
                <w:szCs w:val="18"/>
                <w:lang w:eastAsia="en-AU" w:bidi="ar-SA"/>
              </w:rPr>
              <w:t>85,914</w:t>
            </w:r>
          </w:p>
        </w:tc>
        <w:tc>
          <w:tcPr>
            <w:tcW w:w="1134" w:type="dxa"/>
            <w:tcBorders>
              <w:top w:val="nil"/>
              <w:left w:val="nil"/>
              <w:bottom w:val="nil"/>
              <w:right w:val="single" w:sz="4" w:space="0" w:color="auto"/>
            </w:tcBorders>
            <w:shd w:val="clear" w:color="000000" w:fill="EBF1DE"/>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1.0</w:t>
            </w:r>
          </w:p>
        </w:tc>
        <w:tc>
          <w:tcPr>
            <w:tcW w:w="1531" w:type="dxa"/>
            <w:tcBorders>
              <w:top w:val="nil"/>
              <w:left w:val="nil"/>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 xml:space="preserve">$      </w:t>
            </w:r>
            <w:r>
              <w:rPr>
                <w:rFonts w:ascii="Calibri" w:eastAsia="Times New Roman" w:hAnsi="Calibri"/>
                <w:color w:val="000000"/>
                <w:sz w:val="18"/>
                <w:szCs w:val="18"/>
                <w:lang w:eastAsia="en-AU" w:bidi="ar-SA"/>
              </w:rPr>
              <w:t xml:space="preserve"> </w:t>
            </w:r>
            <w:r w:rsidRPr="00CC4A3E">
              <w:rPr>
                <w:rFonts w:ascii="Calibri" w:eastAsia="Times New Roman" w:hAnsi="Calibri"/>
                <w:color w:val="000000"/>
                <w:sz w:val="18"/>
                <w:szCs w:val="18"/>
                <w:lang w:eastAsia="en-AU" w:bidi="ar-SA"/>
              </w:rPr>
              <w:t xml:space="preserve"> </w:t>
            </w:r>
            <w:r>
              <w:rPr>
                <w:rFonts w:ascii="Calibri" w:eastAsia="Times New Roman" w:hAnsi="Calibri"/>
                <w:color w:val="000000"/>
                <w:sz w:val="18"/>
                <w:szCs w:val="18"/>
                <w:lang w:eastAsia="en-AU" w:bidi="ar-SA"/>
              </w:rPr>
              <w:t>3,888</w:t>
            </w:r>
            <w:r w:rsidRPr="00CC4A3E">
              <w:rPr>
                <w:rFonts w:ascii="Calibri" w:eastAsia="Times New Roman" w:hAnsi="Calibri"/>
                <w:color w:val="000000"/>
                <w:sz w:val="18"/>
                <w:szCs w:val="18"/>
                <w:lang w:eastAsia="en-AU" w:bidi="ar-SA"/>
              </w:rPr>
              <w:t>,</w:t>
            </w:r>
            <w:r>
              <w:rPr>
                <w:rFonts w:ascii="Calibri" w:eastAsia="Times New Roman" w:hAnsi="Calibri"/>
                <w:color w:val="000000"/>
                <w:sz w:val="18"/>
                <w:szCs w:val="18"/>
                <w:lang w:eastAsia="en-AU" w:bidi="ar-SA"/>
              </w:rPr>
              <w:t>389</w:t>
            </w:r>
          </w:p>
        </w:tc>
      </w:tr>
      <w:tr w:rsidR="00415BFD" w:rsidRPr="00CC4A3E" w:rsidTr="00501992">
        <w:trPr>
          <w:trHeight w:val="255"/>
          <w:jc w:val="center"/>
        </w:trPr>
        <w:tc>
          <w:tcPr>
            <w:tcW w:w="3685" w:type="dxa"/>
            <w:tcBorders>
              <w:top w:val="nil"/>
              <w:left w:val="single" w:sz="4" w:space="0" w:color="auto"/>
              <w:bottom w:val="nil"/>
              <w:right w:val="single" w:sz="4" w:space="0" w:color="auto"/>
            </w:tcBorders>
            <w:shd w:val="clear" w:color="auto" w:fill="auto"/>
            <w:noWrap/>
            <w:vAlign w:val="center"/>
            <w:hideMark/>
          </w:tcPr>
          <w:p w:rsidR="00415BFD" w:rsidRPr="00CC4A3E" w:rsidRDefault="00415BFD" w:rsidP="00501992">
            <w:pPr>
              <w:spacing w:line="240" w:lineRule="auto"/>
              <w:jc w:val="left"/>
              <w:rPr>
                <w:rFonts w:ascii="Calibri" w:eastAsia="Times New Roman" w:hAnsi="Calibri"/>
                <w:sz w:val="18"/>
                <w:szCs w:val="18"/>
                <w:lang w:eastAsia="en-AU" w:bidi="ar-SA"/>
              </w:rPr>
            </w:pPr>
            <w:r w:rsidRPr="00CC4A3E">
              <w:rPr>
                <w:rFonts w:ascii="Calibri" w:eastAsia="Times New Roman" w:hAnsi="Calibri"/>
                <w:sz w:val="18"/>
                <w:szCs w:val="18"/>
                <w:lang w:eastAsia="en-AU" w:bidi="ar-SA"/>
              </w:rPr>
              <w:t> </w:t>
            </w:r>
          </w:p>
        </w:tc>
        <w:tc>
          <w:tcPr>
            <w:tcW w:w="1531" w:type="dxa"/>
            <w:tcBorders>
              <w:top w:val="nil"/>
              <w:left w:val="nil"/>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c>
          <w:tcPr>
            <w:tcW w:w="1134" w:type="dxa"/>
            <w:tcBorders>
              <w:top w:val="nil"/>
              <w:left w:val="nil"/>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c>
          <w:tcPr>
            <w:tcW w:w="1134" w:type="dxa"/>
            <w:tcBorders>
              <w:top w:val="nil"/>
              <w:left w:val="nil"/>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c>
          <w:tcPr>
            <w:tcW w:w="1531" w:type="dxa"/>
            <w:tcBorders>
              <w:top w:val="nil"/>
              <w:left w:val="nil"/>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r>
      <w:tr w:rsidR="00415BFD" w:rsidRPr="00CC4A3E" w:rsidTr="00501992">
        <w:trPr>
          <w:trHeight w:val="255"/>
          <w:jc w:val="center"/>
        </w:trPr>
        <w:tc>
          <w:tcPr>
            <w:tcW w:w="3685" w:type="dxa"/>
            <w:tcBorders>
              <w:top w:val="nil"/>
              <w:left w:val="single" w:sz="4" w:space="0" w:color="auto"/>
              <w:bottom w:val="nil"/>
              <w:right w:val="single" w:sz="4" w:space="0" w:color="auto"/>
            </w:tcBorders>
            <w:shd w:val="clear" w:color="auto" w:fill="auto"/>
            <w:noWrap/>
            <w:vAlign w:val="center"/>
            <w:hideMark/>
          </w:tcPr>
          <w:p w:rsidR="00415BFD" w:rsidRPr="00CC4A3E" w:rsidRDefault="00415BFD" w:rsidP="00501992">
            <w:pPr>
              <w:spacing w:line="240" w:lineRule="auto"/>
              <w:jc w:val="left"/>
              <w:rPr>
                <w:rFonts w:ascii="Calibri" w:eastAsia="Times New Roman" w:hAnsi="Calibri"/>
                <w:b/>
                <w:bCs/>
                <w:color w:val="963634"/>
                <w:sz w:val="18"/>
                <w:szCs w:val="18"/>
                <w:lang w:eastAsia="en-AU" w:bidi="ar-SA"/>
              </w:rPr>
            </w:pPr>
            <w:r w:rsidRPr="00CC4A3E">
              <w:rPr>
                <w:rFonts w:ascii="Calibri" w:eastAsia="Times New Roman" w:hAnsi="Calibri"/>
                <w:b/>
                <w:bCs/>
                <w:color w:val="963634"/>
                <w:sz w:val="18"/>
                <w:szCs w:val="18"/>
                <w:lang w:eastAsia="en-AU" w:bidi="ar-SA"/>
              </w:rPr>
              <w:t>B. Further diagnostic testing</w:t>
            </w:r>
          </w:p>
        </w:tc>
        <w:tc>
          <w:tcPr>
            <w:tcW w:w="1531" w:type="dxa"/>
            <w:tcBorders>
              <w:top w:val="nil"/>
              <w:left w:val="nil"/>
              <w:bottom w:val="nil"/>
              <w:right w:val="nil"/>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c>
          <w:tcPr>
            <w:tcW w:w="1134" w:type="dxa"/>
            <w:tcBorders>
              <w:top w:val="nil"/>
              <w:left w:val="single" w:sz="4" w:space="0" w:color="auto"/>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c>
          <w:tcPr>
            <w:tcW w:w="1134" w:type="dxa"/>
            <w:tcBorders>
              <w:top w:val="nil"/>
              <w:left w:val="nil"/>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c>
          <w:tcPr>
            <w:tcW w:w="1531" w:type="dxa"/>
            <w:tcBorders>
              <w:top w:val="nil"/>
              <w:left w:val="nil"/>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r>
      <w:tr w:rsidR="00415BFD" w:rsidRPr="00CC4A3E" w:rsidTr="00501992">
        <w:trPr>
          <w:trHeight w:val="255"/>
          <w:jc w:val="center"/>
        </w:trPr>
        <w:tc>
          <w:tcPr>
            <w:tcW w:w="3685" w:type="dxa"/>
            <w:tcBorders>
              <w:top w:val="nil"/>
              <w:left w:val="single" w:sz="4" w:space="0" w:color="auto"/>
              <w:bottom w:val="nil"/>
              <w:right w:val="single" w:sz="4" w:space="0" w:color="auto"/>
            </w:tcBorders>
            <w:shd w:val="clear" w:color="auto" w:fill="auto"/>
            <w:noWrap/>
            <w:vAlign w:val="center"/>
            <w:hideMark/>
          </w:tcPr>
          <w:p w:rsidR="00415BFD" w:rsidRPr="00CC4A3E" w:rsidRDefault="00415BFD" w:rsidP="00501992">
            <w:pPr>
              <w:spacing w:line="240" w:lineRule="auto"/>
              <w:jc w:val="left"/>
              <w:rPr>
                <w:rFonts w:ascii="Calibri" w:eastAsia="Times New Roman" w:hAnsi="Calibri"/>
                <w:sz w:val="18"/>
                <w:szCs w:val="18"/>
                <w:lang w:eastAsia="en-AU" w:bidi="ar-SA"/>
              </w:rPr>
            </w:pPr>
            <w:r w:rsidRPr="00CC4A3E">
              <w:rPr>
                <w:rFonts w:ascii="Calibri" w:eastAsia="Times New Roman" w:hAnsi="Calibri"/>
                <w:sz w:val="18"/>
                <w:szCs w:val="18"/>
                <w:lang w:eastAsia="en-AU" w:bidi="ar-SA"/>
              </w:rPr>
              <w:t xml:space="preserve">   Interview w/ school psychologist</w:t>
            </w:r>
          </w:p>
        </w:tc>
        <w:tc>
          <w:tcPr>
            <w:tcW w:w="1531" w:type="dxa"/>
            <w:tcBorders>
              <w:top w:val="nil"/>
              <w:left w:val="nil"/>
              <w:bottom w:val="nil"/>
              <w:right w:val="nil"/>
            </w:tcBorders>
            <w:shd w:val="clear" w:color="000000" w:fill="EBF1DE"/>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                42.33</w:t>
            </w:r>
          </w:p>
        </w:tc>
        <w:tc>
          <w:tcPr>
            <w:tcW w:w="1134" w:type="dxa"/>
            <w:tcBorders>
              <w:top w:val="nil"/>
              <w:left w:val="single" w:sz="4" w:space="0" w:color="auto"/>
              <w:bottom w:val="nil"/>
              <w:right w:val="single" w:sz="4" w:space="0" w:color="auto"/>
            </w:tcBorders>
            <w:shd w:val="clear" w:color="000000" w:fill="EBF1DE"/>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184,372</w:t>
            </w:r>
          </w:p>
        </w:tc>
        <w:tc>
          <w:tcPr>
            <w:tcW w:w="1134" w:type="dxa"/>
            <w:tcBorders>
              <w:top w:val="nil"/>
              <w:left w:val="nil"/>
              <w:bottom w:val="nil"/>
              <w:right w:val="single" w:sz="4" w:space="0" w:color="auto"/>
            </w:tcBorders>
            <w:shd w:val="clear" w:color="000000" w:fill="EBF1DE"/>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0.5</w:t>
            </w:r>
          </w:p>
        </w:tc>
        <w:tc>
          <w:tcPr>
            <w:tcW w:w="1531" w:type="dxa"/>
            <w:tcBorders>
              <w:top w:val="nil"/>
              <w:left w:val="nil"/>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 xml:space="preserve">$       </w:t>
            </w:r>
            <w:r>
              <w:rPr>
                <w:rFonts w:ascii="Calibri" w:eastAsia="Times New Roman" w:hAnsi="Calibri"/>
                <w:color w:val="000000"/>
                <w:sz w:val="18"/>
                <w:szCs w:val="18"/>
                <w:lang w:eastAsia="en-AU" w:bidi="ar-SA"/>
              </w:rPr>
              <w:t xml:space="preserve"> </w:t>
            </w:r>
            <w:r w:rsidRPr="00CC4A3E">
              <w:rPr>
                <w:rFonts w:ascii="Calibri" w:eastAsia="Times New Roman" w:hAnsi="Calibri"/>
                <w:color w:val="000000"/>
                <w:sz w:val="18"/>
                <w:szCs w:val="18"/>
                <w:lang w:eastAsia="en-AU" w:bidi="ar-SA"/>
              </w:rPr>
              <w:t>4,119,069</w:t>
            </w:r>
          </w:p>
        </w:tc>
      </w:tr>
      <w:tr w:rsidR="00415BFD" w:rsidRPr="00CC4A3E" w:rsidTr="00501992">
        <w:trPr>
          <w:trHeight w:val="255"/>
          <w:jc w:val="center"/>
        </w:trPr>
        <w:tc>
          <w:tcPr>
            <w:tcW w:w="3685" w:type="dxa"/>
            <w:tcBorders>
              <w:top w:val="nil"/>
              <w:left w:val="single" w:sz="4" w:space="0" w:color="auto"/>
              <w:bottom w:val="nil"/>
              <w:right w:val="single" w:sz="4" w:space="0" w:color="auto"/>
            </w:tcBorders>
            <w:shd w:val="clear" w:color="auto" w:fill="auto"/>
            <w:noWrap/>
            <w:vAlign w:val="center"/>
            <w:hideMark/>
          </w:tcPr>
          <w:p w:rsidR="00415BFD" w:rsidRPr="00CC4A3E" w:rsidRDefault="00415BFD" w:rsidP="00501992">
            <w:pPr>
              <w:spacing w:line="240" w:lineRule="auto"/>
              <w:jc w:val="left"/>
              <w:rPr>
                <w:rFonts w:ascii="Calibri" w:eastAsia="Times New Roman" w:hAnsi="Calibri"/>
                <w:sz w:val="18"/>
                <w:szCs w:val="18"/>
                <w:lang w:eastAsia="en-AU" w:bidi="ar-SA"/>
              </w:rPr>
            </w:pPr>
            <w:r w:rsidRPr="00CC4A3E">
              <w:rPr>
                <w:rFonts w:ascii="Calibri" w:eastAsia="Times New Roman" w:hAnsi="Calibri"/>
                <w:sz w:val="18"/>
                <w:szCs w:val="18"/>
                <w:lang w:eastAsia="en-AU" w:bidi="ar-SA"/>
              </w:rPr>
              <w:t> </w:t>
            </w:r>
          </w:p>
        </w:tc>
        <w:tc>
          <w:tcPr>
            <w:tcW w:w="1531" w:type="dxa"/>
            <w:tcBorders>
              <w:top w:val="nil"/>
              <w:left w:val="nil"/>
              <w:bottom w:val="nil"/>
              <w:right w:val="nil"/>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c>
          <w:tcPr>
            <w:tcW w:w="1134" w:type="dxa"/>
            <w:tcBorders>
              <w:top w:val="nil"/>
              <w:left w:val="single" w:sz="4" w:space="0" w:color="auto"/>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c>
          <w:tcPr>
            <w:tcW w:w="1134" w:type="dxa"/>
            <w:tcBorders>
              <w:top w:val="nil"/>
              <w:left w:val="nil"/>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c>
          <w:tcPr>
            <w:tcW w:w="1531" w:type="dxa"/>
            <w:tcBorders>
              <w:top w:val="nil"/>
              <w:left w:val="nil"/>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r>
      <w:tr w:rsidR="00415BFD" w:rsidRPr="00CC4A3E" w:rsidTr="00501992">
        <w:trPr>
          <w:trHeight w:val="255"/>
          <w:jc w:val="center"/>
        </w:trPr>
        <w:tc>
          <w:tcPr>
            <w:tcW w:w="3685" w:type="dxa"/>
            <w:tcBorders>
              <w:top w:val="nil"/>
              <w:left w:val="single" w:sz="4" w:space="0" w:color="auto"/>
              <w:bottom w:val="nil"/>
              <w:right w:val="single" w:sz="4" w:space="0" w:color="auto"/>
            </w:tcBorders>
            <w:shd w:val="clear" w:color="auto" w:fill="auto"/>
            <w:noWrap/>
            <w:vAlign w:val="center"/>
            <w:hideMark/>
          </w:tcPr>
          <w:p w:rsidR="00415BFD" w:rsidRPr="00CC4A3E" w:rsidRDefault="00415BFD" w:rsidP="00501992">
            <w:pPr>
              <w:spacing w:line="240" w:lineRule="auto"/>
              <w:jc w:val="left"/>
              <w:rPr>
                <w:rFonts w:ascii="Calibri" w:eastAsia="Times New Roman" w:hAnsi="Calibri"/>
                <w:b/>
                <w:bCs/>
                <w:color w:val="963634"/>
                <w:sz w:val="18"/>
                <w:szCs w:val="18"/>
                <w:lang w:eastAsia="en-AU" w:bidi="ar-SA"/>
              </w:rPr>
            </w:pPr>
            <w:r w:rsidRPr="00CC4A3E">
              <w:rPr>
                <w:rFonts w:ascii="Calibri" w:eastAsia="Times New Roman" w:hAnsi="Calibri"/>
                <w:b/>
                <w:bCs/>
                <w:color w:val="963634"/>
                <w:sz w:val="18"/>
                <w:szCs w:val="18"/>
                <w:lang w:eastAsia="en-AU" w:bidi="ar-SA"/>
              </w:rPr>
              <w:t>C. Intervention delivery</w:t>
            </w:r>
          </w:p>
        </w:tc>
        <w:tc>
          <w:tcPr>
            <w:tcW w:w="1531" w:type="dxa"/>
            <w:tcBorders>
              <w:top w:val="nil"/>
              <w:left w:val="nil"/>
              <w:bottom w:val="nil"/>
              <w:right w:val="nil"/>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c>
          <w:tcPr>
            <w:tcW w:w="1134" w:type="dxa"/>
            <w:tcBorders>
              <w:top w:val="nil"/>
              <w:left w:val="single" w:sz="4" w:space="0" w:color="auto"/>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c>
          <w:tcPr>
            <w:tcW w:w="1134" w:type="dxa"/>
            <w:tcBorders>
              <w:top w:val="nil"/>
              <w:left w:val="nil"/>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c>
          <w:tcPr>
            <w:tcW w:w="1531" w:type="dxa"/>
            <w:tcBorders>
              <w:top w:val="nil"/>
              <w:left w:val="nil"/>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r>
      <w:tr w:rsidR="00415BFD" w:rsidRPr="00CC4A3E" w:rsidTr="00501992">
        <w:trPr>
          <w:trHeight w:val="255"/>
          <w:jc w:val="center"/>
        </w:trPr>
        <w:tc>
          <w:tcPr>
            <w:tcW w:w="3685" w:type="dxa"/>
            <w:tcBorders>
              <w:top w:val="nil"/>
              <w:left w:val="single" w:sz="4" w:space="0" w:color="auto"/>
              <w:bottom w:val="nil"/>
              <w:right w:val="single" w:sz="4" w:space="0" w:color="auto"/>
            </w:tcBorders>
            <w:shd w:val="clear" w:color="auto" w:fill="auto"/>
            <w:noWrap/>
            <w:vAlign w:val="center"/>
            <w:hideMark/>
          </w:tcPr>
          <w:p w:rsidR="00415BFD" w:rsidRPr="00CC4A3E" w:rsidRDefault="00415BFD" w:rsidP="00501992">
            <w:pPr>
              <w:spacing w:line="240" w:lineRule="auto"/>
              <w:jc w:val="left"/>
              <w:rPr>
                <w:rFonts w:ascii="Calibri" w:eastAsia="Times New Roman" w:hAnsi="Calibri"/>
                <w:sz w:val="18"/>
                <w:szCs w:val="18"/>
                <w:lang w:eastAsia="en-AU" w:bidi="ar-SA"/>
              </w:rPr>
            </w:pPr>
            <w:r w:rsidRPr="00CC4A3E">
              <w:rPr>
                <w:rFonts w:ascii="Calibri" w:eastAsia="Times New Roman" w:hAnsi="Calibri"/>
                <w:sz w:val="18"/>
                <w:szCs w:val="18"/>
                <w:lang w:eastAsia="en-AU" w:bidi="ar-SA"/>
              </w:rPr>
              <w:t xml:space="preserve">   Initial consult</w:t>
            </w:r>
          </w:p>
        </w:tc>
        <w:tc>
          <w:tcPr>
            <w:tcW w:w="1531" w:type="dxa"/>
            <w:tcBorders>
              <w:top w:val="nil"/>
              <w:left w:val="nil"/>
              <w:bottom w:val="nil"/>
              <w:right w:val="nil"/>
            </w:tcBorders>
            <w:shd w:val="clear" w:color="000000" w:fill="EBF1DE"/>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 xml:space="preserve">$                </w:t>
            </w:r>
            <w:r>
              <w:rPr>
                <w:rFonts w:ascii="Calibri" w:eastAsia="Times New Roman" w:hAnsi="Calibri"/>
                <w:color w:val="000000"/>
                <w:sz w:val="18"/>
                <w:szCs w:val="18"/>
                <w:lang w:eastAsia="en-AU" w:bidi="ar-SA"/>
              </w:rPr>
              <w:t>120.40</w:t>
            </w:r>
          </w:p>
        </w:tc>
        <w:tc>
          <w:tcPr>
            <w:tcW w:w="1134" w:type="dxa"/>
            <w:tcBorders>
              <w:top w:val="nil"/>
              <w:left w:val="single" w:sz="4" w:space="0" w:color="auto"/>
              <w:bottom w:val="nil"/>
              <w:right w:val="single" w:sz="4" w:space="0" w:color="auto"/>
            </w:tcBorders>
            <w:shd w:val="clear" w:color="000000" w:fill="EBF1DE"/>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16</w:t>
            </w:r>
            <w:r>
              <w:rPr>
                <w:rFonts w:ascii="Calibri" w:eastAsia="Times New Roman" w:hAnsi="Calibri"/>
                <w:color w:val="000000"/>
                <w:sz w:val="18"/>
                <w:szCs w:val="18"/>
                <w:lang w:eastAsia="en-AU" w:bidi="ar-SA"/>
              </w:rPr>
              <w:t>1</w:t>
            </w:r>
            <w:r w:rsidRPr="00CC4A3E">
              <w:rPr>
                <w:rFonts w:ascii="Calibri" w:eastAsia="Times New Roman" w:hAnsi="Calibri"/>
                <w:color w:val="000000"/>
                <w:sz w:val="18"/>
                <w:szCs w:val="18"/>
                <w:lang w:eastAsia="en-AU" w:bidi="ar-SA"/>
              </w:rPr>
              <w:t>,</w:t>
            </w:r>
            <w:r>
              <w:rPr>
                <w:rFonts w:ascii="Calibri" w:eastAsia="Times New Roman" w:hAnsi="Calibri"/>
                <w:color w:val="000000"/>
                <w:sz w:val="18"/>
                <w:szCs w:val="18"/>
                <w:lang w:eastAsia="en-AU" w:bidi="ar-SA"/>
              </w:rPr>
              <w:t>835</w:t>
            </w:r>
          </w:p>
        </w:tc>
        <w:tc>
          <w:tcPr>
            <w:tcW w:w="1134" w:type="dxa"/>
            <w:tcBorders>
              <w:top w:val="nil"/>
              <w:left w:val="nil"/>
              <w:bottom w:val="nil"/>
              <w:right w:val="single" w:sz="4" w:space="0" w:color="auto"/>
            </w:tcBorders>
            <w:shd w:val="clear" w:color="000000" w:fill="EBF1DE"/>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1.0</w:t>
            </w:r>
          </w:p>
        </w:tc>
        <w:tc>
          <w:tcPr>
            <w:tcW w:w="1531" w:type="dxa"/>
            <w:tcBorders>
              <w:top w:val="nil"/>
              <w:left w:val="nil"/>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 xml:space="preserve">$       </w:t>
            </w:r>
            <w:r>
              <w:rPr>
                <w:rFonts w:ascii="Calibri" w:eastAsia="Times New Roman" w:hAnsi="Calibri"/>
                <w:color w:val="000000"/>
                <w:sz w:val="18"/>
                <w:szCs w:val="18"/>
                <w:lang w:eastAsia="en-AU" w:bidi="ar-SA"/>
              </w:rPr>
              <w:t>19,485,376</w:t>
            </w:r>
          </w:p>
        </w:tc>
      </w:tr>
      <w:tr w:rsidR="00415BFD" w:rsidRPr="00CC4A3E" w:rsidTr="00501992">
        <w:trPr>
          <w:trHeight w:val="255"/>
          <w:jc w:val="center"/>
        </w:trPr>
        <w:tc>
          <w:tcPr>
            <w:tcW w:w="3685" w:type="dxa"/>
            <w:tcBorders>
              <w:top w:val="nil"/>
              <w:left w:val="single" w:sz="4" w:space="0" w:color="auto"/>
              <w:bottom w:val="nil"/>
              <w:right w:val="single" w:sz="4" w:space="0" w:color="auto"/>
            </w:tcBorders>
            <w:shd w:val="clear" w:color="auto" w:fill="auto"/>
            <w:noWrap/>
            <w:vAlign w:val="center"/>
            <w:hideMark/>
          </w:tcPr>
          <w:p w:rsidR="00415BFD" w:rsidRPr="00CC4A3E" w:rsidRDefault="00415BFD" w:rsidP="00501992">
            <w:pPr>
              <w:spacing w:line="240" w:lineRule="auto"/>
              <w:jc w:val="left"/>
              <w:rPr>
                <w:rFonts w:ascii="Calibri" w:eastAsia="Times New Roman" w:hAnsi="Calibri"/>
                <w:sz w:val="18"/>
                <w:szCs w:val="18"/>
                <w:lang w:eastAsia="en-AU" w:bidi="ar-SA"/>
              </w:rPr>
            </w:pPr>
            <w:r w:rsidRPr="00CC4A3E">
              <w:rPr>
                <w:rFonts w:ascii="Calibri" w:eastAsia="Times New Roman" w:hAnsi="Calibri"/>
                <w:sz w:val="18"/>
                <w:szCs w:val="18"/>
                <w:lang w:eastAsia="en-AU" w:bidi="ar-SA"/>
              </w:rPr>
              <w:t xml:space="preserve">   Group-based intervention</w:t>
            </w:r>
          </w:p>
        </w:tc>
        <w:tc>
          <w:tcPr>
            <w:tcW w:w="1531" w:type="dxa"/>
            <w:tcBorders>
              <w:top w:val="nil"/>
              <w:left w:val="nil"/>
              <w:bottom w:val="nil"/>
              <w:right w:val="nil"/>
            </w:tcBorders>
            <w:shd w:val="clear" w:color="000000" w:fill="EBF1DE"/>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 xml:space="preserve">$                  </w:t>
            </w:r>
            <w:r>
              <w:rPr>
                <w:rFonts w:ascii="Calibri" w:eastAsia="Times New Roman" w:hAnsi="Calibri"/>
                <w:color w:val="000000"/>
                <w:sz w:val="18"/>
                <w:szCs w:val="18"/>
                <w:lang w:eastAsia="en-AU" w:bidi="ar-SA"/>
              </w:rPr>
              <w:t>30.13</w:t>
            </w:r>
          </w:p>
        </w:tc>
        <w:tc>
          <w:tcPr>
            <w:tcW w:w="1134" w:type="dxa"/>
            <w:tcBorders>
              <w:top w:val="nil"/>
              <w:left w:val="single" w:sz="4" w:space="0" w:color="auto"/>
              <w:bottom w:val="nil"/>
              <w:right w:val="single" w:sz="4" w:space="0" w:color="auto"/>
            </w:tcBorders>
            <w:shd w:val="clear" w:color="000000" w:fill="EBF1DE"/>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1,6</w:t>
            </w:r>
            <w:r>
              <w:rPr>
                <w:rFonts w:ascii="Calibri" w:eastAsia="Times New Roman" w:hAnsi="Calibri"/>
                <w:color w:val="000000"/>
                <w:sz w:val="18"/>
                <w:szCs w:val="18"/>
                <w:lang w:eastAsia="en-AU" w:bidi="ar-SA"/>
              </w:rPr>
              <w:t>18</w:t>
            </w:r>
            <w:r w:rsidRPr="00CC4A3E">
              <w:rPr>
                <w:rFonts w:ascii="Calibri" w:eastAsia="Times New Roman" w:hAnsi="Calibri"/>
                <w:color w:val="000000"/>
                <w:sz w:val="18"/>
                <w:szCs w:val="18"/>
                <w:lang w:eastAsia="en-AU" w:bidi="ar-SA"/>
              </w:rPr>
              <w:t>,</w:t>
            </w:r>
            <w:r>
              <w:rPr>
                <w:rFonts w:ascii="Calibri" w:eastAsia="Times New Roman" w:hAnsi="Calibri"/>
                <w:color w:val="000000"/>
                <w:sz w:val="18"/>
                <w:szCs w:val="18"/>
                <w:lang w:eastAsia="en-AU" w:bidi="ar-SA"/>
              </w:rPr>
              <w:t>353</w:t>
            </w:r>
          </w:p>
        </w:tc>
        <w:tc>
          <w:tcPr>
            <w:tcW w:w="1134" w:type="dxa"/>
            <w:tcBorders>
              <w:top w:val="nil"/>
              <w:left w:val="nil"/>
              <w:bottom w:val="nil"/>
              <w:right w:val="single" w:sz="4" w:space="0" w:color="auto"/>
            </w:tcBorders>
            <w:shd w:val="clear" w:color="000000" w:fill="EBF1DE"/>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1.2</w:t>
            </w:r>
          </w:p>
        </w:tc>
        <w:tc>
          <w:tcPr>
            <w:tcW w:w="1531" w:type="dxa"/>
            <w:tcBorders>
              <w:top w:val="nil"/>
              <w:left w:val="nil"/>
              <w:bottom w:val="nil"/>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 xml:space="preserve">$       </w:t>
            </w:r>
            <w:r>
              <w:rPr>
                <w:rFonts w:ascii="Calibri" w:eastAsia="Times New Roman" w:hAnsi="Calibri"/>
                <w:color w:val="000000"/>
                <w:sz w:val="18"/>
                <w:szCs w:val="18"/>
                <w:lang w:eastAsia="en-AU" w:bidi="ar-SA"/>
              </w:rPr>
              <w:t>48,767,923</w:t>
            </w:r>
          </w:p>
        </w:tc>
      </w:tr>
      <w:tr w:rsidR="00415BFD" w:rsidRPr="00CC4A3E" w:rsidTr="00501992">
        <w:trPr>
          <w:trHeight w:val="170"/>
          <w:jc w:val="center"/>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rsidR="00415BFD" w:rsidRPr="00CC4A3E" w:rsidRDefault="00415BFD" w:rsidP="00501992">
            <w:pPr>
              <w:spacing w:line="240" w:lineRule="auto"/>
              <w:jc w:val="left"/>
              <w:rPr>
                <w:rFonts w:ascii="Calibri" w:eastAsia="Times New Roman" w:hAnsi="Calibri"/>
                <w:sz w:val="18"/>
                <w:szCs w:val="18"/>
                <w:lang w:eastAsia="en-AU" w:bidi="ar-SA"/>
              </w:rPr>
            </w:pPr>
            <w:r w:rsidRPr="00CC4A3E">
              <w:rPr>
                <w:rFonts w:ascii="Calibri" w:eastAsia="Times New Roman" w:hAnsi="Calibri"/>
                <w:sz w:val="18"/>
                <w:szCs w:val="18"/>
                <w:lang w:eastAsia="en-AU" w:bidi="ar-SA"/>
              </w:rPr>
              <w:t> </w:t>
            </w:r>
          </w:p>
        </w:tc>
        <w:tc>
          <w:tcPr>
            <w:tcW w:w="1531" w:type="dxa"/>
            <w:tcBorders>
              <w:top w:val="nil"/>
              <w:left w:val="nil"/>
              <w:bottom w:val="single" w:sz="4" w:space="0" w:color="auto"/>
              <w:right w:val="nil"/>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c>
          <w:tcPr>
            <w:tcW w:w="1134" w:type="dxa"/>
            <w:tcBorders>
              <w:top w:val="nil"/>
              <w:left w:val="nil"/>
              <w:bottom w:val="single" w:sz="4" w:space="0" w:color="auto"/>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c>
          <w:tcPr>
            <w:tcW w:w="1531" w:type="dxa"/>
            <w:tcBorders>
              <w:top w:val="nil"/>
              <w:left w:val="nil"/>
              <w:bottom w:val="single" w:sz="4" w:space="0" w:color="auto"/>
              <w:right w:val="single" w:sz="4" w:space="0" w:color="auto"/>
            </w:tcBorders>
            <w:shd w:val="clear" w:color="auto" w:fill="auto"/>
            <w:noWrap/>
            <w:vAlign w:val="center"/>
            <w:hideMark/>
          </w:tcPr>
          <w:p w:rsidR="00415BFD" w:rsidRPr="00CC4A3E" w:rsidRDefault="00415BFD" w:rsidP="00501992">
            <w:pPr>
              <w:spacing w:line="240" w:lineRule="auto"/>
              <w:jc w:val="center"/>
              <w:rPr>
                <w:rFonts w:ascii="Calibri" w:eastAsia="Times New Roman" w:hAnsi="Calibri"/>
                <w:color w:val="000000"/>
                <w:sz w:val="18"/>
                <w:szCs w:val="18"/>
                <w:lang w:eastAsia="en-AU" w:bidi="ar-SA"/>
              </w:rPr>
            </w:pPr>
          </w:p>
        </w:tc>
      </w:tr>
    </w:tbl>
    <w:p w:rsidR="00415BFD" w:rsidRDefault="00415BFD" w:rsidP="00767174">
      <w:pPr>
        <w:rPr>
          <w:lang w:bidi="ar-SA"/>
        </w:rPr>
      </w:pPr>
    </w:p>
    <w:p w:rsidR="00415BFD" w:rsidRDefault="00415BFD" w:rsidP="00767174">
      <w:pPr>
        <w:rPr>
          <w:lang w:bidi="ar-SA"/>
        </w:rPr>
      </w:pPr>
    </w:p>
    <w:p w:rsidR="00415BFD" w:rsidRPr="005105BA" w:rsidRDefault="00415BFD" w:rsidP="005105BA">
      <w:pPr>
        <w:pStyle w:val="Explanatorytextmargins"/>
      </w:pPr>
      <w:r w:rsidRPr="005105BA">
        <w:t xml:space="preserve">Screening for students with elevated symptoms of depression. </w:t>
      </w:r>
    </w:p>
    <w:p w:rsidR="00415BFD" w:rsidRDefault="00415BFD" w:rsidP="00415BFD">
      <w:pPr>
        <w:pStyle w:val="Letterfornumbereditems"/>
        <w:numPr>
          <w:ilvl w:val="0"/>
          <w:numId w:val="20"/>
        </w:numPr>
      </w:pPr>
      <w:r w:rsidRPr="006418BE">
        <w:rPr>
          <w:u w:val="single"/>
        </w:rPr>
        <w:t>Training teachers to administer the CES-D screening tool</w:t>
      </w:r>
      <w:r>
        <w:t>. Teachers require basic training to administer the CES-D screening tool in the classroom. We assumed that a salaried psychologist would be hired to go to each school to train teachers on how to administer the CES-D. The total number of</w:t>
      </w:r>
      <w:r w:rsidRPr="00EA3FB9">
        <w:t xml:space="preserve"> schools </w:t>
      </w:r>
      <w:r>
        <w:t>to which</w:t>
      </w:r>
      <w:r w:rsidRPr="00EA3FB9">
        <w:t xml:space="preserve"> </w:t>
      </w:r>
      <w:r>
        <w:t xml:space="preserve">these </w:t>
      </w:r>
      <w:r w:rsidRPr="00EA3FB9">
        <w:t xml:space="preserve">psychologists </w:t>
      </w:r>
      <w:r>
        <w:t>are</w:t>
      </w:r>
      <w:r w:rsidRPr="00EA3FB9">
        <w:t xml:space="preserve"> </w:t>
      </w:r>
      <w:r>
        <w:t>required to</w:t>
      </w:r>
      <w:r w:rsidRPr="00EA3FB9">
        <w:t xml:space="preserve"> </w:t>
      </w:r>
      <w:r>
        <w:t>provide</w:t>
      </w:r>
      <w:r w:rsidRPr="00EA3FB9">
        <w:t xml:space="preserve"> training </w:t>
      </w:r>
      <w:r>
        <w:t>was</w:t>
      </w:r>
      <w:r w:rsidRPr="00EA3FB9">
        <w:t xml:space="preserve"> calculated as</w:t>
      </w:r>
      <w:r>
        <w:t>:</w:t>
      </w:r>
      <w:r w:rsidRPr="00EA3FB9">
        <w:t xml:space="preserve"> the </w:t>
      </w:r>
      <w:r>
        <w:t>total number</w:t>
      </w:r>
      <w:r w:rsidRPr="00EA3FB9">
        <w:t xml:space="preserve"> of teachers</w:t>
      </w:r>
      <w:r>
        <w:t xml:space="preserve"> across Australia in 2013;</w:t>
      </w:r>
      <w:r w:rsidRPr="00EA3FB9">
        <w:t xml:space="preserve"> divided by the</w:t>
      </w:r>
      <w:r>
        <w:t xml:space="preserve"> average number</w:t>
      </w:r>
      <w:r w:rsidRPr="00EA3FB9">
        <w:t xml:space="preserve"> of teachers per school. </w:t>
      </w:r>
      <w:r>
        <w:t xml:space="preserve">From the eligible population calculations (see section </w:t>
      </w:r>
      <w:r>
        <w:fldChar w:fldCharType="begin"/>
      </w:r>
      <w:r>
        <w:instrText xml:space="preserve"> REF _Ref451278064 \r \h </w:instrText>
      </w:r>
      <w:r>
        <w:fldChar w:fldCharType="separate"/>
      </w:r>
      <w:r>
        <w:t>3.3</w:t>
      </w:r>
      <w:r>
        <w:fldChar w:fldCharType="end"/>
      </w:r>
      <w:r>
        <w:t xml:space="preserve">) we know that 1,982,563 students aged 11-17 years agree to screening. If the average no. of Australian students per class is 23, based on OECD data </w:t>
      </w:r>
      <w:r>
        <w:rPr>
          <w:noProof/>
        </w:rPr>
        <w:t>[21]</w:t>
      </w:r>
      <w:r>
        <w:t xml:space="preserve">, then there will be a total of 85,914 teachers. We know from ABS data that there are 33 teachers per school </w:t>
      </w:r>
      <w:r>
        <w:rPr>
          <w:noProof/>
        </w:rPr>
        <w:t>[22]</w:t>
      </w:r>
      <w:r>
        <w:t xml:space="preserve">. This leads to a salaried psychologist having to provide basic training to 2,621 schools. </w:t>
      </w:r>
      <w:r w:rsidRPr="00222CA3">
        <w:t>The next step was to estimate the total number of psychologist hours required to provide training to all these schools. In the absence of available data we assumed that group-based training of teachers in each school wo</w:t>
      </w:r>
      <w:r>
        <w:t>uld take 1 hour in total (this wa</w:t>
      </w:r>
      <w:r w:rsidRPr="00222CA3">
        <w:t>s in line with the assumption made for the same parameter in the previous study by</w:t>
      </w:r>
      <w:r>
        <w:t xml:space="preserve"> </w:t>
      </w:r>
      <w:r>
        <w:rPr>
          <w:noProof/>
        </w:rPr>
        <w:t>Mihalopoulos et al. [5]</w:t>
      </w:r>
      <w:r w:rsidRPr="00222CA3">
        <w:t>).</w:t>
      </w:r>
      <w:r w:rsidRPr="006418BE">
        <w:t xml:space="preserve"> Multiplying the average number of hours per school by the total number of school across Australia in 2013 resulted in an estimate of the total psychologist hours required to train all teachers across participating Australian schools in 2013 to administer the CES-D questionnaire.</w:t>
      </w:r>
      <w:r>
        <w:t xml:space="preserve"> </w:t>
      </w:r>
      <w:r w:rsidRPr="006418BE">
        <w:t xml:space="preserve">Psychologist time was valued </w:t>
      </w:r>
      <w:r>
        <w:t>based on</w:t>
      </w:r>
      <w:r w:rsidRPr="006418BE">
        <w:t xml:space="preserve"> an hourly wage rate </w:t>
      </w:r>
      <w:r>
        <w:t xml:space="preserve">of $42.33, </w:t>
      </w:r>
      <w:r w:rsidRPr="006418BE">
        <w:t xml:space="preserve">calculated using data from the ABS Employee Earnings and Hours survey </w:t>
      </w:r>
      <w:r>
        <w:rPr>
          <w:noProof/>
        </w:rPr>
        <w:t>[23]</w:t>
      </w:r>
      <w:r>
        <w:t xml:space="preserve"> which included a 30% loading for on-costs.</w:t>
      </w:r>
    </w:p>
    <w:p w:rsidR="00415BFD" w:rsidRDefault="00415BFD" w:rsidP="00415BFD">
      <w:pPr>
        <w:pStyle w:val="Letterfornumbereditems"/>
        <w:numPr>
          <w:ilvl w:val="0"/>
          <w:numId w:val="19"/>
        </w:numPr>
      </w:pPr>
      <w:r w:rsidRPr="00691D0A">
        <w:rPr>
          <w:u w:val="single"/>
        </w:rPr>
        <w:t>Cost of time related to teacher’s administering the CES-D.</w:t>
      </w:r>
      <w:r>
        <w:t xml:space="preserve"> </w:t>
      </w:r>
      <w:r w:rsidRPr="00691D0A">
        <w:t>We calculated the total time spent by teachers administering the CES-D questionnaire across Australia in 2013 by multiplying: the total number of teachers across Australia in 2013; by the average time required to complete CES-D questionnaires in the classroom</w:t>
      </w:r>
      <w:r>
        <w:t xml:space="preserve">. </w:t>
      </w:r>
      <w:r w:rsidRPr="00B003D4">
        <w:t xml:space="preserve">The total number of teachers across Australia in 2013 was based on the estimate calculated in the previous screening parameter. </w:t>
      </w:r>
      <w:r>
        <w:t xml:space="preserve">Overall, 85,914 teachers were responsible for administering the CES-D screening tool to </w:t>
      </w:r>
      <w:r>
        <w:lastRenderedPageBreak/>
        <w:t xml:space="preserve">students in their classrooms. </w:t>
      </w:r>
      <w:r w:rsidRPr="0077554B">
        <w:t xml:space="preserve">In the absence of available data we assumed that the total time required to complete CES-D questionnaires would take 1 hour in total (this is in line with the assumption made for the same parameter in the previous study </w:t>
      </w:r>
      <w:r>
        <w:t xml:space="preserve">by </w:t>
      </w:r>
      <w:r>
        <w:rPr>
          <w:noProof/>
        </w:rPr>
        <w:t>Mihalopoulos et al. [5]</w:t>
      </w:r>
      <w:r w:rsidRPr="00222CA3">
        <w:t>).</w:t>
      </w:r>
      <w:r w:rsidRPr="006418BE">
        <w:t xml:space="preserve"> </w:t>
      </w:r>
      <w:r>
        <w:t xml:space="preserve">The aggregate estimate of teacher’s time spent administering the CES-D was valued using an hourly wage rate of $45.26,  calculated using data from the ABS Employee Earnings and Hours survey </w:t>
      </w:r>
      <w:r>
        <w:rPr>
          <w:noProof/>
        </w:rPr>
        <w:t>[23]</w:t>
      </w:r>
      <w:r w:rsidRPr="008D77DD">
        <w:t xml:space="preserve"> </w:t>
      </w:r>
      <w:r>
        <w:t>which included a 30% loading for on-costs. Note that while there are a total of 1,982,563 students who will fill out the CES-D questionnaire, we assumed that CES-D questionnaires were both completed and processed electronically at no cost (the CES-D has no licensing fees associated with its use).</w:t>
      </w:r>
    </w:p>
    <w:p w:rsidR="00415BFD" w:rsidRPr="006F11F0" w:rsidRDefault="00415BFD" w:rsidP="006F11F0">
      <w:pPr>
        <w:pStyle w:val="Explanatorytextmargins"/>
        <w:rPr>
          <w:u w:val="single"/>
        </w:rPr>
      </w:pPr>
      <w:r w:rsidRPr="006F11F0">
        <w:rPr>
          <w:u w:val="single"/>
        </w:rPr>
        <w:t>Further diagnostic testing.</w:t>
      </w:r>
    </w:p>
    <w:p w:rsidR="00415BFD" w:rsidRDefault="00415BFD" w:rsidP="00415BFD">
      <w:pPr>
        <w:pStyle w:val="Letterfornumbereditems"/>
        <w:numPr>
          <w:ilvl w:val="0"/>
          <w:numId w:val="20"/>
        </w:numPr>
      </w:pPr>
      <w:r w:rsidRPr="00757E8F">
        <w:rPr>
          <w:u w:val="single"/>
        </w:rPr>
        <w:t>Total cost of psychologist time spent providing diagnostic testing.</w:t>
      </w:r>
      <w:r>
        <w:t xml:space="preserve"> </w:t>
      </w:r>
      <w:r w:rsidRPr="00A238C4">
        <w:t>Students who score above a CES-D cut-off of 16 (i.e., those with elevated symptoms of depression) require further diagnostic testing to ascertain whether they have a diagnosis of major depression or are, alternatively, experiencing subthreshold depressive symptoms</w:t>
      </w:r>
      <w:r>
        <w:t xml:space="preserve">. We calculated total time spent by (salaried) psychologists conducting further diagnostic testing on eligible students across Australia in 2013 by multiplying: the total number of students eligible for further diagnostic testing; by the average time required to complete the DISC-IV modules for depression diagnosis. The total number of eligible students was based on eligible population calculations outlined in section </w:t>
      </w:r>
      <w:r>
        <w:fldChar w:fldCharType="begin"/>
      </w:r>
      <w:r>
        <w:instrText xml:space="preserve"> REF _Ref451278064 \r \h </w:instrText>
      </w:r>
      <w:r>
        <w:fldChar w:fldCharType="separate"/>
      </w:r>
      <w:r>
        <w:t>3.3</w:t>
      </w:r>
      <w:r>
        <w:fldChar w:fldCharType="end"/>
      </w:r>
      <w:r>
        <w:t xml:space="preserve">, which found that 184,372 students consent to further diagnostic testing. The average time required to complete DISC-IV modules was based on estimates from a prior validation study </w:t>
      </w:r>
      <w:r>
        <w:rPr>
          <w:noProof/>
        </w:rPr>
        <w:t>[28]</w:t>
      </w:r>
      <w:r>
        <w:t xml:space="preserve">. According to this data source, the full administration of the DISC-IV takes 70-80 minutes and that 2 out of 6 modules relate to depression and anxiety (i.e., 75 mins * 0.333 = 25 mins, or 0.5 hrs). Based on these calculations, we determined that the average administration time for the DISC-IV would be approximately 25 minutes (range: 23 - 27). Total time spent conducting further testing was valued using an hourly wage rate for psychologists of $42.33 based on data from the ABS Employee </w:t>
      </w:r>
      <w:r w:rsidRPr="00757E8F">
        <w:t>Earnings</w:t>
      </w:r>
      <w:r>
        <w:t xml:space="preserve"> and Hours survey </w:t>
      </w:r>
      <w:r>
        <w:rPr>
          <w:noProof/>
        </w:rPr>
        <w:t>[23]</w:t>
      </w:r>
      <w:r>
        <w:t>) which included a 30% loading for on-costs.</w:t>
      </w:r>
    </w:p>
    <w:p w:rsidR="00415BFD" w:rsidRPr="00757E8F" w:rsidRDefault="00415BFD" w:rsidP="00757E8F">
      <w:pPr>
        <w:pStyle w:val="Explanatorytextmargins"/>
        <w:rPr>
          <w:u w:val="single"/>
        </w:rPr>
      </w:pPr>
      <w:r w:rsidRPr="00757E8F">
        <w:rPr>
          <w:u w:val="single"/>
        </w:rPr>
        <w:t>Intervention delivery.</w:t>
      </w:r>
    </w:p>
    <w:p w:rsidR="00415BFD" w:rsidRDefault="00415BFD" w:rsidP="00415BFD">
      <w:pPr>
        <w:pStyle w:val="Letterfornumbereditems"/>
        <w:numPr>
          <w:ilvl w:val="0"/>
          <w:numId w:val="20"/>
        </w:numPr>
      </w:pPr>
      <w:r w:rsidRPr="003C643E">
        <w:rPr>
          <w:u w:val="single"/>
        </w:rPr>
        <w:t xml:space="preserve">Total cost of individual and group-based consultations with </w:t>
      </w:r>
      <w:r>
        <w:rPr>
          <w:u w:val="single"/>
        </w:rPr>
        <w:t xml:space="preserve">a </w:t>
      </w:r>
      <w:r w:rsidRPr="003C643E">
        <w:rPr>
          <w:u w:val="single"/>
        </w:rPr>
        <w:t>psychologist</w:t>
      </w:r>
      <w:r>
        <w:t xml:space="preserve">. Intervention delivery for the face-to-face delivery of indicated prevention involved: each student attending an initial one-on-one consult with the psychologist to receive an orientation session; followed by delivery of a series of group-based intervention modules by the psychologist to groups of students. We costed </w:t>
      </w:r>
      <w:r w:rsidRPr="00665130">
        <w:t>psychologist</w:t>
      </w:r>
      <w:r>
        <w:t>s using relevant Medicare Benefits Schedule (MBS)</w:t>
      </w:r>
      <w:r w:rsidRPr="00665130">
        <w:t xml:space="preserve"> items for individual and group</w:t>
      </w:r>
      <w:r>
        <w:t>-based</w:t>
      </w:r>
      <w:r w:rsidRPr="00665130">
        <w:t xml:space="preserve"> psychologist consults</w:t>
      </w:r>
      <w:r>
        <w:t xml:space="preserve">, respectively (see </w:t>
      </w:r>
      <w:r>
        <w:fldChar w:fldCharType="begin"/>
      </w:r>
      <w:r>
        <w:instrText xml:space="preserve"> REF _Ref451355759 \r \h </w:instrText>
      </w:r>
      <w:r>
        <w:fldChar w:fldCharType="separate"/>
      </w:r>
      <w:r>
        <w:t>Table 4</w:t>
      </w:r>
      <w:r>
        <w:fldChar w:fldCharType="end"/>
      </w:r>
      <w:r>
        <w:t xml:space="preserve"> for the rationale). We calculated the weighted average unit cost for a consult with an MBS funded psychologist (individual and group-based) by weighting individual MBS item fees for each consult type by the relative number of consults recorded in Australia during 2013.  The item numbers and accompanying fees for individual and group-based consults are shown in </w:t>
      </w:r>
      <w:r>
        <w:fldChar w:fldCharType="begin"/>
      </w:r>
      <w:r>
        <w:instrText xml:space="preserve"> REF _Ref451436082 \r \h </w:instrText>
      </w:r>
      <w:r>
        <w:fldChar w:fldCharType="separate"/>
      </w:r>
      <w:r>
        <w:t>Table 23</w:t>
      </w:r>
      <w:r>
        <w:fldChar w:fldCharType="end"/>
      </w:r>
      <w:r>
        <w:t xml:space="preserve">. We obtained data on the total number of consults that were recorded against each MBS item from Medicare Australia Statistics </w:t>
      </w:r>
      <w:r>
        <w:rPr>
          <w:noProof/>
        </w:rPr>
        <w:t>[86]</w:t>
      </w:r>
      <w:r>
        <w:t xml:space="preserve">. Based on previous eligible population calculations (see section </w:t>
      </w:r>
      <w:r>
        <w:fldChar w:fldCharType="begin"/>
      </w:r>
      <w:r>
        <w:instrText xml:space="preserve"> REF _Ref451278064 \r \h </w:instrText>
      </w:r>
      <w:r>
        <w:fldChar w:fldCharType="separate"/>
      </w:r>
      <w:r>
        <w:t>3.3</w:t>
      </w:r>
      <w:r>
        <w:fldChar w:fldCharType="end"/>
      </w:r>
      <w:r>
        <w:t xml:space="preserve">), we estimated that 161,835 of eligible students attended a single one-on-one consult with the psychologist costing a weighted average of $120.40 (we also assumed that this would last for 1 hour in duration). The total cost of attending group-based </w:t>
      </w:r>
      <w:r>
        <w:lastRenderedPageBreak/>
        <w:t xml:space="preserve">intervention sessions with a psychologist was calculated by calculating the product of: the total number of eligible students (i.e., 161,835); the weighted average cost of a group-based session; and the total number of group-based intervention sessions offered. The weighted average cost of group-based sessions was calculated to be $30.13 per session. We calculated the average number of group-based intervention sessions offered based on data from the 8 RCT studies (see </w:t>
      </w:r>
      <w:r>
        <w:fldChar w:fldCharType="begin"/>
      </w:r>
      <w:r>
        <w:instrText xml:space="preserve"> REF _Ref451508999 \r \h </w:instrText>
      </w:r>
      <w:r>
        <w:fldChar w:fldCharType="separate"/>
      </w:r>
      <w:r>
        <w:t>Table 24</w:t>
      </w:r>
      <w:r>
        <w:fldChar w:fldCharType="end"/>
      </w:r>
      <w:r>
        <w:t xml:space="preserve">) included in our meta-analysis of intervention efficacy for indicated prevention (Mean = 10.4, Std Dev = 3.5) </w:t>
      </w:r>
      <w:r>
        <w:rPr>
          <w:noProof/>
        </w:rPr>
        <w:t>[53-60]</w:t>
      </w:r>
      <w:r>
        <w:t xml:space="preserve">. Note, in the model we rounded the average number of intervention sessions to the nearest whole number (i.e., 10 sessions).  These same 8 studies also contained relevant data by which to calculate a pooled estimate of the average duration of each group-based intervention session (Mean = 1.2 hours, Std Dev = 0.4 hours) </w:t>
      </w:r>
      <w:r>
        <w:rPr>
          <w:noProof/>
        </w:rPr>
        <w:t>[53-60]</w:t>
      </w:r>
      <w:r>
        <w:t xml:space="preserve">.  </w:t>
      </w:r>
    </w:p>
    <w:p w:rsidR="00415BFD" w:rsidRDefault="00415BFD" w:rsidP="0049473C"/>
    <w:p w:rsidR="00415BFD" w:rsidRDefault="00415BFD" w:rsidP="00415BFD">
      <w:pPr>
        <w:pStyle w:val="MyTable"/>
        <w:numPr>
          <w:ilvl w:val="3"/>
          <w:numId w:val="9"/>
        </w:numPr>
      </w:pPr>
      <w:bookmarkStart w:id="163" w:name="_Ref451436082"/>
      <w:bookmarkStart w:id="164" w:name="_Toc452066468"/>
      <w:r>
        <w:t>Cost of single and group-based consults with an MBS-funded psychologist</w:t>
      </w:r>
      <w:bookmarkEnd w:id="163"/>
      <w:bookmarkEnd w:id="164"/>
    </w:p>
    <w:tbl>
      <w:tblPr>
        <w:tblW w:w="4220" w:type="dxa"/>
        <w:jc w:val="center"/>
        <w:tblLook w:val="04A0" w:firstRow="1" w:lastRow="0" w:firstColumn="1" w:lastColumn="0" w:noHBand="0" w:noVBand="1"/>
      </w:tblPr>
      <w:tblGrid>
        <w:gridCol w:w="1466"/>
        <w:gridCol w:w="1616"/>
        <w:gridCol w:w="1138"/>
      </w:tblGrid>
      <w:tr w:rsidR="00415BFD" w:rsidRPr="0049473C" w:rsidTr="0049473C">
        <w:trPr>
          <w:trHeight w:val="300"/>
          <w:jc w:val="center"/>
        </w:trPr>
        <w:tc>
          <w:tcPr>
            <w:tcW w:w="42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b/>
                <w:bCs/>
                <w:color w:val="000000"/>
                <w:sz w:val="18"/>
                <w:lang w:eastAsia="en-AU" w:bidi="ar-SA"/>
              </w:rPr>
            </w:pPr>
            <w:r w:rsidRPr="0049473C">
              <w:rPr>
                <w:rFonts w:ascii="Calibri" w:eastAsia="Times New Roman" w:hAnsi="Calibri"/>
                <w:b/>
                <w:bCs/>
                <w:color w:val="000000"/>
                <w:sz w:val="18"/>
                <w:lang w:eastAsia="en-AU" w:bidi="ar-SA"/>
              </w:rPr>
              <w:t>Cost of single psychologist</w:t>
            </w:r>
          </w:p>
        </w:tc>
      </w:tr>
      <w:tr w:rsidR="00415BFD" w:rsidRPr="0049473C" w:rsidTr="0049473C">
        <w:trPr>
          <w:trHeight w:val="255"/>
          <w:jc w:val="center"/>
        </w:trPr>
        <w:tc>
          <w:tcPr>
            <w:tcW w:w="1466" w:type="dxa"/>
            <w:tcBorders>
              <w:top w:val="nil"/>
              <w:left w:val="single" w:sz="4" w:space="0" w:color="auto"/>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i/>
                <w:iCs/>
                <w:color w:val="000000"/>
                <w:sz w:val="18"/>
                <w:lang w:eastAsia="en-AU" w:bidi="ar-SA"/>
              </w:rPr>
            </w:pPr>
            <w:r w:rsidRPr="0049473C">
              <w:rPr>
                <w:rFonts w:ascii="Calibri" w:eastAsia="Times New Roman" w:hAnsi="Calibri"/>
                <w:i/>
                <w:iCs/>
                <w:color w:val="000000"/>
                <w:sz w:val="18"/>
                <w:lang w:eastAsia="en-AU" w:bidi="ar-SA"/>
              </w:rPr>
              <w:t>MBS item no.</w:t>
            </w:r>
          </w:p>
        </w:tc>
        <w:tc>
          <w:tcPr>
            <w:tcW w:w="1616" w:type="dxa"/>
            <w:tcBorders>
              <w:top w:val="nil"/>
              <w:left w:val="nil"/>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i/>
                <w:iCs/>
                <w:color w:val="000000"/>
                <w:sz w:val="18"/>
                <w:lang w:eastAsia="en-AU" w:bidi="ar-SA"/>
              </w:rPr>
            </w:pPr>
            <w:r w:rsidRPr="0049473C">
              <w:rPr>
                <w:rFonts w:ascii="Calibri" w:eastAsia="Times New Roman" w:hAnsi="Calibri"/>
                <w:i/>
                <w:iCs/>
                <w:color w:val="000000"/>
                <w:sz w:val="18"/>
                <w:lang w:eastAsia="en-AU" w:bidi="ar-SA"/>
              </w:rPr>
              <w:t>No. of consults</w:t>
            </w:r>
          </w:p>
        </w:tc>
        <w:tc>
          <w:tcPr>
            <w:tcW w:w="1138" w:type="dxa"/>
            <w:tcBorders>
              <w:top w:val="nil"/>
              <w:left w:val="nil"/>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i/>
                <w:iCs/>
                <w:color w:val="000000"/>
                <w:sz w:val="18"/>
                <w:lang w:eastAsia="en-AU" w:bidi="ar-SA"/>
              </w:rPr>
            </w:pPr>
            <w:r w:rsidRPr="0049473C">
              <w:rPr>
                <w:rFonts w:ascii="Calibri" w:eastAsia="Times New Roman" w:hAnsi="Calibri"/>
                <w:i/>
                <w:iCs/>
                <w:color w:val="000000"/>
                <w:sz w:val="18"/>
                <w:lang w:eastAsia="en-AU" w:bidi="ar-SA"/>
              </w:rPr>
              <w:t>Fee</w:t>
            </w:r>
          </w:p>
        </w:tc>
      </w:tr>
      <w:tr w:rsidR="00415BFD" w:rsidRPr="0049473C" w:rsidTr="0049473C">
        <w:trPr>
          <w:trHeight w:val="255"/>
          <w:jc w:val="center"/>
        </w:trPr>
        <w:tc>
          <w:tcPr>
            <w:tcW w:w="1466" w:type="dxa"/>
            <w:tcBorders>
              <w:top w:val="nil"/>
              <w:left w:val="single" w:sz="4" w:space="0" w:color="auto"/>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color w:val="000000"/>
                <w:sz w:val="18"/>
                <w:lang w:eastAsia="en-AU" w:bidi="ar-SA"/>
              </w:rPr>
            </w:pPr>
            <w:r w:rsidRPr="0049473C">
              <w:rPr>
                <w:rFonts w:ascii="Calibri" w:eastAsia="Times New Roman" w:hAnsi="Calibri"/>
                <w:color w:val="000000"/>
                <w:sz w:val="18"/>
                <w:lang w:eastAsia="en-AU" w:bidi="ar-SA"/>
              </w:rPr>
              <w:t>80010</w:t>
            </w:r>
          </w:p>
        </w:tc>
        <w:tc>
          <w:tcPr>
            <w:tcW w:w="1616" w:type="dxa"/>
            <w:tcBorders>
              <w:top w:val="nil"/>
              <w:left w:val="nil"/>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color w:val="000000"/>
                <w:sz w:val="18"/>
                <w:lang w:eastAsia="en-AU" w:bidi="ar-SA"/>
              </w:rPr>
            </w:pPr>
            <w:r w:rsidRPr="0049473C">
              <w:rPr>
                <w:rFonts w:ascii="Calibri" w:eastAsia="Times New Roman" w:hAnsi="Calibri"/>
                <w:color w:val="000000"/>
                <w:sz w:val="18"/>
                <w:lang w:eastAsia="en-AU" w:bidi="ar-SA"/>
              </w:rPr>
              <w:t>1,561,368</w:t>
            </w:r>
          </w:p>
        </w:tc>
        <w:tc>
          <w:tcPr>
            <w:tcW w:w="1138" w:type="dxa"/>
            <w:tcBorders>
              <w:top w:val="nil"/>
              <w:left w:val="nil"/>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color w:val="000000"/>
                <w:sz w:val="18"/>
                <w:lang w:eastAsia="en-AU" w:bidi="ar-SA"/>
              </w:rPr>
            </w:pPr>
            <w:r w:rsidRPr="0049473C">
              <w:rPr>
                <w:rFonts w:ascii="Calibri" w:eastAsia="Times New Roman" w:hAnsi="Calibri"/>
                <w:color w:val="000000"/>
                <w:sz w:val="18"/>
                <w:lang w:eastAsia="en-AU" w:bidi="ar-SA"/>
              </w:rPr>
              <w:t>$   146.45</w:t>
            </w:r>
          </w:p>
        </w:tc>
      </w:tr>
      <w:tr w:rsidR="00415BFD" w:rsidRPr="0049473C" w:rsidTr="0049473C">
        <w:trPr>
          <w:trHeight w:val="255"/>
          <w:jc w:val="center"/>
        </w:trPr>
        <w:tc>
          <w:tcPr>
            <w:tcW w:w="1466" w:type="dxa"/>
            <w:tcBorders>
              <w:top w:val="nil"/>
              <w:left w:val="single" w:sz="4" w:space="0" w:color="auto"/>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color w:val="000000"/>
                <w:sz w:val="18"/>
                <w:lang w:eastAsia="en-AU" w:bidi="ar-SA"/>
              </w:rPr>
            </w:pPr>
            <w:r w:rsidRPr="0049473C">
              <w:rPr>
                <w:rFonts w:ascii="Calibri" w:eastAsia="Times New Roman" w:hAnsi="Calibri"/>
                <w:color w:val="000000"/>
                <w:sz w:val="18"/>
                <w:lang w:eastAsia="en-AU" w:bidi="ar-SA"/>
              </w:rPr>
              <w:t>80110</w:t>
            </w:r>
          </w:p>
        </w:tc>
        <w:tc>
          <w:tcPr>
            <w:tcW w:w="1616" w:type="dxa"/>
            <w:tcBorders>
              <w:top w:val="nil"/>
              <w:left w:val="nil"/>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color w:val="000000"/>
                <w:sz w:val="18"/>
                <w:lang w:eastAsia="en-AU" w:bidi="ar-SA"/>
              </w:rPr>
            </w:pPr>
            <w:r w:rsidRPr="0049473C">
              <w:rPr>
                <w:rFonts w:ascii="Calibri" w:eastAsia="Times New Roman" w:hAnsi="Calibri"/>
                <w:color w:val="000000"/>
                <w:sz w:val="18"/>
                <w:lang w:eastAsia="en-AU" w:bidi="ar-SA"/>
              </w:rPr>
              <w:t>1,969,233</w:t>
            </w:r>
          </w:p>
        </w:tc>
        <w:tc>
          <w:tcPr>
            <w:tcW w:w="1138" w:type="dxa"/>
            <w:tcBorders>
              <w:top w:val="nil"/>
              <w:left w:val="nil"/>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color w:val="000000"/>
                <w:sz w:val="18"/>
                <w:lang w:eastAsia="en-AU" w:bidi="ar-SA"/>
              </w:rPr>
            </w:pPr>
            <w:r w:rsidRPr="0049473C">
              <w:rPr>
                <w:rFonts w:ascii="Calibri" w:eastAsia="Times New Roman" w:hAnsi="Calibri"/>
                <w:color w:val="000000"/>
                <w:sz w:val="18"/>
                <w:lang w:eastAsia="en-AU" w:bidi="ar-SA"/>
              </w:rPr>
              <w:t>$     99.75</w:t>
            </w:r>
          </w:p>
        </w:tc>
      </w:tr>
      <w:tr w:rsidR="00415BFD" w:rsidRPr="0049473C" w:rsidTr="0049473C">
        <w:trPr>
          <w:trHeight w:val="255"/>
          <w:jc w:val="center"/>
        </w:trPr>
        <w:tc>
          <w:tcPr>
            <w:tcW w:w="422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15BFD" w:rsidRPr="0049473C" w:rsidRDefault="00415BFD" w:rsidP="0049473C">
            <w:pPr>
              <w:spacing w:line="240" w:lineRule="auto"/>
              <w:jc w:val="center"/>
              <w:rPr>
                <w:rFonts w:ascii="Calibri" w:eastAsia="Times New Roman" w:hAnsi="Calibri"/>
                <w:color w:val="000000"/>
                <w:sz w:val="18"/>
                <w:lang w:eastAsia="en-AU" w:bidi="ar-SA"/>
              </w:rPr>
            </w:pPr>
          </w:p>
        </w:tc>
      </w:tr>
      <w:tr w:rsidR="00415BFD" w:rsidRPr="0049473C" w:rsidTr="0049473C">
        <w:trPr>
          <w:trHeight w:val="255"/>
          <w:jc w:val="center"/>
        </w:trPr>
        <w:tc>
          <w:tcPr>
            <w:tcW w:w="3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i/>
                <w:iCs/>
                <w:color w:val="000000"/>
                <w:sz w:val="18"/>
                <w:lang w:eastAsia="en-AU" w:bidi="ar-SA"/>
              </w:rPr>
            </w:pPr>
            <w:r w:rsidRPr="0049473C">
              <w:rPr>
                <w:rFonts w:ascii="Calibri" w:eastAsia="Times New Roman" w:hAnsi="Calibri"/>
                <w:i/>
                <w:iCs/>
                <w:color w:val="000000"/>
                <w:sz w:val="18"/>
                <w:lang w:eastAsia="en-AU" w:bidi="ar-SA"/>
              </w:rPr>
              <w:t>Weighted average</w:t>
            </w:r>
          </w:p>
        </w:tc>
        <w:tc>
          <w:tcPr>
            <w:tcW w:w="1138" w:type="dxa"/>
            <w:tcBorders>
              <w:top w:val="nil"/>
              <w:left w:val="nil"/>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color w:val="000000"/>
                <w:sz w:val="18"/>
                <w:lang w:eastAsia="en-AU" w:bidi="ar-SA"/>
              </w:rPr>
            </w:pPr>
            <w:r w:rsidRPr="0049473C">
              <w:rPr>
                <w:rFonts w:ascii="Calibri" w:eastAsia="Times New Roman" w:hAnsi="Calibri"/>
                <w:color w:val="000000"/>
                <w:sz w:val="18"/>
                <w:lang w:eastAsia="en-AU" w:bidi="ar-SA"/>
              </w:rPr>
              <w:t>$   120.40</w:t>
            </w:r>
          </w:p>
        </w:tc>
      </w:tr>
    </w:tbl>
    <w:tbl>
      <w:tblPr>
        <w:tblpPr w:leftFromText="180" w:rightFromText="180" w:vertAnchor="text" w:horzAnchor="page" w:tblpX="3936" w:tblpY="244"/>
        <w:tblW w:w="4220" w:type="dxa"/>
        <w:tblLook w:val="04A0" w:firstRow="1" w:lastRow="0" w:firstColumn="1" w:lastColumn="0" w:noHBand="0" w:noVBand="1"/>
      </w:tblPr>
      <w:tblGrid>
        <w:gridCol w:w="1470"/>
        <w:gridCol w:w="1622"/>
        <w:gridCol w:w="1128"/>
      </w:tblGrid>
      <w:tr w:rsidR="00415BFD" w:rsidRPr="0049473C" w:rsidTr="0049473C">
        <w:trPr>
          <w:trHeight w:val="300"/>
        </w:trPr>
        <w:tc>
          <w:tcPr>
            <w:tcW w:w="4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b/>
                <w:bCs/>
                <w:color w:val="000000"/>
                <w:sz w:val="18"/>
                <w:lang w:eastAsia="en-AU" w:bidi="ar-SA"/>
              </w:rPr>
            </w:pPr>
            <w:bookmarkStart w:id="165" w:name="OLE_LINK1"/>
            <w:r w:rsidRPr="0049473C">
              <w:rPr>
                <w:rFonts w:ascii="Calibri" w:eastAsia="Times New Roman" w:hAnsi="Calibri"/>
                <w:b/>
                <w:bCs/>
                <w:color w:val="000000"/>
                <w:sz w:val="18"/>
                <w:lang w:eastAsia="en-AU" w:bidi="ar-SA"/>
              </w:rPr>
              <w:t>Cost of group therapy service</w:t>
            </w:r>
          </w:p>
        </w:tc>
      </w:tr>
      <w:tr w:rsidR="00415BFD" w:rsidRPr="0049473C" w:rsidTr="0049473C">
        <w:trPr>
          <w:trHeight w:val="255"/>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i/>
                <w:iCs/>
                <w:color w:val="000000"/>
                <w:sz w:val="18"/>
                <w:lang w:eastAsia="en-AU" w:bidi="ar-SA"/>
              </w:rPr>
            </w:pPr>
            <w:r w:rsidRPr="0049473C">
              <w:rPr>
                <w:rFonts w:ascii="Calibri" w:eastAsia="Times New Roman" w:hAnsi="Calibri"/>
                <w:i/>
                <w:iCs/>
                <w:color w:val="000000"/>
                <w:sz w:val="18"/>
                <w:lang w:eastAsia="en-AU" w:bidi="ar-SA"/>
              </w:rPr>
              <w:t>MBS item no.</w:t>
            </w:r>
          </w:p>
        </w:tc>
        <w:tc>
          <w:tcPr>
            <w:tcW w:w="1622" w:type="dxa"/>
            <w:tcBorders>
              <w:top w:val="nil"/>
              <w:left w:val="nil"/>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i/>
                <w:iCs/>
                <w:color w:val="000000"/>
                <w:sz w:val="18"/>
                <w:lang w:eastAsia="en-AU" w:bidi="ar-SA"/>
              </w:rPr>
            </w:pPr>
            <w:r w:rsidRPr="0049473C">
              <w:rPr>
                <w:rFonts w:ascii="Calibri" w:eastAsia="Times New Roman" w:hAnsi="Calibri"/>
                <w:i/>
                <w:iCs/>
                <w:color w:val="000000"/>
                <w:sz w:val="18"/>
                <w:lang w:eastAsia="en-AU" w:bidi="ar-SA"/>
              </w:rPr>
              <w:t>No. of consults</w:t>
            </w:r>
          </w:p>
        </w:tc>
        <w:tc>
          <w:tcPr>
            <w:tcW w:w="1128" w:type="dxa"/>
            <w:tcBorders>
              <w:top w:val="nil"/>
              <w:left w:val="nil"/>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i/>
                <w:iCs/>
                <w:color w:val="000000"/>
                <w:sz w:val="18"/>
                <w:lang w:eastAsia="en-AU" w:bidi="ar-SA"/>
              </w:rPr>
            </w:pPr>
            <w:r w:rsidRPr="0049473C">
              <w:rPr>
                <w:rFonts w:ascii="Calibri" w:eastAsia="Times New Roman" w:hAnsi="Calibri"/>
                <w:i/>
                <w:iCs/>
                <w:color w:val="000000"/>
                <w:sz w:val="18"/>
                <w:lang w:eastAsia="en-AU" w:bidi="ar-SA"/>
              </w:rPr>
              <w:t>Fee</w:t>
            </w:r>
          </w:p>
        </w:tc>
      </w:tr>
      <w:tr w:rsidR="00415BFD" w:rsidRPr="0049473C" w:rsidTr="0049473C">
        <w:trPr>
          <w:trHeight w:val="255"/>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color w:val="000000"/>
                <w:sz w:val="18"/>
                <w:lang w:eastAsia="en-AU" w:bidi="ar-SA"/>
              </w:rPr>
            </w:pPr>
            <w:r w:rsidRPr="0049473C">
              <w:rPr>
                <w:rFonts w:ascii="Calibri" w:eastAsia="Times New Roman" w:hAnsi="Calibri"/>
                <w:color w:val="000000"/>
                <w:sz w:val="18"/>
                <w:lang w:eastAsia="en-AU" w:bidi="ar-SA"/>
              </w:rPr>
              <w:t>80020</w:t>
            </w:r>
          </w:p>
        </w:tc>
        <w:tc>
          <w:tcPr>
            <w:tcW w:w="1622" w:type="dxa"/>
            <w:tcBorders>
              <w:top w:val="nil"/>
              <w:left w:val="nil"/>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color w:val="000000"/>
                <w:sz w:val="18"/>
                <w:lang w:eastAsia="en-AU" w:bidi="ar-SA"/>
              </w:rPr>
            </w:pPr>
            <w:r w:rsidRPr="0049473C">
              <w:rPr>
                <w:rFonts w:ascii="Calibri" w:eastAsia="Times New Roman" w:hAnsi="Calibri"/>
                <w:color w:val="000000"/>
                <w:sz w:val="18"/>
                <w:lang w:eastAsia="en-AU" w:bidi="ar-SA"/>
              </w:rPr>
              <w:t>11,995</w:t>
            </w:r>
          </w:p>
        </w:tc>
        <w:tc>
          <w:tcPr>
            <w:tcW w:w="1128" w:type="dxa"/>
            <w:tcBorders>
              <w:top w:val="nil"/>
              <w:left w:val="nil"/>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color w:val="000000"/>
                <w:sz w:val="18"/>
                <w:lang w:eastAsia="en-AU" w:bidi="ar-SA"/>
              </w:rPr>
            </w:pPr>
            <w:r w:rsidRPr="0049473C">
              <w:rPr>
                <w:rFonts w:ascii="Calibri" w:eastAsia="Times New Roman" w:hAnsi="Calibri"/>
                <w:color w:val="000000"/>
                <w:sz w:val="18"/>
                <w:lang w:eastAsia="en-AU" w:bidi="ar-SA"/>
              </w:rPr>
              <w:t>$     37.20</w:t>
            </w:r>
          </w:p>
        </w:tc>
      </w:tr>
      <w:tr w:rsidR="00415BFD" w:rsidRPr="0049473C" w:rsidTr="0049473C">
        <w:trPr>
          <w:trHeight w:val="255"/>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color w:val="000000"/>
                <w:sz w:val="18"/>
                <w:lang w:eastAsia="en-AU" w:bidi="ar-SA"/>
              </w:rPr>
            </w:pPr>
            <w:r w:rsidRPr="0049473C">
              <w:rPr>
                <w:rFonts w:ascii="Calibri" w:eastAsia="Times New Roman" w:hAnsi="Calibri"/>
                <w:color w:val="000000"/>
                <w:sz w:val="18"/>
                <w:lang w:eastAsia="en-AU" w:bidi="ar-SA"/>
              </w:rPr>
              <w:t>80120</w:t>
            </w:r>
          </w:p>
        </w:tc>
        <w:tc>
          <w:tcPr>
            <w:tcW w:w="1622" w:type="dxa"/>
            <w:tcBorders>
              <w:top w:val="nil"/>
              <w:left w:val="nil"/>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color w:val="000000"/>
                <w:sz w:val="18"/>
                <w:lang w:eastAsia="en-AU" w:bidi="ar-SA"/>
              </w:rPr>
            </w:pPr>
            <w:r w:rsidRPr="0049473C">
              <w:rPr>
                <w:rFonts w:ascii="Calibri" w:eastAsia="Times New Roman" w:hAnsi="Calibri"/>
                <w:color w:val="000000"/>
                <w:sz w:val="18"/>
                <w:lang w:eastAsia="en-AU" w:bidi="ar-SA"/>
              </w:rPr>
              <w:t>18,093</w:t>
            </w:r>
          </w:p>
        </w:tc>
        <w:tc>
          <w:tcPr>
            <w:tcW w:w="1128" w:type="dxa"/>
            <w:tcBorders>
              <w:top w:val="nil"/>
              <w:left w:val="nil"/>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color w:val="000000"/>
                <w:sz w:val="18"/>
                <w:lang w:eastAsia="en-AU" w:bidi="ar-SA"/>
              </w:rPr>
            </w:pPr>
            <w:r w:rsidRPr="0049473C">
              <w:rPr>
                <w:rFonts w:ascii="Calibri" w:eastAsia="Times New Roman" w:hAnsi="Calibri"/>
                <w:color w:val="000000"/>
                <w:sz w:val="18"/>
                <w:lang w:eastAsia="en-AU" w:bidi="ar-SA"/>
              </w:rPr>
              <w:t>$     25.45</w:t>
            </w:r>
          </w:p>
        </w:tc>
      </w:tr>
      <w:tr w:rsidR="00415BFD" w:rsidRPr="0049473C" w:rsidTr="0049473C">
        <w:trPr>
          <w:trHeight w:val="255"/>
        </w:trPr>
        <w:tc>
          <w:tcPr>
            <w:tcW w:w="422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15BFD" w:rsidRPr="0049473C" w:rsidRDefault="00415BFD" w:rsidP="0049473C">
            <w:pPr>
              <w:spacing w:line="240" w:lineRule="auto"/>
              <w:jc w:val="center"/>
              <w:rPr>
                <w:rFonts w:ascii="Calibri" w:eastAsia="Times New Roman" w:hAnsi="Calibri"/>
                <w:color w:val="000000"/>
                <w:sz w:val="18"/>
                <w:lang w:eastAsia="en-AU" w:bidi="ar-SA"/>
              </w:rPr>
            </w:pPr>
          </w:p>
        </w:tc>
      </w:tr>
      <w:tr w:rsidR="00415BFD" w:rsidRPr="0049473C" w:rsidTr="0049473C">
        <w:trPr>
          <w:trHeight w:val="255"/>
        </w:trPr>
        <w:tc>
          <w:tcPr>
            <w:tcW w:w="30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i/>
                <w:iCs/>
                <w:color w:val="000000"/>
                <w:sz w:val="18"/>
                <w:lang w:eastAsia="en-AU" w:bidi="ar-SA"/>
              </w:rPr>
            </w:pPr>
            <w:r w:rsidRPr="0049473C">
              <w:rPr>
                <w:rFonts w:ascii="Calibri" w:eastAsia="Times New Roman" w:hAnsi="Calibri"/>
                <w:i/>
                <w:iCs/>
                <w:color w:val="000000"/>
                <w:sz w:val="18"/>
                <w:lang w:eastAsia="en-AU" w:bidi="ar-SA"/>
              </w:rPr>
              <w:t>Weighted average</w:t>
            </w:r>
          </w:p>
        </w:tc>
        <w:tc>
          <w:tcPr>
            <w:tcW w:w="1128" w:type="dxa"/>
            <w:tcBorders>
              <w:top w:val="nil"/>
              <w:left w:val="nil"/>
              <w:bottom w:val="single" w:sz="4" w:space="0" w:color="auto"/>
              <w:right w:val="single" w:sz="4" w:space="0" w:color="auto"/>
            </w:tcBorders>
            <w:shd w:val="clear" w:color="auto" w:fill="auto"/>
            <w:noWrap/>
            <w:vAlign w:val="center"/>
            <w:hideMark/>
          </w:tcPr>
          <w:p w:rsidR="00415BFD" w:rsidRPr="0049473C" w:rsidRDefault="00415BFD" w:rsidP="0049473C">
            <w:pPr>
              <w:spacing w:line="240" w:lineRule="auto"/>
              <w:jc w:val="center"/>
              <w:rPr>
                <w:rFonts w:ascii="Calibri" w:eastAsia="Times New Roman" w:hAnsi="Calibri"/>
                <w:color w:val="000000"/>
                <w:sz w:val="18"/>
                <w:lang w:eastAsia="en-AU" w:bidi="ar-SA"/>
              </w:rPr>
            </w:pPr>
            <w:r w:rsidRPr="0049473C">
              <w:rPr>
                <w:rFonts w:ascii="Calibri" w:eastAsia="Times New Roman" w:hAnsi="Calibri"/>
                <w:color w:val="000000"/>
                <w:sz w:val="18"/>
                <w:lang w:eastAsia="en-AU" w:bidi="ar-SA"/>
              </w:rPr>
              <w:t>$     30.13</w:t>
            </w:r>
          </w:p>
        </w:tc>
      </w:tr>
      <w:bookmarkEnd w:id="165"/>
    </w:tbl>
    <w:p w:rsidR="00415BFD" w:rsidRDefault="00415BFD" w:rsidP="0049473C"/>
    <w:p w:rsidR="00415BFD" w:rsidRDefault="00415BFD" w:rsidP="0049473C"/>
    <w:p w:rsidR="00415BFD" w:rsidRDefault="00415BFD" w:rsidP="0049473C"/>
    <w:p w:rsidR="00415BFD" w:rsidRDefault="00415BFD" w:rsidP="0049473C"/>
    <w:p w:rsidR="00415BFD" w:rsidRDefault="00415BFD" w:rsidP="0049473C"/>
    <w:p w:rsidR="00415BFD" w:rsidRDefault="00415BFD" w:rsidP="0049473C"/>
    <w:p w:rsidR="00415BFD" w:rsidRDefault="00415BFD" w:rsidP="00CD4BEB"/>
    <w:p w:rsidR="00415BFD" w:rsidRDefault="00415BFD" w:rsidP="00415BFD">
      <w:pPr>
        <w:pStyle w:val="MyTable"/>
        <w:numPr>
          <w:ilvl w:val="3"/>
          <w:numId w:val="9"/>
        </w:numPr>
      </w:pPr>
      <w:bookmarkStart w:id="166" w:name="_Ref451508999"/>
      <w:bookmarkStart w:id="167" w:name="_Toc452066469"/>
      <w:r>
        <w:t>Resource use parameters extracted from 8 RCT studies included in the meta-analysis of intervention efficacy for indicated psychological prevention</w:t>
      </w:r>
      <w:bookmarkEnd w:id="166"/>
      <w:bookmarkEnd w:id="167"/>
    </w:p>
    <w:tbl>
      <w:tblPr>
        <w:tblW w:w="4932" w:type="dxa"/>
        <w:jc w:val="center"/>
        <w:tblLook w:val="04A0" w:firstRow="1" w:lastRow="0" w:firstColumn="1" w:lastColumn="0" w:noHBand="0" w:noVBand="1"/>
      </w:tblPr>
      <w:tblGrid>
        <w:gridCol w:w="2324"/>
        <w:gridCol w:w="1304"/>
        <w:gridCol w:w="1304"/>
      </w:tblGrid>
      <w:tr w:rsidR="00415BFD" w:rsidRPr="00C078A5" w:rsidTr="00C078A5">
        <w:trPr>
          <w:trHeight w:val="1020"/>
          <w:jc w:val="center"/>
        </w:trPr>
        <w:tc>
          <w:tcPr>
            <w:tcW w:w="2324"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415BFD" w:rsidRPr="00C078A5" w:rsidRDefault="00415BFD" w:rsidP="00C078A5">
            <w:pPr>
              <w:spacing w:line="240" w:lineRule="auto"/>
              <w:jc w:val="left"/>
              <w:rPr>
                <w:rFonts w:ascii="Calibri" w:eastAsia="Times New Roman" w:hAnsi="Calibri"/>
                <w:b/>
                <w:bCs/>
                <w:color w:val="000000"/>
                <w:sz w:val="18"/>
                <w:lang w:eastAsia="en-AU" w:bidi="ar-SA"/>
              </w:rPr>
            </w:pPr>
            <w:r w:rsidRPr="00C078A5">
              <w:rPr>
                <w:rFonts w:ascii="Calibri" w:eastAsia="Times New Roman" w:hAnsi="Calibri"/>
                <w:b/>
                <w:bCs/>
                <w:color w:val="000000"/>
                <w:sz w:val="18"/>
                <w:lang w:eastAsia="en-AU" w:bidi="ar-SA"/>
              </w:rPr>
              <w:t>Study name (N = 8)</w:t>
            </w:r>
          </w:p>
        </w:tc>
        <w:tc>
          <w:tcPr>
            <w:tcW w:w="1304" w:type="dxa"/>
            <w:tcBorders>
              <w:top w:val="single" w:sz="4" w:space="0" w:color="auto"/>
              <w:left w:val="nil"/>
              <w:bottom w:val="single" w:sz="4" w:space="0" w:color="auto"/>
              <w:right w:val="single" w:sz="4" w:space="0" w:color="auto"/>
            </w:tcBorders>
            <w:shd w:val="clear" w:color="000000" w:fill="D8E4BC"/>
            <w:vAlign w:val="bottom"/>
            <w:hideMark/>
          </w:tcPr>
          <w:p w:rsidR="00415BFD" w:rsidRPr="00C078A5" w:rsidRDefault="00415BFD" w:rsidP="00C078A5">
            <w:pPr>
              <w:spacing w:line="240" w:lineRule="auto"/>
              <w:jc w:val="center"/>
              <w:rPr>
                <w:rFonts w:ascii="Calibri" w:eastAsia="Times New Roman" w:hAnsi="Calibri"/>
                <w:b/>
                <w:bCs/>
                <w:color w:val="000000"/>
                <w:sz w:val="18"/>
                <w:lang w:eastAsia="en-AU" w:bidi="ar-SA"/>
              </w:rPr>
            </w:pPr>
            <w:r w:rsidRPr="00C078A5">
              <w:rPr>
                <w:rFonts w:ascii="Calibri" w:eastAsia="Times New Roman" w:hAnsi="Calibri"/>
                <w:b/>
                <w:bCs/>
                <w:color w:val="000000"/>
                <w:sz w:val="18"/>
                <w:lang w:eastAsia="en-AU" w:bidi="ar-SA"/>
              </w:rPr>
              <w:t>Number of intervention sessions</w:t>
            </w:r>
            <w:r w:rsidRPr="00C078A5">
              <w:rPr>
                <w:rFonts w:ascii="Calibri" w:eastAsia="Times New Roman" w:hAnsi="Calibri"/>
                <w:b/>
                <w:bCs/>
                <w:color w:val="000000"/>
                <w:sz w:val="18"/>
                <w:lang w:eastAsia="en-AU" w:bidi="ar-SA"/>
              </w:rPr>
              <w:br/>
              <w:t>(count)</w:t>
            </w:r>
          </w:p>
        </w:tc>
        <w:tc>
          <w:tcPr>
            <w:tcW w:w="1304" w:type="dxa"/>
            <w:tcBorders>
              <w:top w:val="single" w:sz="4" w:space="0" w:color="auto"/>
              <w:left w:val="nil"/>
              <w:bottom w:val="single" w:sz="4" w:space="0" w:color="auto"/>
              <w:right w:val="single" w:sz="4" w:space="0" w:color="auto"/>
            </w:tcBorders>
            <w:shd w:val="clear" w:color="000000" w:fill="D8E4BC"/>
            <w:vAlign w:val="bottom"/>
            <w:hideMark/>
          </w:tcPr>
          <w:p w:rsidR="00415BFD" w:rsidRPr="00C078A5" w:rsidRDefault="00415BFD" w:rsidP="00C078A5">
            <w:pPr>
              <w:spacing w:line="240" w:lineRule="auto"/>
              <w:jc w:val="center"/>
              <w:rPr>
                <w:rFonts w:ascii="Calibri" w:eastAsia="Times New Roman" w:hAnsi="Calibri"/>
                <w:b/>
                <w:bCs/>
                <w:color w:val="000000"/>
                <w:sz w:val="18"/>
                <w:lang w:eastAsia="en-AU" w:bidi="ar-SA"/>
              </w:rPr>
            </w:pPr>
            <w:r w:rsidRPr="00C078A5">
              <w:rPr>
                <w:rFonts w:ascii="Calibri" w:eastAsia="Times New Roman" w:hAnsi="Calibri"/>
                <w:b/>
                <w:bCs/>
                <w:color w:val="000000"/>
                <w:sz w:val="18"/>
                <w:lang w:eastAsia="en-AU" w:bidi="ar-SA"/>
              </w:rPr>
              <w:t xml:space="preserve">Length of intervention sessions </w:t>
            </w:r>
            <w:r w:rsidRPr="00C078A5">
              <w:rPr>
                <w:rFonts w:ascii="Calibri" w:eastAsia="Times New Roman" w:hAnsi="Calibri"/>
                <w:b/>
                <w:bCs/>
                <w:color w:val="000000"/>
                <w:sz w:val="18"/>
                <w:lang w:eastAsia="en-AU" w:bidi="ar-SA"/>
              </w:rPr>
              <w:br/>
              <w:t>(hours)</w:t>
            </w:r>
          </w:p>
        </w:tc>
      </w:tr>
      <w:tr w:rsidR="00415BFD" w:rsidRPr="00C078A5" w:rsidTr="00C078A5">
        <w:trPr>
          <w:trHeight w:val="300"/>
          <w:jc w:val="center"/>
        </w:trPr>
        <w:tc>
          <w:tcPr>
            <w:tcW w:w="2324" w:type="dxa"/>
            <w:tcBorders>
              <w:top w:val="nil"/>
              <w:left w:val="single" w:sz="4" w:space="0" w:color="auto"/>
              <w:bottom w:val="nil"/>
              <w:right w:val="single" w:sz="4" w:space="0" w:color="auto"/>
            </w:tcBorders>
            <w:shd w:val="clear" w:color="000000" w:fill="EBF1DE"/>
            <w:noWrap/>
            <w:vAlign w:val="center"/>
            <w:hideMark/>
          </w:tcPr>
          <w:p w:rsidR="00415BFD" w:rsidRPr="00C078A5" w:rsidRDefault="00415BFD" w:rsidP="00C078A5">
            <w:pPr>
              <w:spacing w:line="240" w:lineRule="auto"/>
              <w:jc w:val="left"/>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Arnarson 2009</w:t>
            </w:r>
          </w:p>
        </w:tc>
        <w:tc>
          <w:tcPr>
            <w:tcW w:w="1304" w:type="dxa"/>
            <w:tcBorders>
              <w:top w:val="nil"/>
              <w:left w:val="nil"/>
              <w:bottom w:val="nil"/>
              <w:right w:val="single" w:sz="4" w:space="0" w:color="auto"/>
            </w:tcBorders>
            <w:shd w:val="clear" w:color="000000" w:fill="EBF1DE"/>
            <w:noWrap/>
            <w:vAlign w:val="center"/>
            <w:hideMark/>
          </w:tcPr>
          <w:p w:rsidR="00415BFD" w:rsidRPr="00C078A5" w:rsidRDefault="00415BFD" w:rsidP="00C078A5">
            <w:pPr>
              <w:spacing w:line="240" w:lineRule="auto"/>
              <w:jc w:val="center"/>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14</w:t>
            </w:r>
          </w:p>
        </w:tc>
        <w:tc>
          <w:tcPr>
            <w:tcW w:w="1304" w:type="dxa"/>
            <w:tcBorders>
              <w:top w:val="nil"/>
              <w:left w:val="nil"/>
              <w:bottom w:val="nil"/>
              <w:right w:val="single" w:sz="4" w:space="0" w:color="auto"/>
            </w:tcBorders>
            <w:shd w:val="clear" w:color="000000" w:fill="EBF1DE"/>
            <w:noWrap/>
            <w:vAlign w:val="center"/>
            <w:hideMark/>
          </w:tcPr>
          <w:p w:rsidR="00415BFD" w:rsidRPr="00C078A5" w:rsidRDefault="00415BFD" w:rsidP="00C078A5">
            <w:pPr>
              <w:spacing w:line="240" w:lineRule="auto"/>
              <w:jc w:val="center"/>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0.75</w:t>
            </w:r>
          </w:p>
        </w:tc>
      </w:tr>
      <w:tr w:rsidR="00415BFD" w:rsidRPr="00C078A5" w:rsidTr="00C078A5">
        <w:trPr>
          <w:trHeight w:val="300"/>
          <w:jc w:val="center"/>
        </w:trPr>
        <w:tc>
          <w:tcPr>
            <w:tcW w:w="2324" w:type="dxa"/>
            <w:tcBorders>
              <w:top w:val="nil"/>
              <w:left w:val="single" w:sz="4" w:space="0" w:color="auto"/>
              <w:bottom w:val="nil"/>
              <w:right w:val="single" w:sz="4" w:space="0" w:color="auto"/>
            </w:tcBorders>
            <w:shd w:val="clear" w:color="000000" w:fill="EBF1DE"/>
            <w:noWrap/>
            <w:vAlign w:val="center"/>
            <w:hideMark/>
          </w:tcPr>
          <w:p w:rsidR="00415BFD" w:rsidRPr="00C078A5" w:rsidRDefault="00415BFD" w:rsidP="00C078A5">
            <w:pPr>
              <w:spacing w:line="240" w:lineRule="auto"/>
              <w:jc w:val="left"/>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Clarke 1995</w:t>
            </w:r>
          </w:p>
        </w:tc>
        <w:tc>
          <w:tcPr>
            <w:tcW w:w="1304" w:type="dxa"/>
            <w:tcBorders>
              <w:top w:val="nil"/>
              <w:left w:val="nil"/>
              <w:bottom w:val="nil"/>
              <w:right w:val="single" w:sz="4" w:space="0" w:color="auto"/>
            </w:tcBorders>
            <w:shd w:val="clear" w:color="000000" w:fill="EBF1DE"/>
            <w:noWrap/>
            <w:vAlign w:val="center"/>
            <w:hideMark/>
          </w:tcPr>
          <w:p w:rsidR="00415BFD" w:rsidRPr="00C078A5" w:rsidRDefault="00415BFD" w:rsidP="00C078A5">
            <w:pPr>
              <w:spacing w:line="240" w:lineRule="auto"/>
              <w:jc w:val="center"/>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15</w:t>
            </w:r>
          </w:p>
        </w:tc>
        <w:tc>
          <w:tcPr>
            <w:tcW w:w="1304" w:type="dxa"/>
            <w:tcBorders>
              <w:top w:val="nil"/>
              <w:left w:val="nil"/>
              <w:bottom w:val="nil"/>
              <w:right w:val="single" w:sz="4" w:space="0" w:color="auto"/>
            </w:tcBorders>
            <w:shd w:val="clear" w:color="000000" w:fill="EBF1DE"/>
            <w:noWrap/>
            <w:vAlign w:val="center"/>
            <w:hideMark/>
          </w:tcPr>
          <w:p w:rsidR="00415BFD" w:rsidRPr="00C078A5" w:rsidRDefault="00415BFD" w:rsidP="00C078A5">
            <w:pPr>
              <w:spacing w:line="240" w:lineRule="auto"/>
              <w:jc w:val="center"/>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0.75</w:t>
            </w:r>
          </w:p>
        </w:tc>
      </w:tr>
      <w:tr w:rsidR="00415BFD" w:rsidRPr="00C078A5" w:rsidTr="00C078A5">
        <w:trPr>
          <w:trHeight w:val="300"/>
          <w:jc w:val="center"/>
        </w:trPr>
        <w:tc>
          <w:tcPr>
            <w:tcW w:w="2324" w:type="dxa"/>
            <w:tcBorders>
              <w:top w:val="nil"/>
              <w:left w:val="single" w:sz="4" w:space="0" w:color="auto"/>
              <w:bottom w:val="nil"/>
              <w:right w:val="single" w:sz="4" w:space="0" w:color="auto"/>
            </w:tcBorders>
            <w:shd w:val="clear" w:color="000000" w:fill="EBF1DE"/>
            <w:noWrap/>
            <w:vAlign w:val="center"/>
            <w:hideMark/>
          </w:tcPr>
          <w:p w:rsidR="00415BFD" w:rsidRPr="00C078A5" w:rsidRDefault="00415BFD" w:rsidP="00C078A5">
            <w:pPr>
              <w:spacing w:line="240" w:lineRule="auto"/>
              <w:jc w:val="left"/>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Manassis 2010</w:t>
            </w:r>
          </w:p>
        </w:tc>
        <w:tc>
          <w:tcPr>
            <w:tcW w:w="1304" w:type="dxa"/>
            <w:tcBorders>
              <w:top w:val="nil"/>
              <w:left w:val="nil"/>
              <w:bottom w:val="nil"/>
              <w:right w:val="single" w:sz="4" w:space="0" w:color="auto"/>
            </w:tcBorders>
            <w:shd w:val="clear" w:color="000000" w:fill="EBF1DE"/>
            <w:noWrap/>
            <w:vAlign w:val="center"/>
            <w:hideMark/>
          </w:tcPr>
          <w:p w:rsidR="00415BFD" w:rsidRPr="00C078A5" w:rsidRDefault="00415BFD" w:rsidP="00C078A5">
            <w:pPr>
              <w:spacing w:line="240" w:lineRule="auto"/>
              <w:jc w:val="center"/>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12</w:t>
            </w:r>
          </w:p>
        </w:tc>
        <w:tc>
          <w:tcPr>
            <w:tcW w:w="1304" w:type="dxa"/>
            <w:tcBorders>
              <w:top w:val="nil"/>
              <w:left w:val="nil"/>
              <w:bottom w:val="nil"/>
              <w:right w:val="single" w:sz="4" w:space="0" w:color="auto"/>
            </w:tcBorders>
            <w:shd w:val="clear" w:color="000000" w:fill="EBF1DE"/>
            <w:noWrap/>
            <w:vAlign w:val="center"/>
            <w:hideMark/>
          </w:tcPr>
          <w:p w:rsidR="00415BFD" w:rsidRPr="00C078A5" w:rsidRDefault="00415BFD" w:rsidP="00C078A5">
            <w:pPr>
              <w:spacing w:line="240" w:lineRule="auto"/>
              <w:jc w:val="center"/>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1.00</w:t>
            </w:r>
          </w:p>
        </w:tc>
      </w:tr>
      <w:tr w:rsidR="00415BFD" w:rsidRPr="00C078A5" w:rsidTr="00C078A5">
        <w:trPr>
          <w:trHeight w:val="300"/>
          <w:jc w:val="center"/>
        </w:trPr>
        <w:tc>
          <w:tcPr>
            <w:tcW w:w="2324" w:type="dxa"/>
            <w:tcBorders>
              <w:top w:val="nil"/>
              <w:left w:val="single" w:sz="4" w:space="0" w:color="auto"/>
              <w:bottom w:val="nil"/>
              <w:right w:val="single" w:sz="4" w:space="0" w:color="auto"/>
            </w:tcBorders>
            <w:shd w:val="clear" w:color="000000" w:fill="EBF1DE"/>
            <w:noWrap/>
            <w:vAlign w:val="center"/>
            <w:hideMark/>
          </w:tcPr>
          <w:p w:rsidR="00415BFD" w:rsidRPr="00C078A5" w:rsidRDefault="00415BFD" w:rsidP="00C078A5">
            <w:pPr>
              <w:spacing w:line="240" w:lineRule="auto"/>
              <w:jc w:val="left"/>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Gillham 1995b(i)</w:t>
            </w:r>
          </w:p>
        </w:tc>
        <w:tc>
          <w:tcPr>
            <w:tcW w:w="1304" w:type="dxa"/>
            <w:tcBorders>
              <w:top w:val="nil"/>
              <w:left w:val="nil"/>
              <w:bottom w:val="nil"/>
              <w:right w:val="single" w:sz="4" w:space="0" w:color="auto"/>
            </w:tcBorders>
            <w:shd w:val="clear" w:color="000000" w:fill="EBF1DE"/>
            <w:noWrap/>
            <w:vAlign w:val="center"/>
            <w:hideMark/>
          </w:tcPr>
          <w:p w:rsidR="00415BFD" w:rsidRPr="00C078A5" w:rsidRDefault="00415BFD" w:rsidP="00C078A5">
            <w:pPr>
              <w:spacing w:line="240" w:lineRule="auto"/>
              <w:jc w:val="center"/>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12</w:t>
            </w:r>
          </w:p>
        </w:tc>
        <w:tc>
          <w:tcPr>
            <w:tcW w:w="1304" w:type="dxa"/>
            <w:tcBorders>
              <w:top w:val="nil"/>
              <w:left w:val="nil"/>
              <w:bottom w:val="nil"/>
              <w:right w:val="single" w:sz="4" w:space="0" w:color="auto"/>
            </w:tcBorders>
            <w:shd w:val="clear" w:color="000000" w:fill="EBF1DE"/>
            <w:noWrap/>
            <w:vAlign w:val="center"/>
            <w:hideMark/>
          </w:tcPr>
          <w:p w:rsidR="00415BFD" w:rsidRPr="00C078A5" w:rsidRDefault="00415BFD" w:rsidP="00C078A5">
            <w:pPr>
              <w:spacing w:line="240" w:lineRule="auto"/>
              <w:jc w:val="center"/>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2.00</w:t>
            </w:r>
          </w:p>
        </w:tc>
      </w:tr>
      <w:tr w:rsidR="00415BFD" w:rsidRPr="00C078A5" w:rsidTr="00C078A5">
        <w:trPr>
          <w:trHeight w:val="300"/>
          <w:jc w:val="center"/>
        </w:trPr>
        <w:tc>
          <w:tcPr>
            <w:tcW w:w="2324" w:type="dxa"/>
            <w:tcBorders>
              <w:top w:val="nil"/>
              <w:left w:val="single" w:sz="4" w:space="0" w:color="auto"/>
              <w:bottom w:val="nil"/>
              <w:right w:val="single" w:sz="4" w:space="0" w:color="auto"/>
            </w:tcBorders>
            <w:shd w:val="clear" w:color="000000" w:fill="EBF1DE"/>
            <w:noWrap/>
            <w:vAlign w:val="center"/>
            <w:hideMark/>
          </w:tcPr>
          <w:p w:rsidR="00415BFD" w:rsidRPr="00C078A5" w:rsidRDefault="00415BFD" w:rsidP="00C078A5">
            <w:pPr>
              <w:spacing w:line="240" w:lineRule="auto"/>
              <w:jc w:val="left"/>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Rohde 2013b</w:t>
            </w:r>
          </w:p>
        </w:tc>
        <w:tc>
          <w:tcPr>
            <w:tcW w:w="1304" w:type="dxa"/>
            <w:tcBorders>
              <w:top w:val="nil"/>
              <w:left w:val="nil"/>
              <w:bottom w:val="nil"/>
              <w:right w:val="single" w:sz="4" w:space="0" w:color="auto"/>
            </w:tcBorders>
            <w:shd w:val="clear" w:color="000000" w:fill="EBF1DE"/>
            <w:noWrap/>
            <w:vAlign w:val="center"/>
            <w:hideMark/>
          </w:tcPr>
          <w:p w:rsidR="00415BFD" w:rsidRPr="00C078A5" w:rsidRDefault="00415BFD" w:rsidP="00C078A5">
            <w:pPr>
              <w:spacing w:line="240" w:lineRule="auto"/>
              <w:jc w:val="center"/>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6</w:t>
            </w:r>
          </w:p>
        </w:tc>
        <w:tc>
          <w:tcPr>
            <w:tcW w:w="1304" w:type="dxa"/>
            <w:tcBorders>
              <w:top w:val="nil"/>
              <w:left w:val="nil"/>
              <w:bottom w:val="nil"/>
              <w:right w:val="single" w:sz="4" w:space="0" w:color="auto"/>
            </w:tcBorders>
            <w:shd w:val="clear" w:color="000000" w:fill="EBF1DE"/>
            <w:noWrap/>
            <w:vAlign w:val="center"/>
            <w:hideMark/>
          </w:tcPr>
          <w:p w:rsidR="00415BFD" w:rsidRPr="00C078A5" w:rsidRDefault="00415BFD" w:rsidP="00C078A5">
            <w:pPr>
              <w:spacing w:line="240" w:lineRule="auto"/>
              <w:jc w:val="center"/>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1.00</w:t>
            </w:r>
          </w:p>
        </w:tc>
      </w:tr>
      <w:tr w:rsidR="00415BFD" w:rsidRPr="00C078A5" w:rsidTr="00C078A5">
        <w:trPr>
          <w:trHeight w:val="300"/>
          <w:jc w:val="center"/>
        </w:trPr>
        <w:tc>
          <w:tcPr>
            <w:tcW w:w="2324" w:type="dxa"/>
            <w:tcBorders>
              <w:top w:val="nil"/>
              <w:left w:val="single" w:sz="4" w:space="0" w:color="auto"/>
              <w:bottom w:val="nil"/>
              <w:right w:val="single" w:sz="4" w:space="0" w:color="auto"/>
            </w:tcBorders>
            <w:shd w:val="clear" w:color="000000" w:fill="EBF1DE"/>
            <w:noWrap/>
            <w:vAlign w:val="center"/>
            <w:hideMark/>
          </w:tcPr>
          <w:p w:rsidR="00415BFD" w:rsidRPr="00C078A5" w:rsidRDefault="00415BFD" w:rsidP="00C078A5">
            <w:pPr>
              <w:spacing w:line="240" w:lineRule="auto"/>
              <w:jc w:val="left"/>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Sheffield 2006b</w:t>
            </w:r>
          </w:p>
        </w:tc>
        <w:tc>
          <w:tcPr>
            <w:tcW w:w="1304" w:type="dxa"/>
            <w:tcBorders>
              <w:top w:val="nil"/>
              <w:left w:val="nil"/>
              <w:bottom w:val="nil"/>
              <w:right w:val="single" w:sz="4" w:space="0" w:color="auto"/>
            </w:tcBorders>
            <w:shd w:val="clear" w:color="000000" w:fill="EBF1DE"/>
            <w:noWrap/>
            <w:vAlign w:val="center"/>
            <w:hideMark/>
          </w:tcPr>
          <w:p w:rsidR="00415BFD" w:rsidRPr="00C078A5" w:rsidRDefault="00415BFD" w:rsidP="00C078A5">
            <w:pPr>
              <w:spacing w:line="240" w:lineRule="auto"/>
              <w:jc w:val="center"/>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8</w:t>
            </w:r>
          </w:p>
        </w:tc>
        <w:tc>
          <w:tcPr>
            <w:tcW w:w="1304" w:type="dxa"/>
            <w:tcBorders>
              <w:top w:val="nil"/>
              <w:left w:val="nil"/>
              <w:bottom w:val="nil"/>
              <w:right w:val="single" w:sz="4" w:space="0" w:color="auto"/>
            </w:tcBorders>
            <w:shd w:val="clear" w:color="000000" w:fill="EBF1DE"/>
            <w:noWrap/>
            <w:vAlign w:val="center"/>
            <w:hideMark/>
          </w:tcPr>
          <w:p w:rsidR="00415BFD" w:rsidRPr="00C078A5" w:rsidRDefault="00415BFD" w:rsidP="00C078A5">
            <w:pPr>
              <w:spacing w:line="240" w:lineRule="auto"/>
              <w:jc w:val="center"/>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1.50</w:t>
            </w:r>
          </w:p>
        </w:tc>
      </w:tr>
      <w:tr w:rsidR="00415BFD" w:rsidRPr="00C078A5" w:rsidTr="00C078A5">
        <w:trPr>
          <w:trHeight w:val="300"/>
          <w:jc w:val="center"/>
        </w:trPr>
        <w:tc>
          <w:tcPr>
            <w:tcW w:w="2324" w:type="dxa"/>
            <w:tcBorders>
              <w:top w:val="nil"/>
              <w:left w:val="single" w:sz="4" w:space="0" w:color="auto"/>
              <w:bottom w:val="nil"/>
              <w:right w:val="single" w:sz="4" w:space="0" w:color="auto"/>
            </w:tcBorders>
            <w:shd w:val="clear" w:color="000000" w:fill="EBF1DE"/>
            <w:noWrap/>
            <w:vAlign w:val="center"/>
            <w:hideMark/>
          </w:tcPr>
          <w:p w:rsidR="00415BFD" w:rsidRPr="00C078A5" w:rsidRDefault="00415BFD" w:rsidP="00C078A5">
            <w:pPr>
              <w:spacing w:line="240" w:lineRule="auto"/>
              <w:jc w:val="left"/>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Stice 2008a &amp; b</w:t>
            </w:r>
          </w:p>
        </w:tc>
        <w:tc>
          <w:tcPr>
            <w:tcW w:w="1304" w:type="dxa"/>
            <w:tcBorders>
              <w:top w:val="nil"/>
              <w:left w:val="nil"/>
              <w:bottom w:val="nil"/>
              <w:right w:val="single" w:sz="4" w:space="0" w:color="auto"/>
            </w:tcBorders>
            <w:shd w:val="clear" w:color="000000" w:fill="EBF1DE"/>
            <w:noWrap/>
            <w:vAlign w:val="center"/>
            <w:hideMark/>
          </w:tcPr>
          <w:p w:rsidR="00415BFD" w:rsidRPr="00C078A5" w:rsidRDefault="00415BFD" w:rsidP="00C078A5">
            <w:pPr>
              <w:spacing w:line="240" w:lineRule="auto"/>
              <w:jc w:val="center"/>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6</w:t>
            </w:r>
          </w:p>
        </w:tc>
        <w:tc>
          <w:tcPr>
            <w:tcW w:w="1304" w:type="dxa"/>
            <w:tcBorders>
              <w:top w:val="nil"/>
              <w:left w:val="nil"/>
              <w:bottom w:val="nil"/>
              <w:right w:val="single" w:sz="4" w:space="0" w:color="auto"/>
            </w:tcBorders>
            <w:shd w:val="clear" w:color="000000" w:fill="EBF1DE"/>
            <w:noWrap/>
            <w:vAlign w:val="center"/>
            <w:hideMark/>
          </w:tcPr>
          <w:p w:rsidR="00415BFD" w:rsidRPr="00C078A5" w:rsidRDefault="00415BFD" w:rsidP="00C078A5">
            <w:pPr>
              <w:spacing w:line="240" w:lineRule="auto"/>
              <w:jc w:val="center"/>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1.00</w:t>
            </w:r>
          </w:p>
        </w:tc>
      </w:tr>
      <w:tr w:rsidR="00415BFD" w:rsidRPr="00C078A5" w:rsidTr="00C078A5">
        <w:trPr>
          <w:trHeight w:val="300"/>
          <w:jc w:val="center"/>
        </w:trPr>
        <w:tc>
          <w:tcPr>
            <w:tcW w:w="2324" w:type="dxa"/>
            <w:tcBorders>
              <w:top w:val="nil"/>
              <w:left w:val="single" w:sz="4" w:space="0" w:color="auto"/>
              <w:bottom w:val="single" w:sz="4" w:space="0" w:color="auto"/>
              <w:right w:val="single" w:sz="4" w:space="0" w:color="auto"/>
            </w:tcBorders>
            <w:shd w:val="clear" w:color="000000" w:fill="EBF1DE"/>
            <w:noWrap/>
            <w:vAlign w:val="center"/>
            <w:hideMark/>
          </w:tcPr>
          <w:p w:rsidR="00415BFD" w:rsidRPr="00C078A5" w:rsidRDefault="00415BFD" w:rsidP="00C078A5">
            <w:pPr>
              <w:spacing w:line="240" w:lineRule="auto"/>
              <w:jc w:val="left"/>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Young 2006</w:t>
            </w:r>
          </w:p>
        </w:tc>
        <w:tc>
          <w:tcPr>
            <w:tcW w:w="1304" w:type="dxa"/>
            <w:tcBorders>
              <w:top w:val="nil"/>
              <w:left w:val="nil"/>
              <w:bottom w:val="single" w:sz="4" w:space="0" w:color="auto"/>
              <w:right w:val="single" w:sz="4" w:space="0" w:color="auto"/>
            </w:tcBorders>
            <w:shd w:val="clear" w:color="000000" w:fill="EBF1DE"/>
            <w:noWrap/>
            <w:vAlign w:val="center"/>
            <w:hideMark/>
          </w:tcPr>
          <w:p w:rsidR="00415BFD" w:rsidRPr="00C078A5" w:rsidRDefault="00415BFD" w:rsidP="00C078A5">
            <w:pPr>
              <w:spacing w:line="240" w:lineRule="auto"/>
              <w:jc w:val="center"/>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10</w:t>
            </w:r>
          </w:p>
        </w:tc>
        <w:tc>
          <w:tcPr>
            <w:tcW w:w="1304" w:type="dxa"/>
            <w:tcBorders>
              <w:top w:val="nil"/>
              <w:left w:val="nil"/>
              <w:bottom w:val="single" w:sz="4" w:space="0" w:color="auto"/>
              <w:right w:val="single" w:sz="4" w:space="0" w:color="auto"/>
            </w:tcBorders>
            <w:shd w:val="clear" w:color="000000" w:fill="EBF1DE"/>
            <w:noWrap/>
            <w:vAlign w:val="center"/>
            <w:hideMark/>
          </w:tcPr>
          <w:p w:rsidR="00415BFD" w:rsidRPr="00C078A5" w:rsidRDefault="00415BFD" w:rsidP="00C078A5">
            <w:pPr>
              <w:spacing w:line="240" w:lineRule="auto"/>
              <w:jc w:val="center"/>
              <w:rPr>
                <w:rFonts w:ascii="Calibri" w:eastAsia="Times New Roman" w:hAnsi="Calibri"/>
                <w:color w:val="000000"/>
                <w:sz w:val="18"/>
                <w:lang w:eastAsia="en-AU" w:bidi="ar-SA"/>
              </w:rPr>
            </w:pPr>
            <w:r w:rsidRPr="00C078A5">
              <w:rPr>
                <w:rFonts w:ascii="Calibri" w:eastAsia="Times New Roman" w:hAnsi="Calibri"/>
                <w:color w:val="000000"/>
                <w:sz w:val="18"/>
                <w:lang w:eastAsia="en-AU" w:bidi="ar-SA"/>
              </w:rPr>
              <w:t>1.50</w:t>
            </w:r>
          </w:p>
        </w:tc>
      </w:tr>
    </w:tbl>
    <w:p w:rsidR="00415BFD" w:rsidRDefault="00415BFD" w:rsidP="00CD4BEB"/>
    <w:p w:rsidR="00415BFD" w:rsidRDefault="00415BFD" w:rsidP="00CD4BEB">
      <w:pPr>
        <w:rPr>
          <w:lang w:bidi="ar-SA"/>
        </w:rPr>
      </w:pPr>
    </w:p>
    <w:p w:rsidR="00415BFD" w:rsidRPr="009B4DF9" w:rsidRDefault="00415BFD" w:rsidP="00C25755">
      <w:pPr>
        <w:pStyle w:val="Heading3"/>
      </w:pPr>
      <w:bookmarkStart w:id="168" w:name="_Ref451292463"/>
      <w:bookmarkStart w:id="169" w:name="_Toc452066412"/>
      <w:r>
        <w:t>Cost analysis of internet-delivered indicated psychological intervention</w:t>
      </w:r>
      <w:bookmarkEnd w:id="168"/>
      <w:bookmarkEnd w:id="169"/>
    </w:p>
    <w:p w:rsidR="00415BFD" w:rsidRDefault="00415BFD" w:rsidP="00CD4BEB">
      <w:pPr>
        <w:rPr>
          <w:lang w:bidi="ar-SA"/>
        </w:rPr>
      </w:pPr>
      <w:r w:rsidRPr="00730EEF">
        <w:lastRenderedPageBreak/>
        <w:t xml:space="preserve">The internet-based delivery of </w:t>
      </w:r>
      <w:r>
        <w:t>indicated</w:t>
      </w:r>
      <w:r w:rsidRPr="00730EEF">
        <w:t xml:space="preserve"> psychological </w:t>
      </w:r>
      <w:r>
        <w:t>prevention</w:t>
      </w:r>
      <w:r w:rsidRPr="00730EEF">
        <w:t xml:space="preserve"> followed a modified intervention pathway to that used for face-to-face delivery. </w:t>
      </w:r>
      <w:r>
        <w:t>This</w:t>
      </w:r>
      <w:r w:rsidRPr="00730EEF">
        <w:t xml:space="preserve"> pathway involve</w:t>
      </w:r>
      <w:r>
        <w:t>d the same</w:t>
      </w:r>
      <w:r w:rsidRPr="00730EEF">
        <w:t xml:space="preserve"> three steps</w:t>
      </w:r>
      <w:r>
        <w:t xml:space="preserve"> as the face-to-face delivery of indicated prevention: (1) screening for elevated depressive symptoms; (2) further diagnostic testing; and (3) intervention delivery. We assumed that the cost of steps 1 and 2 in the internet-delivered pathway would be identical to the face-to-face pathway. The only difference would be in the third step where intervention delivery occurs through students completing self-directed intervention modules via the internet. </w:t>
      </w:r>
      <w:r>
        <w:rPr>
          <w:lang w:bidi="ar-SA"/>
        </w:rPr>
        <w:fldChar w:fldCharType="begin"/>
      </w:r>
      <w:r>
        <w:instrText xml:space="preserve"> REF _Ref451436082 \r \h </w:instrText>
      </w:r>
      <w:r>
        <w:rPr>
          <w:lang w:bidi="ar-SA"/>
        </w:rPr>
      </w:r>
      <w:r>
        <w:rPr>
          <w:lang w:bidi="ar-SA"/>
        </w:rPr>
        <w:fldChar w:fldCharType="separate"/>
      </w:r>
      <w:r>
        <w:t>Table 23</w:t>
      </w:r>
      <w:r>
        <w:rPr>
          <w:lang w:bidi="ar-SA"/>
        </w:rPr>
        <w:fldChar w:fldCharType="end"/>
      </w:r>
      <w:r>
        <w:rPr>
          <w:lang w:bidi="ar-SA"/>
        </w:rPr>
        <w:t xml:space="preserve"> presents a summary of the different cost items associated with the internet-based delivery of indicated prevention. Like internet-delivered universal prevention (see section </w:t>
      </w:r>
      <w:r>
        <w:rPr>
          <w:lang w:bidi="ar-SA"/>
        </w:rPr>
        <w:fldChar w:fldCharType="begin"/>
      </w:r>
      <w:r>
        <w:rPr>
          <w:lang w:bidi="ar-SA"/>
        </w:rPr>
        <w:instrText xml:space="preserve"> REF _Ref451182615 \r \h </w:instrText>
      </w:r>
      <w:r>
        <w:rPr>
          <w:lang w:bidi="ar-SA"/>
        </w:rPr>
      </w:r>
      <w:r>
        <w:rPr>
          <w:lang w:bidi="ar-SA"/>
        </w:rPr>
        <w:fldChar w:fldCharType="separate"/>
      </w:r>
      <w:r>
        <w:rPr>
          <w:lang w:bidi="ar-SA"/>
        </w:rPr>
        <w:t>5.3</w:t>
      </w:r>
      <w:r>
        <w:rPr>
          <w:lang w:bidi="ar-SA"/>
        </w:rPr>
        <w:fldChar w:fldCharType="end"/>
      </w:r>
      <w:r>
        <w:rPr>
          <w:lang w:bidi="ar-SA"/>
        </w:rPr>
        <w:t>), we assumed that internet-delivered indicated prevention would involve students completing self-directed modules through either unmoderated or clinician-moderated modalities. The resource use parameters and average cost per person were: $10.87 per person for unmoderated internet-delivery; and $223 per person for clinician-moderated internet-delivery.</w:t>
      </w:r>
    </w:p>
    <w:p w:rsidR="00415BFD" w:rsidRDefault="00415BFD" w:rsidP="0080054A">
      <w:pPr>
        <w:rPr>
          <w:lang w:bidi="ar-SA"/>
        </w:rPr>
      </w:pPr>
    </w:p>
    <w:p w:rsidR="00415BFD" w:rsidRDefault="00415BFD" w:rsidP="00415BFD">
      <w:pPr>
        <w:pStyle w:val="MyTable"/>
        <w:numPr>
          <w:ilvl w:val="3"/>
          <w:numId w:val="9"/>
        </w:numPr>
        <w:rPr>
          <w:lang w:bidi="ar-SA"/>
        </w:rPr>
      </w:pPr>
      <w:bookmarkStart w:id="170" w:name="_Ref432948328"/>
      <w:bookmarkStart w:id="171" w:name="_Toc452066470"/>
      <w:r>
        <w:rPr>
          <w:lang w:bidi="ar-SA"/>
        </w:rPr>
        <w:t>Cost items for internet-delivery of indicated psychological intervention</w:t>
      </w:r>
      <w:bookmarkEnd w:id="170"/>
      <w:bookmarkEnd w:id="171"/>
    </w:p>
    <w:tbl>
      <w:tblPr>
        <w:tblW w:w="8504" w:type="dxa"/>
        <w:jc w:val="center"/>
        <w:tblLook w:val="04A0" w:firstRow="1" w:lastRow="0" w:firstColumn="1" w:lastColumn="0" w:noHBand="0" w:noVBand="1"/>
      </w:tblPr>
      <w:tblGrid>
        <w:gridCol w:w="3515"/>
        <w:gridCol w:w="1304"/>
        <w:gridCol w:w="1134"/>
        <w:gridCol w:w="1134"/>
        <w:gridCol w:w="1417"/>
      </w:tblGrid>
      <w:tr w:rsidR="00415BFD" w:rsidRPr="00954D75" w:rsidTr="00523F4D">
        <w:trPr>
          <w:trHeight w:val="300"/>
          <w:jc w:val="center"/>
        </w:trPr>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BFD" w:rsidRPr="00954D75" w:rsidRDefault="00415BFD" w:rsidP="00523F4D">
            <w:pPr>
              <w:spacing w:line="240" w:lineRule="auto"/>
              <w:jc w:val="center"/>
              <w:rPr>
                <w:rFonts w:ascii="Calibri" w:eastAsia="Times New Roman" w:hAnsi="Calibri"/>
                <w:b/>
                <w:bCs/>
                <w:color w:val="000000"/>
                <w:sz w:val="18"/>
                <w:szCs w:val="18"/>
                <w:lang w:eastAsia="en-AU" w:bidi="ar-SA"/>
              </w:rPr>
            </w:pPr>
            <w:r w:rsidRPr="00954D75">
              <w:rPr>
                <w:rFonts w:ascii="Calibri" w:eastAsia="Times New Roman" w:hAnsi="Calibri"/>
                <w:b/>
                <w:bCs/>
                <w:color w:val="000000"/>
                <w:sz w:val="18"/>
                <w:szCs w:val="18"/>
                <w:lang w:eastAsia="en-AU" w:bidi="ar-SA"/>
              </w:rPr>
              <w:t>Cost item</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415BFD" w:rsidRPr="00954D75" w:rsidRDefault="00415BFD" w:rsidP="00523F4D">
            <w:pPr>
              <w:spacing w:line="240" w:lineRule="auto"/>
              <w:jc w:val="center"/>
              <w:rPr>
                <w:rFonts w:ascii="Calibri" w:eastAsia="Times New Roman" w:hAnsi="Calibri"/>
                <w:b/>
                <w:bCs/>
                <w:color w:val="000000"/>
                <w:sz w:val="18"/>
                <w:szCs w:val="18"/>
                <w:lang w:eastAsia="en-AU" w:bidi="ar-SA"/>
              </w:rPr>
            </w:pPr>
            <w:r w:rsidRPr="00954D75">
              <w:rPr>
                <w:rFonts w:ascii="Calibri" w:eastAsia="Times New Roman" w:hAnsi="Calibri"/>
                <w:b/>
                <w:bCs/>
                <w:color w:val="000000"/>
                <w:sz w:val="18"/>
                <w:szCs w:val="18"/>
                <w:lang w:eastAsia="en-AU" w:bidi="ar-SA"/>
              </w:rPr>
              <w:t>Unit Cost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5BFD" w:rsidRPr="00954D75" w:rsidRDefault="00415BFD" w:rsidP="00523F4D">
            <w:pPr>
              <w:spacing w:line="240" w:lineRule="auto"/>
              <w:jc w:val="center"/>
              <w:rPr>
                <w:rFonts w:ascii="Calibri" w:eastAsia="Times New Roman" w:hAnsi="Calibri"/>
                <w:b/>
                <w:bCs/>
                <w:color w:val="000000"/>
                <w:sz w:val="18"/>
                <w:szCs w:val="18"/>
                <w:lang w:eastAsia="en-AU" w:bidi="ar-SA"/>
              </w:rPr>
            </w:pPr>
            <w:r w:rsidRPr="00954D75">
              <w:rPr>
                <w:rFonts w:ascii="Calibri" w:eastAsia="Times New Roman" w:hAnsi="Calibri"/>
                <w:b/>
                <w:bCs/>
                <w:color w:val="000000"/>
                <w:sz w:val="18"/>
                <w:szCs w:val="18"/>
                <w:lang w:eastAsia="en-AU" w:bidi="ar-SA"/>
              </w:rPr>
              <w:t>Quantity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5BFD" w:rsidRPr="00954D75" w:rsidRDefault="00415BFD" w:rsidP="00523F4D">
            <w:pPr>
              <w:spacing w:line="240" w:lineRule="auto"/>
              <w:jc w:val="center"/>
              <w:rPr>
                <w:rFonts w:ascii="Calibri" w:eastAsia="Times New Roman" w:hAnsi="Calibri"/>
                <w:b/>
                <w:bCs/>
                <w:color w:val="000000"/>
                <w:sz w:val="18"/>
                <w:szCs w:val="18"/>
                <w:lang w:eastAsia="en-AU" w:bidi="ar-SA"/>
              </w:rPr>
            </w:pPr>
            <w:r w:rsidRPr="00954D75">
              <w:rPr>
                <w:rFonts w:ascii="Calibri" w:eastAsia="Times New Roman" w:hAnsi="Calibri"/>
                <w:b/>
                <w:bCs/>
                <w:color w:val="000000"/>
                <w:sz w:val="18"/>
                <w:szCs w:val="18"/>
                <w:lang w:eastAsia="en-AU" w:bidi="ar-SA"/>
              </w:rPr>
              <w:t>Time (hrs)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15BFD" w:rsidRPr="00954D75" w:rsidRDefault="00415BFD" w:rsidP="00523F4D">
            <w:pPr>
              <w:spacing w:line="240" w:lineRule="auto"/>
              <w:jc w:val="center"/>
              <w:rPr>
                <w:rFonts w:ascii="Calibri" w:eastAsia="Times New Roman" w:hAnsi="Calibri"/>
                <w:b/>
                <w:bCs/>
                <w:color w:val="000000"/>
                <w:sz w:val="18"/>
                <w:szCs w:val="18"/>
                <w:lang w:eastAsia="en-AU" w:bidi="ar-SA"/>
              </w:rPr>
            </w:pPr>
            <w:r w:rsidRPr="00954D75">
              <w:rPr>
                <w:rFonts w:ascii="Calibri" w:eastAsia="Times New Roman" w:hAnsi="Calibri"/>
                <w:b/>
                <w:bCs/>
                <w:color w:val="000000"/>
                <w:sz w:val="18"/>
                <w:szCs w:val="18"/>
                <w:lang w:eastAsia="en-AU" w:bidi="ar-SA"/>
              </w:rPr>
              <w:t>Total</w:t>
            </w:r>
          </w:p>
        </w:tc>
      </w:tr>
      <w:tr w:rsidR="00415BFD" w:rsidRPr="00954D75" w:rsidTr="00281404">
        <w:trPr>
          <w:trHeight w:val="300"/>
          <w:jc w:val="center"/>
        </w:trPr>
        <w:tc>
          <w:tcPr>
            <w:tcW w:w="3515" w:type="dxa"/>
            <w:tcBorders>
              <w:top w:val="nil"/>
              <w:left w:val="single" w:sz="4" w:space="0" w:color="auto"/>
              <w:bottom w:val="nil"/>
              <w:right w:val="nil"/>
            </w:tcBorders>
            <w:shd w:val="clear" w:color="auto" w:fill="auto"/>
            <w:noWrap/>
            <w:vAlign w:val="center"/>
            <w:hideMark/>
          </w:tcPr>
          <w:p w:rsidR="00415BFD" w:rsidRPr="00954D75" w:rsidRDefault="00415BFD" w:rsidP="00281404">
            <w:pPr>
              <w:spacing w:line="240" w:lineRule="auto"/>
              <w:jc w:val="left"/>
              <w:rPr>
                <w:rFonts w:ascii="Calibri" w:eastAsia="Times New Roman" w:hAnsi="Calibri"/>
                <w:b/>
                <w:bCs/>
                <w:color w:val="963634"/>
                <w:sz w:val="18"/>
                <w:szCs w:val="18"/>
                <w:lang w:eastAsia="en-AU" w:bidi="ar-SA"/>
              </w:rPr>
            </w:pPr>
            <w:r w:rsidRPr="00954D75">
              <w:rPr>
                <w:rFonts w:ascii="Calibri" w:eastAsia="Times New Roman" w:hAnsi="Calibri"/>
                <w:b/>
                <w:bCs/>
                <w:color w:val="963634"/>
                <w:sz w:val="18"/>
                <w:szCs w:val="18"/>
                <w:lang w:eastAsia="en-AU" w:bidi="ar-SA"/>
              </w:rPr>
              <w:t>A. Screening</w:t>
            </w:r>
          </w:p>
        </w:tc>
        <w:tc>
          <w:tcPr>
            <w:tcW w:w="1304" w:type="dxa"/>
            <w:tcBorders>
              <w:top w:val="nil"/>
              <w:left w:val="single" w:sz="4" w:space="0" w:color="auto"/>
              <w:bottom w:val="nil"/>
              <w:right w:val="nil"/>
            </w:tcBorders>
            <w:shd w:val="clear" w:color="auto" w:fill="auto"/>
            <w:noWrap/>
            <w:vAlign w:val="bottom"/>
            <w:hideMark/>
          </w:tcPr>
          <w:p w:rsidR="00415BFD" w:rsidRPr="00954D75" w:rsidRDefault="00415BFD" w:rsidP="00954D75">
            <w:pPr>
              <w:spacing w:line="240" w:lineRule="auto"/>
              <w:jc w:val="center"/>
              <w:rPr>
                <w:rFonts w:ascii="Calibri" w:eastAsia="Times New Roman" w:hAnsi="Calibri"/>
                <w:b/>
                <w:bCs/>
                <w:color w:val="000000"/>
                <w:sz w:val="18"/>
                <w:szCs w:val="18"/>
                <w:lang w:eastAsia="en-AU" w:bidi="ar-SA"/>
              </w:rPr>
            </w:pPr>
            <w:r w:rsidRPr="00954D75">
              <w:rPr>
                <w:rFonts w:ascii="Calibri" w:eastAsia="Times New Roman" w:hAnsi="Calibri"/>
                <w:b/>
                <w:bCs/>
                <w:color w:val="000000"/>
                <w:sz w:val="18"/>
                <w:szCs w:val="18"/>
                <w:lang w:eastAsia="en-AU" w:bidi="ar-SA"/>
              </w:rPr>
              <w:t> </w:t>
            </w:r>
          </w:p>
        </w:tc>
        <w:tc>
          <w:tcPr>
            <w:tcW w:w="1134" w:type="dxa"/>
            <w:tcBorders>
              <w:top w:val="nil"/>
              <w:left w:val="single" w:sz="4" w:space="0" w:color="auto"/>
              <w:bottom w:val="nil"/>
              <w:right w:val="single" w:sz="4" w:space="0" w:color="auto"/>
            </w:tcBorders>
            <w:shd w:val="clear" w:color="auto" w:fill="auto"/>
            <w:noWrap/>
            <w:vAlign w:val="bottom"/>
            <w:hideMark/>
          </w:tcPr>
          <w:p w:rsidR="00415BFD" w:rsidRPr="00954D75" w:rsidRDefault="00415BFD" w:rsidP="00954D75">
            <w:pPr>
              <w:spacing w:line="240" w:lineRule="auto"/>
              <w:jc w:val="center"/>
              <w:rPr>
                <w:rFonts w:ascii="Calibri" w:eastAsia="Times New Roman" w:hAnsi="Calibri"/>
                <w:b/>
                <w:bCs/>
                <w:color w:val="000000"/>
                <w:sz w:val="18"/>
                <w:szCs w:val="18"/>
                <w:lang w:eastAsia="en-AU" w:bidi="ar-SA"/>
              </w:rPr>
            </w:pPr>
            <w:r w:rsidRPr="00954D75">
              <w:rPr>
                <w:rFonts w:ascii="Calibri" w:eastAsia="Times New Roman" w:hAnsi="Calibri"/>
                <w:b/>
                <w:bCs/>
                <w:color w:val="000000"/>
                <w:sz w:val="18"/>
                <w:szCs w:val="18"/>
                <w:lang w:eastAsia="en-AU" w:bidi="ar-SA"/>
              </w:rPr>
              <w:t> </w:t>
            </w:r>
          </w:p>
        </w:tc>
        <w:tc>
          <w:tcPr>
            <w:tcW w:w="1134" w:type="dxa"/>
            <w:tcBorders>
              <w:top w:val="nil"/>
              <w:left w:val="nil"/>
              <w:bottom w:val="nil"/>
              <w:right w:val="single" w:sz="4" w:space="0" w:color="auto"/>
            </w:tcBorders>
            <w:shd w:val="clear" w:color="auto" w:fill="auto"/>
            <w:noWrap/>
            <w:vAlign w:val="bottom"/>
            <w:hideMark/>
          </w:tcPr>
          <w:p w:rsidR="00415BFD" w:rsidRPr="00954D75" w:rsidRDefault="00415BFD" w:rsidP="00954D75">
            <w:pPr>
              <w:spacing w:line="240" w:lineRule="auto"/>
              <w:jc w:val="center"/>
              <w:rPr>
                <w:rFonts w:ascii="Calibri" w:eastAsia="Times New Roman" w:hAnsi="Calibri"/>
                <w:b/>
                <w:bCs/>
                <w:color w:val="000000"/>
                <w:sz w:val="18"/>
                <w:szCs w:val="18"/>
                <w:lang w:eastAsia="en-AU" w:bidi="ar-SA"/>
              </w:rPr>
            </w:pPr>
            <w:r w:rsidRPr="00954D75">
              <w:rPr>
                <w:rFonts w:ascii="Calibri" w:eastAsia="Times New Roman" w:hAnsi="Calibri"/>
                <w:b/>
                <w:bCs/>
                <w:color w:val="000000"/>
                <w:sz w:val="18"/>
                <w:szCs w:val="18"/>
                <w:lang w:eastAsia="en-AU" w:bidi="ar-SA"/>
              </w:rPr>
              <w:t> </w:t>
            </w:r>
          </w:p>
        </w:tc>
        <w:tc>
          <w:tcPr>
            <w:tcW w:w="1417" w:type="dxa"/>
            <w:tcBorders>
              <w:top w:val="nil"/>
              <w:left w:val="nil"/>
              <w:bottom w:val="nil"/>
              <w:right w:val="single" w:sz="4" w:space="0" w:color="auto"/>
            </w:tcBorders>
            <w:shd w:val="clear" w:color="auto" w:fill="auto"/>
            <w:noWrap/>
            <w:vAlign w:val="bottom"/>
            <w:hideMark/>
          </w:tcPr>
          <w:p w:rsidR="00415BFD" w:rsidRPr="00954D75" w:rsidRDefault="00415BFD" w:rsidP="00954D75">
            <w:pPr>
              <w:spacing w:line="240" w:lineRule="auto"/>
              <w:jc w:val="center"/>
              <w:rPr>
                <w:rFonts w:ascii="Calibri" w:eastAsia="Times New Roman" w:hAnsi="Calibri"/>
                <w:b/>
                <w:bCs/>
                <w:color w:val="000000"/>
                <w:sz w:val="18"/>
                <w:szCs w:val="18"/>
                <w:lang w:eastAsia="en-AU" w:bidi="ar-SA"/>
              </w:rPr>
            </w:pPr>
            <w:r w:rsidRPr="00954D75">
              <w:rPr>
                <w:rFonts w:ascii="Calibri" w:eastAsia="Times New Roman" w:hAnsi="Calibri"/>
                <w:b/>
                <w:bCs/>
                <w:color w:val="000000"/>
                <w:sz w:val="18"/>
                <w:szCs w:val="18"/>
                <w:lang w:eastAsia="en-AU" w:bidi="ar-SA"/>
              </w:rPr>
              <w:t> </w:t>
            </w:r>
          </w:p>
        </w:tc>
      </w:tr>
      <w:tr w:rsidR="00415BFD" w:rsidRPr="00954D75" w:rsidTr="00281404">
        <w:trPr>
          <w:trHeight w:val="300"/>
          <w:jc w:val="center"/>
        </w:trPr>
        <w:tc>
          <w:tcPr>
            <w:tcW w:w="3515" w:type="dxa"/>
            <w:tcBorders>
              <w:top w:val="nil"/>
              <w:left w:val="single" w:sz="4" w:space="0" w:color="auto"/>
              <w:bottom w:val="nil"/>
              <w:right w:val="single" w:sz="4" w:space="0" w:color="auto"/>
            </w:tcBorders>
            <w:shd w:val="clear" w:color="auto" w:fill="auto"/>
            <w:noWrap/>
            <w:vAlign w:val="center"/>
            <w:hideMark/>
          </w:tcPr>
          <w:p w:rsidR="00415BFD" w:rsidRPr="00954D75" w:rsidRDefault="00415BFD" w:rsidP="00281404">
            <w:pPr>
              <w:spacing w:line="240" w:lineRule="auto"/>
              <w:jc w:val="left"/>
              <w:rPr>
                <w:rFonts w:ascii="Calibri" w:eastAsia="Times New Roman" w:hAnsi="Calibri"/>
                <w:color w:val="000000"/>
                <w:sz w:val="18"/>
                <w:szCs w:val="18"/>
                <w:lang w:eastAsia="en-AU" w:bidi="ar-SA"/>
              </w:rPr>
            </w:pPr>
            <w:r w:rsidRPr="00954D75">
              <w:rPr>
                <w:rFonts w:ascii="Calibri" w:eastAsia="Times New Roman" w:hAnsi="Calibri"/>
                <w:color w:val="000000"/>
                <w:sz w:val="18"/>
                <w:szCs w:val="18"/>
                <w:lang w:eastAsia="en-AU" w:bidi="ar-SA"/>
              </w:rPr>
              <w:t xml:space="preserve">   Training teachers to conduct screening</w:t>
            </w:r>
          </w:p>
        </w:tc>
        <w:tc>
          <w:tcPr>
            <w:tcW w:w="1304" w:type="dxa"/>
            <w:tcBorders>
              <w:top w:val="nil"/>
              <w:left w:val="nil"/>
              <w:bottom w:val="nil"/>
              <w:right w:val="nil"/>
            </w:tcBorders>
            <w:shd w:val="clear" w:color="000000" w:fill="EBF1DE"/>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r w:rsidRPr="00954D75">
              <w:rPr>
                <w:rFonts w:ascii="Calibri" w:eastAsia="Times New Roman" w:hAnsi="Calibri"/>
                <w:color w:val="000000"/>
                <w:sz w:val="18"/>
                <w:szCs w:val="18"/>
                <w:lang w:eastAsia="en-AU" w:bidi="ar-SA"/>
              </w:rPr>
              <w:t>$             42.33</w:t>
            </w:r>
          </w:p>
        </w:tc>
        <w:tc>
          <w:tcPr>
            <w:tcW w:w="1134" w:type="dxa"/>
            <w:tcBorders>
              <w:top w:val="nil"/>
              <w:left w:val="single" w:sz="4" w:space="0" w:color="auto"/>
              <w:bottom w:val="nil"/>
              <w:right w:val="single" w:sz="4" w:space="0" w:color="auto"/>
            </w:tcBorders>
            <w:shd w:val="clear" w:color="000000" w:fill="EBF1DE"/>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r w:rsidRPr="00954D75">
              <w:rPr>
                <w:rFonts w:ascii="Calibri" w:eastAsia="Times New Roman" w:hAnsi="Calibri"/>
                <w:color w:val="000000"/>
                <w:sz w:val="18"/>
                <w:szCs w:val="18"/>
                <w:lang w:eastAsia="en-AU" w:bidi="ar-SA"/>
              </w:rPr>
              <w:t>2,621</w:t>
            </w:r>
          </w:p>
        </w:tc>
        <w:tc>
          <w:tcPr>
            <w:tcW w:w="1134" w:type="dxa"/>
            <w:tcBorders>
              <w:top w:val="nil"/>
              <w:left w:val="nil"/>
              <w:bottom w:val="nil"/>
              <w:right w:val="single" w:sz="4" w:space="0" w:color="auto"/>
            </w:tcBorders>
            <w:shd w:val="clear" w:color="000000" w:fill="EBF1DE"/>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r w:rsidRPr="00954D75">
              <w:rPr>
                <w:rFonts w:ascii="Calibri" w:eastAsia="Times New Roman" w:hAnsi="Calibri"/>
                <w:color w:val="000000"/>
                <w:sz w:val="18"/>
                <w:szCs w:val="18"/>
                <w:lang w:eastAsia="en-AU" w:bidi="ar-SA"/>
              </w:rPr>
              <w:t>1.0</w:t>
            </w:r>
          </w:p>
        </w:tc>
        <w:tc>
          <w:tcPr>
            <w:tcW w:w="1417" w:type="dxa"/>
            <w:tcBorders>
              <w:top w:val="nil"/>
              <w:left w:val="nil"/>
              <w:bottom w:val="nil"/>
              <w:right w:val="single" w:sz="4" w:space="0" w:color="auto"/>
            </w:tcBorders>
            <w:shd w:val="clear" w:color="auto" w:fill="auto"/>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r w:rsidRPr="00954D75">
              <w:rPr>
                <w:rFonts w:ascii="Calibri" w:eastAsia="Times New Roman" w:hAnsi="Calibri"/>
                <w:color w:val="000000"/>
                <w:sz w:val="18"/>
                <w:szCs w:val="18"/>
                <w:lang w:eastAsia="en-AU" w:bidi="ar-SA"/>
              </w:rPr>
              <w:t>$           110,966</w:t>
            </w:r>
          </w:p>
        </w:tc>
      </w:tr>
      <w:tr w:rsidR="00415BFD" w:rsidRPr="00954D75" w:rsidTr="00281404">
        <w:trPr>
          <w:trHeight w:val="300"/>
          <w:jc w:val="center"/>
        </w:trPr>
        <w:tc>
          <w:tcPr>
            <w:tcW w:w="3515" w:type="dxa"/>
            <w:tcBorders>
              <w:top w:val="nil"/>
              <w:left w:val="single" w:sz="4" w:space="0" w:color="auto"/>
              <w:bottom w:val="nil"/>
              <w:right w:val="single" w:sz="4" w:space="0" w:color="auto"/>
            </w:tcBorders>
            <w:shd w:val="clear" w:color="auto" w:fill="auto"/>
            <w:noWrap/>
            <w:vAlign w:val="center"/>
            <w:hideMark/>
          </w:tcPr>
          <w:p w:rsidR="00415BFD" w:rsidRPr="00954D75" w:rsidRDefault="00415BFD" w:rsidP="00281404">
            <w:pPr>
              <w:spacing w:line="240" w:lineRule="auto"/>
              <w:jc w:val="left"/>
              <w:rPr>
                <w:rFonts w:ascii="Calibri" w:eastAsia="Times New Roman" w:hAnsi="Calibri"/>
                <w:sz w:val="18"/>
                <w:szCs w:val="18"/>
                <w:lang w:eastAsia="en-AU" w:bidi="ar-SA"/>
              </w:rPr>
            </w:pPr>
            <w:r w:rsidRPr="00954D75">
              <w:rPr>
                <w:rFonts w:ascii="Calibri" w:eastAsia="Times New Roman" w:hAnsi="Calibri"/>
                <w:sz w:val="18"/>
                <w:szCs w:val="18"/>
                <w:lang w:eastAsia="en-AU" w:bidi="ar-SA"/>
              </w:rPr>
              <w:t xml:space="preserve">   Teachers disseminate CES-D in class</w:t>
            </w:r>
          </w:p>
        </w:tc>
        <w:tc>
          <w:tcPr>
            <w:tcW w:w="1304" w:type="dxa"/>
            <w:tcBorders>
              <w:top w:val="nil"/>
              <w:left w:val="nil"/>
              <w:bottom w:val="nil"/>
              <w:right w:val="nil"/>
            </w:tcBorders>
            <w:shd w:val="clear" w:color="000000" w:fill="EBF1DE"/>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r w:rsidRPr="00954D75">
              <w:rPr>
                <w:rFonts w:ascii="Calibri" w:eastAsia="Times New Roman" w:hAnsi="Calibri"/>
                <w:color w:val="000000"/>
                <w:sz w:val="18"/>
                <w:szCs w:val="18"/>
                <w:lang w:eastAsia="en-AU" w:bidi="ar-SA"/>
              </w:rPr>
              <w:t>$             45.26</w:t>
            </w:r>
          </w:p>
        </w:tc>
        <w:tc>
          <w:tcPr>
            <w:tcW w:w="1134" w:type="dxa"/>
            <w:tcBorders>
              <w:top w:val="nil"/>
              <w:left w:val="single" w:sz="4" w:space="0" w:color="auto"/>
              <w:bottom w:val="nil"/>
              <w:right w:val="single" w:sz="4" w:space="0" w:color="auto"/>
            </w:tcBorders>
            <w:shd w:val="clear" w:color="000000" w:fill="EBF1DE"/>
            <w:noWrap/>
            <w:vAlign w:val="center"/>
            <w:hideMark/>
          </w:tcPr>
          <w:p w:rsidR="00415BFD" w:rsidRPr="00CC4A3E" w:rsidRDefault="00415BFD" w:rsidP="00281404">
            <w:pPr>
              <w:spacing w:line="240" w:lineRule="auto"/>
              <w:jc w:val="center"/>
              <w:rPr>
                <w:rFonts w:ascii="Calibri" w:eastAsia="Times New Roman" w:hAnsi="Calibri"/>
                <w:color w:val="000000"/>
                <w:sz w:val="18"/>
                <w:szCs w:val="18"/>
                <w:lang w:eastAsia="en-AU" w:bidi="ar-SA"/>
              </w:rPr>
            </w:pPr>
            <w:r>
              <w:rPr>
                <w:rFonts w:ascii="Calibri" w:eastAsia="Times New Roman" w:hAnsi="Calibri"/>
                <w:color w:val="000000"/>
                <w:sz w:val="18"/>
                <w:szCs w:val="18"/>
                <w:lang w:eastAsia="en-AU" w:bidi="ar-SA"/>
              </w:rPr>
              <w:t>85,914</w:t>
            </w:r>
          </w:p>
        </w:tc>
        <w:tc>
          <w:tcPr>
            <w:tcW w:w="1134" w:type="dxa"/>
            <w:tcBorders>
              <w:top w:val="nil"/>
              <w:left w:val="nil"/>
              <w:bottom w:val="nil"/>
              <w:right w:val="single" w:sz="4" w:space="0" w:color="auto"/>
            </w:tcBorders>
            <w:shd w:val="clear" w:color="000000" w:fill="EBF1DE"/>
            <w:noWrap/>
            <w:vAlign w:val="center"/>
            <w:hideMark/>
          </w:tcPr>
          <w:p w:rsidR="00415BFD" w:rsidRPr="00CC4A3E" w:rsidRDefault="00415BFD" w:rsidP="00281404">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1.0</w:t>
            </w:r>
          </w:p>
        </w:tc>
        <w:tc>
          <w:tcPr>
            <w:tcW w:w="1417" w:type="dxa"/>
            <w:tcBorders>
              <w:top w:val="nil"/>
              <w:left w:val="nil"/>
              <w:bottom w:val="nil"/>
              <w:right w:val="single" w:sz="4" w:space="0" w:color="auto"/>
            </w:tcBorders>
            <w:shd w:val="clear" w:color="auto" w:fill="auto"/>
            <w:noWrap/>
            <w:vAlign w:val="center"/>
            <w:hideMark/>
          </w:tcPr>
          <w:p w:rsidR="00415BFD" w:rsidRPr="00CC4A3E" w:rsidRDefault="00415BFD" w:rsidP="00281404">
            <w:pPr>
              <w:spacing w:line="240" w:lineRule="auto"/>
              <w:jc w:val="center"/>
              <w:rPr>
                <w:rFonts w:ascii="Calibri" w:eastAsia="Times New Roman" w:hAnsi="Calibri"/>
                <w:color w:val="000000"/>
                <w:sz w:val="18"/>
                <w:szCs w:val="18"/>
                <w:lang w:eastAsia="en-AU" w:bidi="ar-SA"/>
              </w:rPr>
            </w:pPr>
            <w:r w:rsidRPr="00CC4A3E">
              <w:rPr>
                <w:rFonts w:ascii="Calibri" w:eastAsia="Times New Roman" w:hAnsi="Calibri"/>
                <w:color w:val="000000"/>
                <w:sz w:val="18"/>
                <w:szCs w:val="18"/>
                <w:lang w:eastAsia="en-AU" w:bidi="ar-SA"/>
              </w:rPr>
              <w:t xml:space="preserve">$      </w:t>
            </w:r>
            <w:r>
              <w:rPr>
                <w:rFonts w:ascii="Calibri" w:eastAsia="Times New Roman" w:hAnsi="Calibri"/>
                <w:color w:val="000000"/>
                <w:sz w:val="18"/>
                <w:szCs w:val="18"/>
                <w:lang w:eastAsia="en-AU" w:bidi="ar-SA"/>
              </w:rPr>
              <w:t xml:space="preserve"> </w:t>
            </w:r>
            <w:r w:rsidRPr="00CC4A3E">
              <w:rPr>
                <w:rFonts w:ascii="Calibri" w:eastAsia="Times New Roman" w:hAnsi="Calibri"/>
                <w:color w:val="000000"/>
                <w:sz w:val="18"/>
                <w:szCs w:val="18"/>
                <w:lang w:eastAsia="en-AU" w:bidi="ar-SA"/>
              </w:rPr>
              <w:t xml:space="preserve"> </w:t>
            </w:r>
            <w:r>
              <w:rPr>
                <w:rFonts w:ascii="Calibri" w:eastAsia="Times New Roman" w:hAnsi="Calibri"/>
                <w:color w:val="000000"/>
                <w:sz w:val="18"/>
                <w:szCs w:val="18"/>
                <w:lang w:eastAsia="en-AU" w:bidi="ar-SA"/>
              </w:rPr>
              <w:t>3,888</w:t>
            </w:r>
            <w:r w:rsidRPr="00CC4A3E">
              <w:rPr>
                <w:rFonts w:ascii="Calibri" w:eastAsia="Times New Roman" w:hAnsi="Calibri"/>
                <w:color w:val="000000"/>
                <w:sz w:val="18"/>
                <w:szCs w:val="18"/>
                <w:lang w:eastAsia="en-AU" w:bidi="ar-SA"/>
              </w:rPr>
              <w:t>,</w:t>
            </w:r>
            <w:r>
              <w:rPr>
                <w:rFonts w:ascii="Calibri" w:eastAsia="Times New Roman" w:hAnsi="Calibri"/>
                <w:color w:val="000000"/>
                <w:sz w:val="18"/>
                <w:szCs w:val="18"/>
                <w:lang w:eastAsia="en-AU" w:bidi="ar-SA"/>
              </w:rPr>
              <w:t>389</w:t>
            </w:r>
          </w:p>
        </w:tc>
      </w:tr>
      <w:tr w:rsidR="00415BFD" w:rsidRPr="00954D75" w:rsidTr="00281404">
        <w:trPr>
          <w:trHeight w:val="300"/>
          <w:jc w:val="center"/>
        </w:trPr>
        <w:tc>
          <w:tcPr>
            <w:tcW w:w="3515" w:type="dxa"/>
            <w:tcBorders>
              <w:top w:val="nil"/>
              <w:left w:val="single" w:sz="4" w:space="0" w:color="auto"/>
              <w:bottom w:val="nil"/>
              <w:right w:val="single" w:sz="4" w:space="0" w:color="auto"/>
            </w:tcBorders>
            <w:shd w:val="clear" w:color="auto" w:fill="auto"/>
            <w:noWrap/>
            <w:vAlign w:val="center"/>
            <w:hideMark/>
          </w:tcPr>
          <w:p w:rsidR="00415BFD" w:rsidRPr="00954D75" w:rsidRDefault="00415BFD" w:rsidP="00281404">
            <w:pPr>
              <w:spacing w:line="240" w:lineRule="auto"/>
              <w:jc w:val="left"/>
              <w:rPr>
                <w:rFonts w:ascii="Calibri" w:eastAsia="Times New Roman" w:hAnsi="Calibri"/>
                <w:sz w:val="18"/>
                <w:szCs w:val="18"/>
                <w:lang w:eastAsia="en-AU" w:bidi="ar-SA"/>
              </w:rPr>
            </w:pPr>
            <w:r w:rsidRPr="00954D75">
              <w:rPr>
                <w:rFonts w:ascii="Calibri" w:eastAsia="Times New Roman" w:hAnsi="Calibri"/>
                <w:sz w:val="18"/>
                <w:szCs w:val="18"/>
                <w:lang w:eastAsia="en-AU" w:bidi="ar-SA"/>
              </w:rPr>
              <w:t> </w:t>
            </w:r>
          </w:p>
        </w:tc>
        <w:tc>
          <w:tcPr>
            <w:tcW w:w="1304" w:type="dxa"/>
            <w:tcBorders>
              <w:top w:val="nil"/>
              <w:left w:val="nil"/>
              <w:bottom w:val="nil"/>
              <w:right w:val="single" w:sz="4" w:space="0" w:color="auto"/>
            </w:tcBorders>
            <w:shd w:val="clear" w:color="auto" w:fill="auto"/>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p>
        </w:tc>
        <w:tc>
          <w:tcPr>
            <w:tcW w:w="1134" w:type="dxa"/>
            <w:tcBorders>
              <w:top w:val="nil"/>
              <w:left w:val="nil"/>
              <w:bottom w:val="nil"/>
              <w:right w:val="single" w:sz="4" w:space="0" w:color="auto"/>
            </w:tcBorders>
            <w:shd w:val="clear" w:color="auto" w:fill="auto"/>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p>
        </w:tc>
        <w:tc>
          <w:tcPr>
            <w:tcW w:w="1134" w:type="dxa"/>
            <w:tcBorders>
              <w:top w:val="nil"/>
              <w:left w:val="nil"/>
              <w:bottom w:val="nil"/>
              <w:right w:val="single" w:sz="4" w:space="0" w:color="auto"/>
            </w:tcBorders>
            <w:shd w:val="clear" w:color="auto" w:fill="auto"/>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p>
        </w:tc>
        <w:tc>
          <w:tcPr>
            <w:tcW w:w="1417" w:type="dxa"/>
            <w:tcBorders>
              <w:top w:val="nil"/>
              <w:left w:val="nil"/>
              <w:bottom w:val="nil"/>
              <w:right w:val="single" w:sz="4" w:space="0" w:color="auto"/>
            </w:tcBorders>
            <w:shd w:val="clear" w:color="auto" w:fill="auto"/>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p>
        </w:tc>
      </w:tr>
      <w:tr w:rsidR="00415BFD" w:rsidRPr="00954D75" w:rsidTr="00281404">
        <w:trPr>
          <w:trHeight w:val="300"/>
          <w:jc w:val="center"/>
        </w:trPr>
        <w:tc>
          <w:tcPr>
            <w:tcW w:w="3515" w:type="dxa"/>
            <w:tcBorders>
              <w:top w:val="nil"/>
              <w:left w:val="single" w:sz="4" w:space="0" w:color="auto"/>
              <w:bottom w:val="nil"/>
              <w:right w:val="single" w:sz="4" w:space="0" w:color="auto"/>
            </w:tcBorders>
            <w:shd w:val="clear" w:color="auto" w:fill="auto"/>
            <w:noWrap/>
            <w:vAlign w:val="center"/>
            <w:hideMark/>
          </w:tcPr>
          <w:p w:rsidR="00415BFD" w:rsidRPr="00954D75" w:rsidRDefault="00415BFD" w:rsidP="00281404">
            <w:pPr>
              <w:spacing w:line="240" w:lineRule="auto"/>
              <w:jc w:val="left"/>
              <w:rPr>
                <w:rFonts w:ascii="Calibri" w:eastAsia="Times New Roman" w:hAnsi="Calibri"/>
                <w:b/>
                <w:bCs/>
                <w:color w:val="963634"/>
                <w:sz w:val="18"/>
                <w:szCs w:val="18"/>
                <w:lang w:eastAsia="en-AU" w:bidi="ar-SA"/>
              </w:rPr>
            </w:pPr>
            <w:r w:rsidRPr="00954D75">
              <w:rPr>
                <w:rFonts w:ascii="Calibri" w:eastAsia="Times New Roman" w:hAnsi="Calibri"/>
                <w:b/>
                <w:bCs/>
                <w:color w:val="963634"/>
                <w:sz w:val="18"/>
                <w:szCs w:val="18"/>
                <w:lang w:eastAsia="en-AU" w:bidi="ar-SA"/>
              </w:rPr>
              <w:t>B. Further diagnostic testing</w:t>
            </w:r>
          </w:p>
        </w:tc>
        <w:tc>
          <w:tcPr>
            <w:tcW w:w="1304" w:type="dxa"/>
            <w:tcBorders>
              <w:top w:val="nil"/>
              <w:left w:val="nil"/>
              <w:bottom w:val="nil"/>
              <w:right w:val="nil"/>
            </w:tcBorders>
            <w:shd w:val="clear" w:color="auto" w:fill="auto"/>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p>
        </w:tc>
        <w:tc>
          <w:tcPr>
            <w:tcW w:w="1134" w:type="dxa"/>
            <w:tcBorders>
              <w:top w:val="nil"/>
              <w:left w:val="single" w:sz="4" w:space="0" w:color="auto"/>
              <w:bottom w:val="nil"/>
              <w:right w:val="single" w:sz="4" w:space="0" w:color="auto"/>
            </w:tcBorders>
            <w:shd w:val="clear" w:color="auto" w:fill="auto"/>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p>
        </w:tc>
        <w:tc>
          <w:tcPr>
            <w:tcW w:w="1134" w:type="dxa"/>
            <w:tcBorders>
              <w:top w:val="nil"/>
              <w:left w:val="nil"/>
              <w:bottom w:val="nil"/>
              <w:right w:val="single" w:sz="4" w:space="0" w:color="auto"/>
            </w:tcBorders>
            <w:shd w:val="clear" w:color="auto" w:fill="auto"/>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p>
        </w:tc>
        <w:tc>
          <w:tcPr>
            <w:tcW w:w="1417" w:type="dxa"/>
            <w:tcBorders>
              <w:top w:val="nil"/>
              <w:left w:val="nil"/>
              <w:bottom w:val="nil"/>
              <w:right w:val="single" w:sz="4" w:space="0" w:color="auto"/>
            </w:tcBorders>
            <w:shd w:val="clear" w:color="auto" w:fill="auto"/>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p>
        </w:tc>
      </w:tr>
      <w:tr w:rsidR="00415BFD" w:rsidRPr="00954D75" w:rsidTr="00281404">
        <w:trPr>
          <w:trHeight w:val="300"/>
          <w:jc w:val="center"/>
        </w:trPr>
        <w:tc>
          <w:tcPr>
            <w:tcW w:w="3515" w:type="dxa"/>
            <w:tcBorders>
              <w:top w:val="nil"/>
              <w:left w:val="single" w:sz="4" w:space="0" w:color="auto"/>
              <w:bottom w:val="nil"/>
              <w:right w:val="single" w:sz="4" w:space="0" w:color="auto"/>
            </w:tcBorders>
            <w:shd w:val="clear" w:color="auto" w:fill="auto"/>
            <w:noWrap/>
            <w:vAlign w:val="center"/>
            <w:hideMark/>
          </w:tcPr>
          <w:p w:rsidR="00415BFD" w:rsidRPr="00954D75" w:rsidRDefault="00415BFD" w:rsidP="00281404">
            <w:pPr>
              <w:spacing w:line="240" w:lineRule="auto"/>
              <w:jc w:val="left"/>
              <w:rPr>
                <w:rFonts w:ascii="Calibri" w:eastAsia="Times New Roman" w:hAnsi="Calibri"/>
                <w:sz w:val="18"/>
                <w:szCs w:val="18"/>
                <w:lang w:eastAsia="en-AU" w:bidi="ar-SA"/>
              </w:rPr>
            </w:pPr>
            <w:r w:rsidRPr="00954D75">
              <w:rPr>
                <w:rFonts w:ascii="Calibri" w:eastAsia="Times New Roman" w:hAnsi="Calibri"/>
                <w:sz w:val="18"/>
                <w:szCs w:val="18"/>
                <w:lang w:eastAsia="en-AU" w:bidi="ar-SA"/>
              </w:rPr>
              <w:t xml:space="preserve">   Interview w/ school psychologist</w:t>
            </w:r>
          </w:p>
        </w:tc>
        <w:tc>
          <w:tcPr>
            <w:tcW w:w="1304" w:type="dxa"/>
            <w:tcBorders>
              <w:top w:val="nil"/>
              <w:left w:val="nil"/>
              <w:bottom w:val="nil"/>
              <w:right w:val="nil"/>
            </w:tcBorders>
            <w:shd w:val="clear" w:color="000000" w:fill="EBF1DE"/>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r w:rsidRPr="00954D75">
              <w:rPr>
                <w:rFonts w:ascii="Calibri" w:eastAsia="Times New Roman" w:hAnsi="Calibri"/>
                <w:color w:val="000000"/>
                <w:sz w:val="18"/>
                <w:szCs w:val="18"/>
                <w:lang w:eastAsia="en-AU" w:bidi="ar-SA"/>
              </w:rPr>
              <w:t>$             42.33</w:t>
            </w:r>
          </w:p>
        </w:tc>
        <w:tc>
          <w:tcPr>
            <w:tcW w:w="1134" w:type="dxa"/>
            <w:tcBorders>
              <w:top w:val="nil"/>
              <w:left w:val="single" w:sz="4" w:space="0" w:color="auto"/>
              <w:bottom w:val="nil"/>
              <w:right w:val="single" w:sz="4" w:space="0" w:color="auto"/>
            </w:tcBorders>
            <w:shd w:val="clear" w:color="000000" w:fill="EBF1DE"/>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r w:rsidRPr="00954D75">
              <w:rPr>
                <w:rFonts w:ascii="Calibri" w:eastAsia="Times New Roman" w:hAnsi="Calibri"/>
                <w:color w:val="000000"/>
                <w:sz w:val="18"/>
                <w:szCs w:val="18"/>
                <w:lang w:eastAsia="en-AU" w:bidi="ar-SA"/>
              </w:rPr>
              <w:t>184,372</w:t>
            </w:r>
          </w:p>
        </w:tc>
        <w:tc>
          <w:tcPr>
            <w:tcW w:w="1134" w:type="dxa"/>
            <w:tcBorders>
              <w:top w:val="nil"/>
              <w:left w:val="nil"/>
              <w:bottom w:val="nil"/>
              <w:right w:val="single" w:sz="4" w:space="0" w:color="auto"/>
            </w:tcBorders>
            <w:shd w:val="clear" w:color="000000" w:fill="EBF1DE"/>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r w:rsidRPr="00954D75">
              <w:rPr>
                <w:rFonts w:ascii="Calibri" w:eastAsia="Times New Roman" w:hAnsi="Calibri"/>
                <w:color w:val="000000"/>
                <w:sz w:val="18"/>
                <w:szCs w:val="18"/>
                <w:lang w:eastAsia="en-AU" w:bidi="ar-SA"/>
              </w:rPr>
              <w:t>0.5</w:t>
            </w:r>
          </w:p>
        </w:tc>
        <w:tc>
          <w:tcPr>
            <w:tcW w:w="1417" w:type="dxa"/>
            <w:tcBorders>
              <w:top w:val="nil"/>
              <w:left w:val="nil"/>
              <w:bottom w:val="nil"/>
              <w:right w:val="single" w:sz="4" w:space="0" w:color="auto"/>
            </w:tcBorders>
            <w:shd w:val="clear" w:color="auto" w:fill="auto"/>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r w:rsidRPr="00954D75">
              <w:rPr>
                <w:rFonts w:ascii="Calibri" w:eastAsia="Times New Roman" w:hAnsi="Calibri"/>
                <w:color w:val="000000"/>
                <w:sz w:val="18"/>
                <w:szCs w:val="18"/>
                <w:lang w:eastAsia="en-AU" w:bidi="ar-SA"/>
              </w:rPr>
              <w:t>$       4,119,069</w:t>
            </w:r>
          </w:p>
        </w:tc>
      </w:tr>
      <w:tr w:rsidR="00415BFD" w:rsidRPr="00954D75" w:rsidTr="00281404">
        <w:trPr>
          <w:trHeight w:val="300"/>
          <w:jc w:val="center"/>
        </w:trPr>
        <w:tc>
          <w:tcPr>
            <w:tcW w:w="3515" w:type="dxa"/>
            <w:tcBorders>
              <w:top w:val="nil"/>
              <w:left w:val="single" w:sz="4" w:space="0" w:color="auto"/>
              <w:bottom w:val="nil"/>
              <w:right w:val="single" w:sz="4" w:space="0" w:color="auto"/>
            </w:tcBorders>
            <w:shd w:val="clear" w:color="auto" w:fill="auto"/>
            <w:noWrap/>
            <w:vAlign w:val="center"/>
            <w:hideMark/>
          </w:tcPr>
          <w:p w:rsidR="00415BFD" w:rsidRPr="00954D75" w:rsidRDefault="00415BFD" w:rsidP="00281404">
            <w:pPr>
              <w:spacing w:line="240" w:lineRule="auto"/>
              <w:jc w:val="left"/>
              <w:rPr>
                <w:rFonts w:ascii="Calibri" w:eastAsia="Times New Roman" w:hAnsi="Calibri"/>
                <w:sz w:val="18"/>
                <w:szCs w:val="18"/>
                <w:lang w:eastAsia="en-AU" w:bidi="ar-SA"/>
              </w:rPr>
            </w:pPr>
            <w:r w:rsidRPr="00954D75">
              <w:rPr>
                <w:rFonts w:ascii="Calibri" w:eastAsia="Times New Roman" w:hAnsi="Calibri"/>
                <w:sz w:val="18"/>
                <w:szCs w:val="18"/>
                <w:lang w:eastAsia="en-AU" w:bidi="ar-SA"/>
              </w:rPr>
              <w:t> </w:t>
            </w:r>
          </w:p>
        </w:tc>
        <w:tc>
          <w:tcPr>
            <w:tcW w:w="1304" w:type="dxa"/>
            <w:tcBorders>
              <w:top w:val="nil"/>
              <w:left w:val="nil"/>
              <w:bottom w:val="nil"/>
              <w:right w:val="nil"/>
            </w:tcBorders>
            <w:shd w:val="clear" w:color="auto" w:fill="auto"/>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p>
        </w:tc>
        <w:tc>
          <w:tcPr>
            <w:tcW w:w="1134" w:type="dxa"/>
            <w:tcBorders>
              <w:top w:val="nil"/>
              <w:left w:val="single" w:sz="4" w:space="0" w:color="auto"/>
              <w:bottom w:val="nil"/>
              <w:right w:val="single" w:sz="4" w:space="0" w:color="auto"/>
            </w:tcBorders>
            <w:shd w:val="clear" w:color="auto" w:fill="auto"/>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p>
        </w:tc>
        <w:tc>
          <w:tcPr>
            <w:tcW w:w="1134" w:type="dxa"/>
            <w:tcBorders>
              <w:top w:val="nil"/>
              <w:left w:val="nil"/>
              <w:bottom w:val="nil"/>
              <w:right w:val="single" w:sz="4" w:space="0" w:color="auto"/>
            </w:tcBorders>
            <w:shd w:val="clear" w:color="auto" w:fill="auto"/>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p>
        </w:tc>
        <w:tc>
          <w:tcPr>
            <w:tcW w:w="1417" w:type="dxa"/>
            <w:tcBorders>
              <w:top w:val="nil"/>
              <w:left w:val="nil"/>
              <w:bottom w:val="nil"/>
              <w:right w:val="single" w:sz="4" w:space="0" w:color="auto"/>
            </w:tcBorders>
            <w:shd w:val="clear" w:color="auto" w:fill="auto"/>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p>
        </w:tc>
      </w:tr>
      <w:tr w:rsidR="00415BFD" w:rsidRPr="00954D75" w:rsidTr="00281404">
        <w:trPr>
          <w:trHeight w:val="300"/>
          <w:jc w:val="center"/>
        </w:trPr>
        <w:tc>
          <w:tcPr>
            <w:tcW w:w="3515" w:type="dxa"/>
            <w:tcBorders>
              <w:top w:val="nil"/>
              <w:left w:val="single" w:sz="4" w:space="0" w:color="auto"/>
              <w:bottom w:val="nil"/>
              <w:right w:val="single" w:sz="4" w:space="0" w:color="auto"/>
            </w:tcBorders>
            <w:shd w:val="clear" w:color="auto" w:fill="auto"/>
            <w:noWrap/>
            <w:vAlign w:val="center"/>
            <w:hideMark/>
          </w:tcPr>
          <w:p w:rsidR="00415BFD" w:rsidRPr="00954D75" w:rsidRDefault="00415BFD" w:rsidP="00281404">
            <w:pPr>
              <w:spacing w:line="240" w:lineRule="auto"/>
              <w:jc w:val="left"/>
              <w:rPr>
                <w:rFonts w:ascii="Calibri" w:eastAsia="Times New Roman" w:hAnsi="Calibri"/>
                <w:b/>
                <w:bCs/>
                <w:color w:val="963634"/>
                <w:sz w:val="18"/>
                <w:szCs w:val="18"/>
                <w:lang w:eastAsia="en-AU" w:bidi="ar-SA"/>
              </w:rPr>
            </w:pPr>
            <w:r w:rsidRPr="00954D75">
              <w:rPr>
                <w:rFonts w:ascii="Calibri" w:eastAsia="Times New Roman" w:hAnsi="Calibri"/>
                <w:b/>
                <w:bCs/>
                <w:color w:val="963634"/>
                <w:sz w:val="18"/>
                <w:szCs w:val="18"/>
                <w:lang w:eastAsia="en-AU" w:bidi="ar-SA"/>
              </w:rPr>
              <w:t>C. Intervention delivery</w:t>
            </w:r>
          </w:p>
        </w:tc>
        <w:tc>
          <w:tcPr>
            <w:tcW w:w="1304" w:type="dxa"/>
            <w:tcBorders>
              <w:top w:val="nil"/>
              <w:left w:val="nil"/>
              <w:bottom w:val="nil"/>
              <w:right w:val="nil"/>
            </w:tcBorders>
            <w:shd w:val="clear" w:color="auto" w:fill="auto"/>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p>
        </w:tc>
        <w:tc>
          <w:tcPr>
            <w:tcW w:w="1134" w:type="dxa"/>
            <w:tcBorders>
              <w:top w:val="nil"/>
              <w:left w:val="single" w:sz="4" w:space="0" w:color="auto"/>
              <w:bottom w:val="nil"/>
              <w:right w:val="single" w:sz="4" w:space="0" w:color="auto"/>
            </w:tcBorders>
            <w:shd w:val="clear" w:color="auto" w:fill="auto"/>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p>
        </w:tc>
        <w:tc>
          <w:tcPr>
            <w:tcW w:w="1134" w:type="dxa"/>
            <w:tcBorders>
              <w:top w:val="nil"/>
              <w:left w:val="nil"/>
              <w:bottom w:val="nil"/>
              <w:right w:val="single" w:sz="4" w:space="0" w:color="auto"/>
            </w:tcBorders>
            <w:shd w:val="clear" w:color="auto" w:fill="auto"/>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p>
        </w:tc>
        <w:tc>
          <w:tcPr>
            <w:tcW w:w="1417" w:type="dxa"/>
            <w:tcBorders>
              <w:top w:val="nil"/>
              <w:left w:val="nil"/>
              <w:bottom w:val="nil"/>
              <w:right w:val="single" w:sz="4" w:space="0" w:color="auto"/>
            </w:tcBorders>
            <w:shd w:val="clear" w:color="auto" w:fill="auto"/>
            <w:noWrap/>
            <w:vAlign w:val="center"/>
            <w:hideMark/>
          </w:tcPr>
          <w:p w:rsidR="00415BFD" w:rsidRPr="00954D75" w:rsidRDefault="00415BFD" w:rsidP="00281404">
            <w:pPr>
              <w:spacing w:line="240" w:lineRule="auto"/>
              <w:jc w:val="center"/>
              <w:rPr>
                <w:rFonts w:ascii="Calibri" w:eastAsia="Times New Roman" w:hAnsi="Calibri"/>
                <w:color w:val="000000"/>
                <w:sz w:val="18"/>
                <w:szCs w:val="18"/>
                <w:lang w:eastAsia="en-AU" w:bidi="ar-SA"/>
              </w:rPr>
            </w:pPr>
          </w:p>
        </w:tc>
      </w:tr>
      <w:tr w:rsidR="00415BFD" w:rsidRPr="00954D75" w:rsidTr="00281404">
        <w:trPr>
          <w:trHeight w:val="300"/>
          <w:jc w:val="center"/>
        </w:trPr>
        <w:tc>
          <w:tcPr>
            <w:tcW w:w="3515" w:type="dxa"/>
            <w:tcBorders>
              <w:top w:val="nil"/>
              <w:left w:val="single" w:sz="4" w:space="0" w:color="auto"/>
              <w:bottom w:val="nil"/>
              <w:right w:val="single" w:sz="4" w:space="0" w:color="auto"/>
            </w:tcBorders>
            <w:shd w:val="clear" w:color="auto" w:fill="auto"/>
            <w:noWrap/>
            <w:vAlign w:val="center"/>
            <w:hideMark/>
          </w:tcPr>
          <w:p w:rsidR="00415BFD" w:rsidRPr="00051F1C" w:rsidRDefault="00415BFD" w:rsidP="00281404">
            <w:pPr>
              <w:jc w:val="left"/>
              <w:rPr>
                <w:rFonts w:ascii="Calibri" w:hAnsi="Calibri"/>
                <w:sz w:val="18"/>
              </w:rPr>
            </w:pPr>
            <w:r w:rsidRPr="00051F1C">
              <w:rPr>
                <w:rFonts w:ascii="Calibri" w:hAnsi="Calibri"/>
                <w:sz w:val="18"/>
              </w:rPr>
              <w:t xml:space="preserve">   </w:t>
            </w:r>
            <w:r w:rsidRPr="006F54D7">
              <w:rPr>
                <w:rFonts w:ascii="Calibri" w:eastAsia="Times New Roman" w:hAnsi="Calibri"/>
                <w:sz w:val="18"/>
                <w:szCs w:val="18"/>
                <w:lang w:eastAsia="en-AU" w:bidi="ar-SA"/>
              </w:rPr>
              <w:t>Annual subscription to ThisWayUp</w:t>
            </w:r>
          </w:p>
        </w:tc>
        <w:tc>
          <w:tcPr>
            <w:tcW w:w="1304" w:type="dxa"/>
            <w:tcBorders>
              <w:top w:val="nil"/>
              <w:left w:val="nil"/>
              <w:bottom w:val="nil"/>
              <w:right w:val="nil"/>
            </w:tcBorders>
            <w:shd w:val="clear" w:color="000000" w:fill="EBF1DE"/>
            <w:noWrap/>
            <w:vAlign w:val="center"/>
            <w:hideMark/>
          </w:tcPr>
          <w:p w:rsidR="00415BFD" w:rsidRPr="00051F1C" w:rsidRDefault="00415BFD" w:rsidP="00281404">
            <w:pPr>
              <w:jc w:val="center"/>
              <w:rPr>
                <w:rFonts w:ascii="Calibri" w:hAnsi="Calibri"/>
                <w:color w:val="000000"/>
                <w:sz w:val="18"/>
              </w:rPr>
            </w:pPr>
            <w:r w:rsidRPr="00051F1C">
              <w:rPr>
                <w:rFonts w:ascii="Calibri" w:hAnsi="Calibri"/>
                <w:color w:val="000000"/>
                <w:sz w:val="18"/>
              </w:rPr>
              <w:t>$             10.87</w:t>
            </w:r>
          </w:p>
        </w:tc>
        <w:tc>
          <w:tcPr>
            <w:tcW w:w="1134" w:type="dxa"/>
            <w:tcBorders>
              <w:top w:val="nil"/>
              <w:left w:val="single" w:sz="4" w:space="0" w:color="auto"/>
              <w:bottom w:val="nil"/>
              <w:right w:val="single" w:sz="4" w:space="0" w:color="auto"/>
            </w:tcBorders>
            <w:shd w:val="clear" w:color="000000" w:fill="EBF1DE"/>
            <w:noWrap/>
            <w:vAlign w:val="center"/>
            <w:hideMark/>
          </w:tcPr>
          <w:p w:rsidR="00415BFD" w:rsidRPr="00051F1C" w:rsidRDefault="00415BFD" w:rsidP="00281404">
            <w:pPr>
              <w:jc w:val="center"/>
              <w:rPr>
                <w:rFonts w:ascii="Calibri" w:hAnsi="Calibri"/>
                <w:color w:val="000000"/>
                <w:sz w:val="18"/>
              </w:rPr>
            </w:pPr>
            <w:r w:rsidRPr="00051F1C">
              <w:rPr>
                <w:rFonts w:ascii="Calibri" w:hAnsi="Calibri"/>
                <w:color w:val="000000"/>
                <w:sz w:val="18"/>
              </w:rPr>
              <w:t>161,835</w:t>
            </w:r>
          </w:p>
        </w:tc>
        <w:tc>
          <w:tcPr>
            <w:tcW w:w="1134" w:type="dxa"/>
            <w:tcBorders>
              <w:top w:val="nil"/>
              <w:left w:val="nil"/>
              <w:bottom w:val="nil"/>
              <w:right w:val="single" w:sz="4" w:space="0" w:color="auto"/>
            </w:tcBorders>
            <w:shd w:val="clear" w:color="000000" w:fill="EBF1DE"/>
            <w:noWrap/>
            <w:vAlign w:val="center"/>
            <w:hideMark/>
          </w:tcPr>
          <w:p w:rsidR="00415BFD" w:rsidRPr="00051F1C" w:rsidRDefault="00415BFD" w:rsidP="00281404">
            <w:pPr>
              <w:jc w:val="center"/>
              <w:rPr>
                <w:rFonts w:ascii="Calibri" w:hAnsi="Calibri"/>
                <w:color w:val="000000"/>
                <w:sz w:val="18"/>
              </w:rPr>
            </w:pPr>
            <w:r w:rsidRPr="00051F1C">
              <w:rPr>
                <w:rFonts w:ascii="Calibri" w:hAnsi="Calibri"/>
                <w:color w:val="000000"/>
                <w:sz w:val="18"/>
              </w:rPr>
              <w:t>0.8</w:t>
            </w:r>
          </w:p>
        </w:tc>
        <w:tc>
          <w:tcPr>
            <w:tcW w:w="1417" w:type="dxa"/>
            <w:tcBorders>
              <w:top w:val="nil"/>
              <w:left w:val="nil"/>
              <w:bottom w:val="nil"/>
              <w:right w:val="single" w:sz="4" w:space="0" w:color="auto"/>
            </w:tcBorders>
            <w:shd w:val="clear" w:color="auto" w:fill="auto"/>
            <w:noWrap/>
            <w:vAlign w:val="center"/>
            <w:hideMark/>
          </w:tcPr>
          <w:p w:rsidR="00415BFD" w:rsidRPr="00051F1C" w:rsidRDefault="00415BFD" w:rsidP="00281404">
            <w:pPr>
              <w:jc w:val="center"/>
              <w:rPr>
                <w:rFonts w:ascii="Calibri" w:hAnsi="Calibri"/>
                <w:color w:val="000000"/>
                <w:sz w:val="18"/>
              </w:rPr>
            </w:pPr>
            <w:r w:rsidRPr="00051F1C">
              <w:rPr>
                <w:rFonts w:ascii="Calibri" w:hAnsi="Calibri"/>
                <w:color w:val="000000"/>
                <w:sz w:val="18"/>
              </w:rPr>
              <w:t>$       1,759,079</w:t>
            </w:r>
          </w:p>
        </w:tc>
      </w:tr>
      <w:tr w:rsidR="00415BFD" w:rsidRPr="00954D75" w:rsidTr="00F035BA">
        <w:trPr>
          <w:trHeight w:val="170"/>
          <w:jc w:val="center"/>
        </w:trPr>
        <w:tc>
          <w:tcPr>
            <w:tcW w:w="3515" w:type="dxa"/>
            <w:tcBorders>
              <w:top w:val="nil"/>
              <w:left w:val="single" w:sz="4" w:space="0" w:color="auto"/>
              <w:bottom w:val="single" w:sz="4" w:space="0" w:color="auto"/>
              <w:right w:val="single" w:sz="4" w:space="0" w:color="auto"/>
            </w:tcBorders>
            <w:shd w:val="clear" w:color="auto" w:fill="auto"/>
            <w:noWrap/>
            <w:vAlign w:val="bottom"/>
          </w:tcPr>
          <w:p w:rsidR="00415BFD" w:rsidRPr="00954D75" w:rsidRDefault="00415BFD" w:rsidP="00954D75">
            <w:pPr>
              <w:spacing w:line="240" w:lineRule="auto"/>
              <w:jc w:val="left"/>
              <w:rPr>
                <w:rFonts w:ascii="Calibri" w:eastAsia="Times New Roman" w:hAnsi="Calibri"/>
                <w:sz w:val="18"/>
                <w:szCs w:val="18"/>
                <w:lang w:eastAsia="en-AU" w:bidi="ar-SA"/>
              </w:rPr>
            </w:pPr>
          </w:p>
        </w:tc>
        <w:tc>
          <w:tcPr>
            <w:tcW w:w="1304" w:type="dxa"/>
            <w:tcBorders>
              <w:top w:val="nil"/>
              <w:left w:val="nil"/>
              <w:bottom w:val="single" w:sz="4" w:space="0" w:color="auto"/>
              <w:right w:val="nil"/>
            </w:tcBorders>
            <w:shd w:val="clear" w:color="auto" w:fill="auto"/>
            <w:noWrap/>
            <w:vAlign w:val="bottom"/>
          </w:tcPr>
          <w:p w:rsidR="00415BFD" w:rsidRPr="00954D75" w:rsidRDefault="00415BFD" w:rsidP="00954D75">
            <w:pPr>
              <w:spacing w:line="240" w:lineRule="auto"/>
              <w:jc w:val="left"/>
              <w:rPr>
                <w:rFonts w:ascii="Calibri" w:eastAsia="Times New Roman" w:hAnsi="Calibri"/>
                <w:color w:val="000000"/>
                <w:sz w:val="18"/>
                <w:szCs w:val="18"/>
                <w:lang w:eastAsia="en-AU" w:bidi="ar-SA"/>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415BFD" w:rsidRPr="00954D75" w:rsidRDefault="00415BFD" w:rsidP="00954D75">
            <w:pPr>
              <w:spacing w:line="240" w:lineRule="auto"/>
              <w:jc w:val="center"/>
              <w:rPr>
                <w:rFonts w:ascii="Calibri" w:eastAsia="Times New Roman" w:hAnsi="Calibri"/>
                <w:color w:val="000000"/>
                <w:sz w:val="18"/>
                <w:szCs w:val="18"/>
                <w:lang w:eastAsia="en-AU" w:bidi="ar-SA"/>
              </w:rPr>
            </w:pPr>
          </w:p>
        </w:tc>
        <w:tc>
          <w:tcPr>
            <w:tcW w:w="1134" w:type="dxa"/>
            <w:tcBorders>
              <w:top w:val="nil"/>
              <w:left w:val="nil"/>
              <w:bottom w:val="single" w:sz="4" w:space="0" w:color="auto"/>
              <w:right w:val="single" w:sz="4" w:space="0" w:color="auto"/>
            </w:tcBorders>
            <w:shd w:val="clear" w:color="auto" w:fill="auto"/>
            <w:noWrap/>
            <w:vAlign w:val="bottom"/>
          </w:tcPr>
          <w:p w:rsidR="00415BFD" w:rsidRPr="00954D75" w:rsidRDefault="00415BFD" w:rsidP="00954D75">
            <w:pPr>
              <w:spacing w:line="240" w:lineRule="auto"/>
              <w:jc w:val="center"/>
              <w:rPr>
                <w:rFonts w:ascii="Calibri" w:eastAsia="Times New Roman" w:hAnsi="Calibri"/>
                <w:color w:val="000000"/>
                <w:sz w:val="18"/>
                <w:szCs w:val="18"/>
                <w:lang w:eastAsia="en-AU" w:bidi="ar-SA"/>
              </w:rPr>
            </w:pPr>
          </w:p>
        </w:tc>
        <w:tc>
          <w:tcPr>
            <w:tcW w:w="1417" w:type="dxa"/>
            <w:tcBorders>
              <w:top w:val="nil"/>
              <w:left w:val="nil"/>
              <w:bottom w:val="single" w:sz="4" w:space="0" w:color="auto"/>
              <w:right w:val="single" w:sz="4" w:space="0" w:color="auto"/>
            </w:tcBorders>
            <w:shd w:val="clear" w:color="auto" w:fill="auto"/>
            <w:noWrap/>
            <w:vAlign w:val="bottom"/>
          </w:tcPr>
          <w:p w:rsidR="00415BFD" w:rsidRPr="00954D75" w:rsidRDefault="00415BFD" w:rsidP="00954D75">
            <w:pPr>
              <w:spacing w:line="240" w:lineRule="auto"/>
              <w:jc w:val="left"/>
              <w:rPr>
                <w:rFonts w:ascii="Calibri" w:eastAsia="Times New Roman" w:hAnsi="Calibri"/>
                <w:color w:val="000000"/>
                <w:sz w:val="18"/>
                <w:szCs w:val="18"/>
                <w:lang w:eastAsia="en-AU" w:bidi="ar-SA"/>
              </w:rPr>
            </w:pPr>
          </w:p>
        </w:tc>
      </w:tr>
    </w:tbl>
    <w:p w:rsidR="00415BFD" w:rsidRDefault="00415BFD" w:rsidP="00CD4BEB">
      <w:pPr>
        <w:rPr>
          <w:lang w:bidi="ar-SA"/>
        </w:rPr>
      </w:pPr>
    </w:p>
    <w:p w:rsidR="00415BFD" w:rsidRDefault="00415BFD" w:rsidP="00CD4BEB">
      <w:pPr>
        <w:rPr>
          <w:lang w:bidi="ar-SA"/>
        </w:rPr>
      </w:pPr>
    </w:p>
    <w:p w:rsidR="00415BFD" w:rsidRDefault="00415BFD" w:rsidP="00CD4BEB">
      <w:pPr>
        <w:pStyle w:val="Heading3"/>
      </w:pPr>
      <w:bookmarkStart w:id="172" w:name="_Ref451442111"/>
      <w:bookmarkStart w:id="173" w:name="_Toc452066413"/>
      <w:r>
        <w:t>Cost offsets</w:t>
      </w:r>
      <w:bookmarkEnd w:id="172"/>
      <w:bookmarkEnd w:id="173"/>
    </w:p>
    <w:p w:rsidR="00415BFD" w:rsidRDefault="00415BFD" w:rsidP="007C7C28">
      <w:r>
        <w:t xml:space="preserve">Our baseline analysis included the impact of cost offsets – i.e., the costs of treating major depression that are averted due to the prevention of incident cases. The average annual cost of treating a prevalent case of depression was calculated by: taking data from a 2010 </w:t>
      </w:r>
      <w:r w:rsidRPr="00D33D3F">
        <w:t xml:space="preserve">AIHW </w:t>
      </w:r>
      <w:r>
        <w:t xml:space="preserve">disease expenditure report on the combined expenditures attributable to both depression and anxiety </w:t>
      </w:r>
      <w:r>
        <w:rPr>
          <w:noProof/>
        </w:rPr>
        <w:t>[24]</w:t>
      </w:r>
      <w:r>
        <w:t xml:space="preserve">; and using comorbidity data sourced from the 2007 NSMHWB to calculate the expenditures attributable to the total envelope of depression </w:t>
      </w:r>
      <w:r>
        <w:rPr>
          <w:noProof/>
        </w:rPr>
        <w:t>[25]</w:t>
      </w:r>
      <w:r>
        <w:t>. From this, we calculated the average annual cost offset for a treated case of depression to be $1,182 (SE: 104).</w:t>
      </w:r>
    </w:p>
    <w:p w:rsidR="00415BFD" w:rsidRDefault="00415BFD">
      <w:pPr>
        <w:spacing w:line="240" w:lineRule="auto"/>
        <w:jc w:val="left"/>
      </w:pPr>
      <w:r>
        <w:br w:type="page"/>
      </w:r>
    </w:p>
    <w:p w:rsidR="00415BFD" w:rsidRDefault="00415BFD" w:rsidP="00B54903">
      <w:pPr>
        <w:pStyle w:val="Heading1"/>
      </w:pPr>
      <w:bookmarkStart w:id="174" w:name="_Ref450750877"/>
      <w:bookmarkStart w:id="175" w:name="_Toc452066414"/>
      <w:r>
        <w:lastRenderedPageBreak/>
        <w:t>Sensitivity analysis</w:t>
      </w:r>
      <w:bookmarkEnd w:id="174"/>
      <w:bookmarkEnd w:id="175"/>
    </w:p>
    <w:p w:rsidR="00415BFD" w:rsidRDefault="00415BFD" w:rsidP="003B1E45">
      <w:pPr>
        <w:pStyle w:val="Heading3"/>
      </w:pPr>
      <w:bookmarkStart w:id="176" w:name="_Toc452066415"/>
      <w:r>
        <w:t>Overview</w:t>
      </w:r>
      <w:bookmarkEnd w:id="176"/>
    </w:p>
    <w:p w:rsidR="00415BFD" w:rsidRDefault="00415BFD" w:rsidP="003B1E45">
      <w:pPr>
        <w:rPr>
          <w:lang w:bidi="ar-SA"/>
        </w:rPr>
      </w:pPr>
      <w:r>
        <w:rPr>
          <w:lang w:bidi="ar-SA"/>
        </w:rPr>
        <w:t>This section provides detailed methods outlining the methods used to conduct a series of</w:t>
      </w:r>
      <w:r w:rsidRPr="00DE0FF1">
        <w:rPr>
          <w:lang w:bidi="ar-SA"/>
        </w:rPr>
        <w:t xml:space="preserve"> univariate sensitivity analyses to evaluate the impact of: excluding cost offsets</w:t>
      </w:r>
      <w:r>
        <w:rPr>
          <w:lang w:bidi="ar-SA"/>
        </w:rPr>
        <w:t xml:space="preserve"> (section </w:t>
      </w:r>
      <w:r>
        <w:rPr>
          <w:lang w:bidi="ar-SA"/>
        </w:rPr>
        <w:fldChar w:fldCharType="begin"/>
      </w:r>
      <w:r>
        <w:rPr>
          <w:lang w:bidi="ar-SA"/>
        </w:rPr>
        <w:instrText xml:space="preserve"> REF _Ref451441836 \n \h </w:instrText>
      </w:r>
      <w:r>
        <w:rPr>
          <w:lang w:bidi="ar-SA"/>
        </w:rPr>
      </w:r>
      <w:r>
        <w:rPr>
          <w:lang w:bidi="ar-SA"/>
        </w:rPr>
        <w:fldChar w:fldCharType="separate"/>
      </w:r>
      <w:r>
        <w:rPr>
          <w:lang w:bidi="ar-SA"/>
        </w:rPr>
        <w:t>6.2</w:t>
      </w:r>
      <w:r>
        <w:rPr>
          <w:lang w:bidi="ar-SA"/>
        </w:rPr>
        <w:fldChar w:fldCharType="end"/>
      </w:r>
      <w:r>
        <w:rPr>
          <w:lang w:bidi="ar-SA"/>
        </w:rPr>
        <w:t xml:space="preserve">); </w:t>
      </w:r>
      <w:r w:rsidRPr="00DE0FF1">
        <w:rPr>
          <w:lang w:bidi="ar-SA"/>
        </w:rPr>
        <w:t>including time and travel costs</w:t>
      </w:r>
      <w:r>
        <w:rPr>
          <w:lang w:bidi="ar-SA"/>
        </w:rPr>
        <w:t xml:space="preserve"> (section </w:t>
      </w:r>
      <w:r>
        <w:rPr>
          <w:lang w:bidi="ar-SA"/>
        </w:rPr>
        <w:fldChar w:fldCharType="begin"/>
      </w:r>
      <w:r>
        <w:rPr>
          <w:lang w:bidi="ar-SA"/>
        </w:rPr>
        <w:instrText xml:space="preserve"> REF _Ref451441863 \n \h </w:instrText>
      </w:r>
      <w:r>
        <w:rPr>
          <w:lang w:bidi="ar-SA"/>
        </w:rPr>
      </w:r>
      <w:r>
        <w:rPr>
          <w:lang w:bidi="ar-SA"/>
        </w:rPr>
        <w:fldChar w:fldCharType="separate"/>
      </w:r>
      <w:r>
        <w:rPr>
          <w:lang w:bidi="ar-SA"/>
        </w:rPr>
        <w:t>6.3</w:t>
      </w:r>
      <w:r>
        <w:rPr>
          <w:lang w:bidi="ar-SA"/>
        </w:rPr>
        <w:fldChar w:fldCharType="end"/>
      </w:r>
      <w:r>
        <w:rPr>
          <w:lang w:bidi="ar-SA"/>
        </w:rPr>
        <w:t xml:space="preserve">); </w:t>
      </w:r>
      <w:r w:rsidRPr="00DE0FF1">
        <w:rPr>
          <w:lang w:bidi="ar-SA"/>
        </w:rPr>
        <w:t>assuming a school participation rate of 50%, instead of 100%</w:t>
      </w:r>
      <w:r>
        <w:rPr>
          <w:lang w:bidi="ar-SA"/>
        </w:rPr>
        <w:t xml:space="preserve"> (section </w:t>
      </w:r>
      <w:r>
        <w:rPr>
          <w:lang w:bidi="ar-SA"/>
        </w:rPr>
        <w:fldChar w:fldCharType="begin"/>
      </w:r>
      <w:r>
        <w:rPr>
          <w:lang w:bidi="ar-SA"/>
        </w:rPr>
        <w:instrText xml:space="preserve"> REF _Ref451441868 \n \h </w:instrText>
      </w:r>
      <w:r>
        <w:rPr>
          <w:lang w:bidi="ar-SA"/>
        </w:rPr>
      </w:r>
      <w:r>
        <w:rPr>
          <w:lang w:bidi="ar-SA"/>
        </w:rPr>
        <w:fldChar w:fldCharType="separate"/>
      </w:r>
      <w:r>
        <w:rPr>
          <w:lang w:bidi="ar-SA"/>
        </w:rPr>
        <w:t>6.4</w:t>
      </w:r>
      <w:r>
        <w:rPr>
          <w:lang w:bidi="ar-SA"/>
        </w:rPr>
        <w:fldChar w:fldCharType="end"/>
      </w:r>
      <w:r>
        <w:rPr>
          <w:lang w:bidi="ar-SA"/>
        </w:rPr>
        <w:t>)</w:t>
      </w:r>
      <w:r w:rsidRPr="00DE0FF1">
        <w:rPr>
          <w:lang w:bidi="ar-SA"/>
        </w:rPr>
        <w:t>; modelling non-significant intervention effect sizes and extrapolating an exponential decay rate over time</w:t>
      </w:r>
      <w:r>
        <w:rPr>
          <w:lang w:bidi="ar-SA"/>
        </w:rPr>
        <w:t xml:space="preserve"> (section </w:t>
      </w:r>
      <w:r>
        <w:rPr>
          <w:lang w:bidi="ar-SA"/>
        </w:rPr>
        <w:fldChar w:fldCharType="begin"/>
      </w:r>
      <w:r>
        <w:rPr>
          <w:lang w:bidi="ar-SA"/>
        </w:rPr>
        <w:instrText xml:space="preserve"> REF _Ref451441875 \n \h </w:instrText>
      </w:r>
      <w:r>
        <w:rPr>
          <w:lang w:bidi="ar-SA"/>
        </w:rPr>
      </w:r>
      <w:r>
        <w:rPr>
          <w:lang w:bidi="ar-SA"/>
        </w:rPr>
        <w:fldChar w:fldCharType="separate"/>
      </w:r>
      <w:r>
        <w:rPr>
          <w:lang w:bidi="ar-SA"/>
        </w:rPr>
        <w:t>6.5</w:t>
      </w:r>
      <w:r>
        <w:rPr>
          <w:lang w:bidi="ar-SA"/>
        </w:rPr>
        <w:fldChar w:fldCharType="end"/>
      </w:r>
      <w:r>
        <w:rPr>
          <w:lang w:bidi="ar-SA"/>
        </w:rPr>
        <w:t>)</w:t>
      </w:r>
      <w:r w:rsidRPr="00DE0FF1">
        <w:rPr>
          <w:lang w:bidi="ar-SA"/>
        </w:rPr>
        <w:t>; modelling effect sizes based on RCTs using structured clinical interviews</w:t>
      </w:r>
      <w:r>
        <w:rPr>
          <w:lang w:bidi="ar-SA"/>
        </w:rPr>
        <w:t xml:space="preserve"> (section </w:t>
      </w:r>
      <w:r>
        <w:rPr>
          <w:lang w:bidi="ar-SA"/>
        </w:rPr>
        <w:fldChar w:fldCharType="begin"/>
      </w:r>
      <w:r>
        <w:rPr>
          <w:lang w:bidi="ar-SA"/>
        </w:rPr>
        <w:instrText xml:space="preserve"> REF _Ref451441880 \n \h </w:instrText>
      </w:r>
      <w:r>
        <w:rPr>
          <w:lang w:bidi="ar-SA"/>
        </w:rPr>
      </w:r>
      <w:r>
        <w:rPr>
          <w:lang w:bidi="ar-SA"/>
        </w:rPr>
        <w:fldChar w:fldCharType="separate"/>
      </w:r>
      <w:r>
        <w:rPr>
          <w:lang w:bidi="ar-SA"/>
        </w:rPr>
        <w:t>6.6</w:t>
      </w:r>
      <w:r>
        <w:rPr>
          <w:lang w:bidi="ar-SA"/>
        </w:rPr>
        <w:fldChar w:fldCharType="end"/>
      </w:r>
      <w:r>
        <w:rPr>
          <w:lang w:bidi="ar-SA"/>
        </w:rPr>
        <w:t>)</w:t>
      </w:r>
      <w:r w:rsidRPr="00DE0FF1">
        <w:rPr>
          <w:lang w:bidi="ar-SA"/>
        </w:rPr>
        <w:t xml:space="preserve">; modelling effect sizes </w:t>
      </w:r>
      <w:r>
        <w:rPr>
          <w:lang w:bidi="ar-SA"/>
        </w:rPr>
        <w:t>based on</w:t>
      </w:r>
      <w:r w:rsidRPr="00DE0FF1">
        <w:rPr>
          <w:lang w:bidi="ar-SA"/>
        </w:rPr>
        <w:t xml:space="preserve"> RCTs that use ITT analysis</w:t>
      </w:r>
      <w:r>
        <w:rPr>
          <w:lang w:bidi="ar-SA"/>
        </w:rPr>
        <w:t xml:space="preserve"> (section </w:t>
      </w:r>
      <w:r>
        <w:rPr>
          <w:lang w:bidi="ar-SA"/>
        </w:rPr>
        <w:fldChar w:fldCharType="begin"/>
      </w:r>
      <w:r>
        <w:rPr>
          <w:lang w:bidi="ar-SA"/>
        </w:rPr>
        <w:instrText xml:space="preserve"> REF _Ref451441887 \n \h </w:instrText>
      </w:r>
      <w:r>
        <w:rPr>
          <w:lang w:bidi="ar-SA"/>
        </w:rPr>
      </w:r>
      <w:r>
        <w:rPr>
          <w:lang w:bidi="ar-SA"/>
        </w:rPr>
        <w:fldChar w:fldCharType="separate"/>
      </w:r>
      <w:r>
        <w:rPr>
          <w:lang w:bidi="ar-SA"/>
        </w:rPr>
        <w:t>6.7</w:t>
      </w:r>
      <w:r>
        <w:rPr>
          <w:lang w:bidi="ar-SA"/>
        </w:rPr>
        <w:fldChar w:fldCharType="end"/>
      </w:r>
      <w:r>
        <w:rPr>
          <w:lang w:bidi="ar-SA"/>
        </w:rPr>
        <w:t>)</w:t>
      </w:r>
      <w:r w:rsidRPr="00DE0FF1">
        <w:rPr>
          <w:lang w:bidi="ar-SA"/>
        </w:rPr>
        <w:t>; using a weighted average disability weight based on an alternative severity distribution derived from DSM-IV algorithms for mild, moderate and severe depression</w:t>
      </w:r>
      <w:r>
        <w:rPr>
          <w:lang w:bidi="ar-SA"/>
        </w:rPr>
        <w:t xml:space="preserve"> (section </w:t>
      </w:r>
      <w:r>
        <w:rPr>
          <w:lang w:bidi="ar-SA"/>
        </w:rPr>
        <w:fldChar w:fldCharType="begin"/>
      </w:r>
      <w:r>
        <w:rPr>
          <w:lang w:bidi="ar-SA"/>
        </w:rPr>
        <w:instrText xml:space="preserve"> REF _Ref451441891 \n \h </w:instrText>
      </w:r>
      <w:r>
        <w:rPr>
          <w:lang w:bidi="ar-SA"/>
        </w:rPr>
      </w:r>
      <w:r>
        <w:rPr>
          <w:lang w:bidi="ar-SA"/>
        </w:rPr>
        <w:fldChar w:fldCharType="separate"/>
      </w:r>
      <w:r>
        <w:rPr>
          <w:lang w:bidi="ar-SA"/>
        </w:rPr>
        <w:t>6.8</w:t>
      </w:r>
      <w:r>
        <w:rPr>
          <w:lang w:bidi="ar-SA"/>
        </w:rPr>
        <w:fldChar w:fldCharType="end"/>
      </w:r>
      <w:r>
        <w:rPr>
          <w:lang w:bidi="ar-SA"/>
        </w:rPr>
        <w:t>)</w:t>
      </w:r>
      <w:r w:rsidRPr="00DE0FF1">
        <w:rPr>
          <w:lang w:bidi="ar-SA"/>
        </w:rPr>
        <w:t>; using pooled standard gamble and EQ-5D utility weights</w:t>
      </w:r>
      <w:r>
        <w:rPr>
          <w:lang w:bidi="ar-SA"/>
        </w:rPr>
        <w:t xml:space="preserve"> (section </w:t>
      </w:r>
      <w:r>
        <w:rPr>
          <w:lang w:bidi="ar-SA"/>
        </w:rPr>
        <w:fldChar w:fldCharType="begin"/>
      </w:r>
      <w:r>
        <w:rPr>
          <w:lang w:bidi="ar-SA"/>
        </w:rPr>
        <w:instrText xml:space="preserve"> REF _Ref451441906 \n \h </w:instrText>
      </w:r>
      <w:r>
        <w:rPr>
          <w:lang w:bidi="ar-SA"/>
        </w:rPr>
      </w:r>
      <w:r>
        <w:rPr>
          <w:lang w:bidi="ar-SA"/>
        </w:rPr>
        <w:fldChar w:fldCharType="separate"/>
      </w:r>
      <w:r>
        <w:rPr>
          <w:lang w:bidi="ar-SA"/>
        </w:rPr>
        <w:t>6.9</w:t>
      </w:r>
      <w:r>
        <w:rPr>
          <w:lang w:bidi="ar-SA"/>
        </w:rPr>
        <w:fldChar w:fldCharType="end"/>
      </w:r>
      <w:r>
        <w:rPr>
          <w:lang w:bidi="ar-SA"/>
        </w:rPr>
        <w:t>)</w:t>
      </w:r>
      <w:r w:rsidRPr="00DE0FF1">
        <w:rPr>
          <w:lang w:bidi="ar-SA"/>
        </w:rPr>
        <w:t>; modelling internet-delivered intervention pathways</w:t>
      </w:r>
      <w:r>
        <w:rPr>
          <w:lang w:bidi="ar-SA"/>
        </w:rPr>
        <w:t xml:space="preserve"> (section </w:t>
      </w:r>
      <w:r>
        <w:rPr>
          <w:lang w:bidi="ar-SA"/>
        </w:rPr>
        <w:fldChar w:fldCharType="begin"/>
      </w:r>
      <w:r>
        <w:rPr>
          <w:lang w:bidi="ar-SA"/>
        </w:rPr>
        <w:instrText xml:space="preserve"> REF _Ref451441911 \n \h </w:instrText>
      </w:r>
      <w:r>
        <w:rPr>
          <w:lang w:bidi="ar-SA"/>
        </w:rPr>
      </w:r>
      <w:r>
        <w:rPr>
          <w:lang w:bidi="ar-SA"/>
        </w:rPr>
        <w:fldChar w:fldCharType="separate"/>
      </w:r>
      <w:r>
        <w:rPr>
          <w:lang w:bidi="ar-SA"/>
        </w:rPr>
        <w:t>6.10</w:t>
      </w:r>
      <w:r>
        <w:rPr>
          <w:lang w:bidi="ar-SA"/>
        </w:rPr>
        <w:fldChar w:fldCharType="end"/>
      </w:r>
      <w:r>
        <w:rPr>
          <w:lang w:bidi="ar-SA"/>
        </w:rPr>
        <w:t>)</w:t>
      </w:r>
      <w:r w:rsidRPr="00DE0FF1">
        <w:rPr>
          <w:lang w:bidi="ar-SA"/>
        </w:rPr>
        <w:t>; and applying different discount rates to costs and benefits</w:t>
      </w:r>
      <w:r>
        <w:rPr>
          <w:lang w:bidi="ar-SA"/>
        </w:rPr>
        <w:t xml:space="preserve"> (section </w:t>
      </w:r>
      <w:r>
        <w:rPr>
          <w:lang w:bidi="ar-SA"/>
        </w:rPr>
        <w:fldChar w:fldCharType="begin"/>
      </w:r>
      <w:r>
        <w:rPr>
          <w:lang w:bidi="ar-SA"/>
        </w:rPr>
        <w:instrText xml:space="preserve"> REF _Ref451441918 \n \h </w:instrText>
      </w:r>
      <w:r>
        <w:rPr>
          <w:lang w:bidi="ar-SA"/>
        </w:rPr>
      </w:r>
      <w:r>
        <w:rPr>
          <w:lang w:bidi="ar-SA"/>
        </w:rPr>
        <w:fldChar w:fldCharType="separate"/>
      </w:r>
      <w:r>
        <w:rPr>
          <w:lang w:bidi="ar-SA"/>
        </w:rPr>
        <w:t>6.11</w:t>
      </w:r>
      <w:r>
        <w:rPr>
          <w:lang w:bidi="ar-SA"/>
        </w:rPr>
        <w:fldChar w:fldCharType="end"/>
      </w:r>
      <w:r>
        <w:rPr>
          <w:lang w:bidi="ar-SA"/>
        </w:rPr>
        <w:t>)</w:t>
      </w:r>
      <w:r w:rsidRPr="00DE0FF1">
        <w:rPr>
          <w:lang w:bidi="ar-SA"/>
        </w:rPr>
        <w:t>. When modelling internet-delivered intervention pathways, we conducted an additional threshold analysis to test the impact of: (1) varying the relative efficacy of universal and indicated prevention when assuming unmoderated and clinician-moderated internet-delivery pathways; and (2) changing the average intervention cost of indicated and universal internet prevention when adopting an effect size of 100% and 50% relative to face-to-face intervention.</w:t>
      </w:r>
      <w:r>
        <w:rPr>
          <w:lang w:bidi="ar-SA"/>
        </w:rPr>
        <w:t xml:space="preserve"> These are also presented in section </w:t>
      </w:r>
      <w:r>
        <w:rPr>
          <w:lang w:bidi="ar-SA"/>
        </w:rPr>
        <w:fldChar w:fldCharType="begin"/>
      </w:r>
      <w:r>
        <w:rPr>
          <w:lang w:bidi="ar-SA"/>
        </w:rPr>
        <w:instrText xml:space="preserve"> REF _Ref451441911 \n \h </w:instrText>
      </w:r>
      <w:r>
        <w:rPr>
          <w:lang w:bidi="ar-SA"/>
        </w:rPr>
      </w:r>
      <w:r>
        <w:rPr>
          <w:lang w:bidi="ar-SA"/>
        </w:rPr>
        <w:fldChar w:fldCharType="separate"/>
      </w:r>
      <w:r>
        <w:rPr>
          <w:lang w:bidi="ar-SA"/>
        </w:rPr>
        <w:t>6.10</w:t>
      </w:r>
      <w:r>
        <w:rPr>
          <w:lang w:bidi="ar-SA"/>
        </w:rPr>
        <w:fldChar w:fldCharType="end"/>
      </w:r>
      <w:r>
        <w:rPr>
          <w:lang w:bidi="ar-SA"/>
        </w:rPr>
        <w:t>, alongside the methods for modelling internet-delivered prevention interventions (universal and indicated).</w:t>
      </w:r>
    </w:p>
    <w:p w:rsidR="00415BFD" w:rsidRDefault="00415BFD" w:rsidP="003B1E45">
      <w:pPr>
        <w:rPr>
          <w:lang w:bidi="ar-SA"/>
        </w:rPr>
      </w:pPr>
    </w:p>
    <w:p w:rsidR="00415BFD" w:rsidRDefault="00415BFD" w:rsidP="00B062D3">
      <w:pPr>
        <w:pStyle w:val="Heading3"/>
      </w:pPr>
      <w:bookmarkStart w:id="177" w:name="_Ref451441836"/>
      <w:bookmarkStart w:id="178" w:name="_Toc452066416"/>
      <w:r>
        <w:t>Sensitivity analysis excluding cost offsets</w:t>
      </w:r>
      <w:bookmarkEnd w:id="177"/>
      <w:bookmarkEnd w:id="178"/>
    </w:p>
    <w:p w:rsidR="00415BFD" w:rsidRDefault="00415BFD" w:rsidP="00B062D3">
      <w:pPr>
        <w:rPr>
          <w:lang w:bidi="ar-SA"/>
        </w:rPr>
      </w:pPr>
      <w:r>
        <w:rPr>
          <w:lang w:bidi="ar-SA"/>
        </w:rPr>
        <w:t xml:space="preserve">This sensitivity analysis involved the omission of cost  offsets from the calculation of net intervention costs – leading to a higher ICER due to higher incremental costs in the numerator (see section </w:t>
      </w:r>
      <w:r>
        <w:rPr>
          <w:lang w:bidi="ar-SA"/>
        </w:rPr>
        <w:fldChar w:fldCharType="begin"/>
      </w:r>
      <w:r>
        <w:rPr>
          <w:lang w:bidi="ar-SA"/>
        </w:rPr>
        <w:instrText xml:space="preserve"> REF _Ref451442111 \n \h </w:instrText>
      </w:r>
      <w:r>
        <w:rPr>
          <w:lang w:bidi="ar-SA"/>
        </w:rPr>
      </w:r>
      <w:r>
        <w:rPr>
          <w:lang w:bidi="ar-SA"/>
        </w:rPr>
        <w:fldChar w:fldCharType="separate"/>
      </w:r>
      <w:r>
        <w:rPr>
          <w:lang w:bidi="ar-SA"/>
        </w:rPr>
        <w:t>5.6</w:t>
      </w:r>
      <w:r>
        <w:rPr>
          <w:lang w:bidi="ar-SA"/>
        </w:rPr>
        <w:fldChar w:fldCharType="end"/>
      </w:r>
      <w:r>
        <w:rPr>
          <w:lang w:bidi="ar-SA"/>
        </w:rPr>
        <w:t xml:space="preserve"> for an overview of cost offsets).  </w:t>
      </w:r>
    </w:p>
    <w:p w:rsidR="00415BFD" w:rsidRDefault="00415BFD" w:rsidP="00B062D3">
      <w:pPr>
        <w:rPr>
          <w:lang w:bidi="ar-SA"/>
        </w:rPr>
      </w:pPr>
    </w:p>
    <w:p w:rsidR="00415BFD" w:rsidRDefault="00415BFD" w:rsidP="00B062D3">
      <w:pPr>
        <w:pStyle w:val="Heading3"/>
      </w:pPr>
      <w:bookmarkStart w:id="179" w:name="_Ref451441863"/>
      <w:bookmarkStart w:id="180" w:name="_Toc452066417"/>
      <w:r>
        <w:t>Sensitivity analysis including time and travel costs</w:t>
      </w:r>
      <w:bookmarkEnd w:id="179"/>
      <w:bookmarkEnd w:id="180"/>
    </w:p>
    <w:p w:rsidR="00415BFD" w:rsidRDefault="00415BFD" w:rsidP="00576506">
      <w:pPr>
        <w:rPr>
          <w:lang w:bidi="ar-SA"/>
        </w:rPr>
      </w:pPr>
      <w:r>
        <w:rPr>
          <w:lang w:bidi="ar-SA"/>
        </w:rPr>
        <w:t>We excluded the estimation of patient time and travel costs from the baseline analysis. In the context of this study, patient time and travel costs would encompass the costs of parent who are required to transport their children to and from intervention sessions. In the case of universal prevention (face-to-face and internet-delivered) there are no additional costs associated with transporting/supervising children over and above what would usually occur during a school day. It is for this reason that patient time and travel costs were not applicable in the case of universal prevention (both face-to-face and internet-delivered). By contrast, the intervention pathway for the face-to-face delivery of indicated prevention involved additional trips for: (1) further diagnostic testing; and (2) intervention delivery – i.e., an initial psychologist consult and a series of group-based intervention sessions. The internet-based delivery of indicated prevention also included time and travel costs associated with further diagnostic testing, but not intervention delivery.</w:t>
      </w:r>
    </w:p>
    <w:p w:rsidR="00415BFD" w:rsidRDefault="00415BFD" w:rsidP="00576506">
      <w:pPr>
        <w:rPr>
          <w:lang w:bidi="ar-SA"/>
        </w:rPr>
      </w:pPr>
    </w:p>
    <w:p w:rsidR="00415BFD" w:rsidRDefault="00415BFD" w:rsidP="00576506">
      <w:pPr>
        <w:rPr>
          <w:noProof/>
          <w:lang w:bidi="ar-SA"/>
        </w:rPr>
      </w:pPr>
      <w:r>
        <w:rPr>
          <w:lang w:bidi="ar-SA"/>
        </w:rPr>
        <w:t xml:space="preserve">We used time and travel costs obtained from a previous analysis by </w:t>
      </w:r>
      <w:r>
        <w:rPr>
          <w:noProof/>
          <w:lang w:bidi="ar-SA"/>
        </w:rPr>
        <w:t>Vos et al. [67]</w:t>
      </w:r>
      <w:r>
        <w:rPr>
          <w:lang w:bidi="ar-SA"/>
        </w:rPr>
        <w:t>.</w:t>
      </w:r>
      <w:r>
        <w:rPr>
          <w:noProof/>
          <w:lang w:bidi="ar-SA"/>
        </w:rPr>
        <w:t xml:space="preserve"> The average time cost per hour and the average travel cost per trip was, respectively, AU$17.44 and AU$9.96 – expressed </w:t>
      </w:r>
      <w:r>
        <w:rPr>
          <w:noProof/>
          <w:lang w:bidi="ar-SA"/>
        </w:rPr>
        <w:lastRenderedPageBreak/>
        <w:t xml:space="preserve">in 2003 Australian dollars. We used Australian health price deflators from the AIHW to convert these costs into 2013 Australian dollars [87]. It follows that the average time cost (per hour) was AU$24.67, while the average travel cost (per trip) was AU$9.96. </w:t>
      </w:r>
    </w:p>
    <w:p w:rsidR="00415BFD" w:rsidRDefault="00415BFD" w:rsidP="00576506">
      <w:pPr>
        <w:rPr>
          <w:noProof/>
          <w:lang w:bidi="ar-SA"/>
        </w:rPr>
      </w:pPr>
    </w:p>
    <w:p w:rsidR="00415BFD" w:rsidRDefault="00415BFD" w:rsidP="00576506">
      <w:pPr>
        <w:rPr>
          <w:noProof/>
          <w:lang w:bidi="ar-SA"/>
        </w:rPr>
      </w:pPr>
      <w:r>
        <w:rPr>
          <w:noProof/>
          <w:lang w:bidi="ar-SA"/>
        </w:rPr>
        <w:t xml:space="preserve">To calculate travel costs, we assumed that each consultation with a psychologist necessitated two trips (signifying a return trip going to and from the psychologist’s location). Using the relevant quantities presented in </w:t>
      </w:r>
      <w:r>
        <w:rPr>
          <w:noProof/>
          <w:lang w:bidi="ar-SA"/>
        </w:rPr>
        <w:fldChar w:fldCharType="begin"/>
      </w:r>
      <w:r>
        <w:rPr>
          <w:noProof/>
          <w:lang w:bidi="ar-SA"/>
        </w:rPr>
        <w:instrText xml:space="preserve"> REF _Ref451444107 \n \h </w:instrText>
      </w:r>
      <w:r>
        <w:rPr>
          <w:noProof/>
          <w:lang w:bidi="ar-SA"/>
        </w:rPr>
      </w:r>
      <w:r>
        <w:rPr>
          <w:noProof/>
          <w:lang w:bidi="ar-SA"/>
        </w:rPr>
        <w:fldChar w:fldCharType="separate"/>
      </w:r>
      <w:r>
        <w:rPr>
          <w:noProof/>
          <w:lang w:bidi="ar-SA"/>
        </w:rPr>
        <w:t>Table 22</w:t>
      </w:r>
      <w:r>
        <w:rPr>
          <w:noProof/>
          <w:lang w:bidi="ar-SA"/>
        </w:rPr>
        <w:fldChar w:fldCharType="end"/>
      </w:r>
      <w:r>
        <w:rPr>
          <w:noProof/>
          <w:lang w:bidi="ar-SA"/>
        </w:rPr>
        <w:t xml:space="preserve">, we calculated travel costs for the face-to-face delivery of indicated prevention to be $39,124,480 – i.e., $9.96 per trip multiplied by 2 trips and the sum of all consultations (184,372 for further diagnostic testing, 161,835 for the initial intervention consult and 1,618,353 for group-based intervention sessions). Likewise, using the relevant quantities presented in </w:t>
      </w:r>
      <w:r>
        <w:rPr>
          <w:noProof/>
          <w:lang w:bidi="ar-SA"/>
        </w:rPr>
        <w:fldChar w:fldCharType="begin"/>
      </w:r>
      <w:r>
        <w:rPr>
          <w:noProof/>
          <w:lang w:bidi="ar-SA"/>
        </w:rPr>
        <w:instrText xml:space="preserve"> REF _Ref432948328 \n \h </w:instrText>
      </w:r>
      <w:r>
        <w:rPr>
          <w:noProof/>
          <w:lang w:bidi="ar-SA"/>
        </w:rPr>
      </w:r>
      <w:r>
        <w:rPr>
          <w:noProof/>
          <w:lang w:bidi="ar-SA"/>
        </w:rPr>
        <w:fldChar w:fldCharType="separate"/>
      </w:r>
      <w:r>
        <w:rPr>
          <w:noProof/>
          <w:lang w:bidi="ar-SA"/>
        </w:rPr>
        <w:t>Table 25</w:t>
      </w:r>
      <w:r>
        <w:rPr>
          <w:noProof/>
          <w:lang w:bidi="ar-SA"/>
        </w:rPr>
        <w:fldChar w:fldCharType="end"/>
      </w:r>
      <w:r>
        <w:rPr>
          <w:noProof/>
          <w:lang w:bidi="ar-SA"/>
        </w:rPr>
        <w:t xml:space="preserve">, we calculated travel costs for the internet-based delivery of indicated prevention to be $3,671,800 – i.e., 2 trips multplied by 184,372 consults for further diagnostic testing. </w:t>
      </w:r>
    </w:p>
    <w:p w:rsidR="00415BFD" w:rsidRDefault="00415BFD" w:rsidP="00576506">
      <w:pPr>
        <w:rPr>
          <w:noProof/>
          <w:lang w:bidi="ar-SA"/>
        </w:rPr>
      </w:pPr>
    </w:p>
    <w:p w:rsidR="00415BFD" w:rsidRDefault="00415BFD" w:rsidP="00576506">
      <w:pPr>
        <w:rPr>
          <w:lang w:bidi="ar-SA"/>
        </w:rPr>
      </w:pPr>
      <w:r>
        <w:rPr>
          <w:noProof/>
          <w:lang w:bidi="ar-SA"/>
        </w:rPr>
        <w:t xml:space="preserve">To calculate time costs, we calculated the product of each type of psychologist consultation and the average time estimated for each consult. Using data from  </w:t>
      </w:r>
      <w:r>
        <w:rPr>
          <w:noProof/>
          <w:lang w:bidi="ar-SA"/>
        </w:rPr>
        <w:fldChar w:fldCharType="begin"/>
      </w:r>
      <w:r>
        <w:rPr>
          <w:noProof/>
          <w:lang w:bidi="ar-SA"/>
        </w:rPr>
        <w:instrText xml:space="preserve"> REF _Ref451444107 \n \h </w:instrText>
      </w:r>
      <w:r>
        <w:rPr>
          <w:noProof/>
          <w:lang w:bidi="ar-SA"/>
        </w:rPr>
      </w:r>
      <w:r>
        <w:rPr>
          <w:noProof/>
          <w:lang w:bidi="ar-SA"/>
        </w:rPr>
        <w:fldChar w:fldCharType="separate"/>
      </w:r>
      <w:r>
        <w:rPr>
          <w:noProof/>
          <w:lang w:bidi="ar-SA"/>
        </w:rPr>
        <w:t>Table 22</w:t>
      </w:r>
      <w:r>
        <w:rPr>
          <w:noProof/>
          <w:lang w:bidi="ar-SA"/>
        </w:rPr>
        <w:fldChar w:fldCharType="end"/>
      </w:r>
      <w:r>
        <w:rPr>
          <w:noProof/>
          <w:lang w:bidi="ar-SA"/>
        </w:rPr>
        <w:t xml:space="preserve">, we calculated time costs for the face-to-face delivery of indicated prevention to be $52,966,806 – i.e., (184,372 × 0.5 hrs) + (161,835 × 1 hr) + (1,618,353 × 1.2 hrs). Likewise, using data from  </w:t>
      </w:r>
      <w:r>
        <w:rPr>
          <w:noProof/>
          <w:lang w:bidi="ar-SA"/>
        </w:rPr>
        <w:fldChar w:fldCharType="begin"/>
      </w:r>
      <w:r>
        <w:rPr>
          <w:noProof/>
          <w:lang w:bidi="ar-SA"/>
        </w:rPr>
        <w:instrText xml:space="preserve"> REF _Ref432948328 \n \h </w:instrText>
      </w:r>
      <w:r>
        <w:rPr>
          <w:noProof/>
          <w:lang w:bidi="ar-SA"/>
        </w:rPr>
      </w:r>
      <w:r>
        <w:rPr>
          <w:noProof/>
          <w:lang w:bidi="ar-SA"/>
        </w:rPr>
        <w:fldChar w:fldCharType="separate"/>
      </w:r>
      <w:r>
        <w:rPr>
          <w:noProof/>
          <w:lang w:bidi="ar-SA"/>
        </w:rPr>
        <w:t>Table 25</w:t>
      </w:r>
      <w:r>
        <w:rPr>
          <w:noProof/>
          <w:lang w:bidi="ar-SA"/>
        </w:rPr>
        <w:fldChar w:fldCharType="end"/>
      </w:r>
      <w:r>
        <w:rPr>
          <w:noProof/>
          <w:lang w:bidi="ar-SA"/>
        </w:rPr>
        <w:t>, we calculated time costs for the internet-based delivery of indicated prevention to be $2,400,347 – i.e., (184,372 × 0.5 hrs).</w:t>
      </w:r>
    </w:p>
    <w:p w:rsidR="00415BFD" w:rsidRDefault="00415BFD" w:rsidP="00B062D3">
      <w:pPr>
        <w:rPr>
          <w:lang w:bidi="ar-SA"/>
        </w:rPr>
      </w:pPr>
    </w:p>
    <w:p w:rsidR="00415BFD" w:rsidRPr="00B062D3" w:rsidRDefault="00415BFD" w:rsidP="00B062D3">
      <w:pPr>
        <w:pStyle w:val="Heading3"/>
      </w:pPr>
      <w:bookmarkStart w:id="181" w:name="_Ref451441868"/>
      <w:bookmarkStart w:id="182" w:name="_Toc452066418"/>
      <w:r>
        <w:t>Sensitivity analysis assuming a school participation rate of 50%, instead of 100%</w:t>
      </w:r>
      <w:bookmarkEnd w:id="181"/>
      <w:bookmarkEnd w:id="182"/>
    </w:p>
    <w:p w:rsidR="00415BFD" w:rsidRDefault="00415BFD" w:rsidP="00103BED">
      <w:pPr>
        <w:rPr>
          <w:lang w:bidi="ar-SA"/>
        </w:rPr>
      </w:pPr>
      <w:r>
        <w:rPr>
          <w:lang w:bidi="ar-SA"/>
        </w:rPr>
        <w:t xml:space="preserve">Obtaining a reliable estimate on the likely participation rate among Australian schools was problematic (see section </w:t>
      </w:r>
      <w:r>
        <w:rPr>
          <w:lang w:bidi="ar-SA"/>
        </w:rPr>
        <w:fldChar w:fldCharType="begin"/>
      </w:r>
      <w:r>
        <w:rPr>
          <w:lang w:bidi="ar-SA"/>
        </w:rPr>
        <w:instrText xml:space="preserve"> REF _Ref450772294 \n \h </w:instrText>
      </w:r>
      <w:r>
        <w:rPr>
          <w:lang w:bidi="ar-SA"/>
        </w:rPr>
      </w:r>
      <w:r>
        <w:rPr>
          <w:lang w:bidi="ar-SA"/>
        </w:rPr>
        <w:fldChar w:fldCharType="separate"/>
      </w:r>
      <w:r>
        <w:rPr>
          <w:lang w:bidi="ar-SA"/>
        </w:rPr>
        <w:t>3.2</w:t>
      </w:r>
      <w:r>
        <w:rPr>
          <w:lang w:bidi="ar-SA"/>
        </w:rPr>
        <w:fldChar w:fldCharType="end"/>
      </w:r>
      <w:r>
        <w:rPr>
          <w:lang w:bidi="ar-SA"/>
        </w:rPr>
        <w:t>). We were unable to find a reliable data estimate that could be used to accurately predict the number of schools that would participate in a universal and/or indicated psychological prevention intervention if it were to be scaled up nationally. The true coverage rate would be dependent on how successful the nationwide implementation of these programs turned out (which is a question beyond the scope of our model). We consequently assumed in the baseline analysis that all Australian schools (i.e., 100%) would participate in the intervention. While we acknowledge that this assumption is practically infeasible in real life, assuming 100% school coverage would allow us to calculate the potential health benefits and costs that would arise from the full-scale, nationwide implementation of the universal prevention program. Furthermore, we anticipated that changing the value of this parameter would have a negligible effect on the final ICER as both costs and health benefits would be reduced proportionally to each other – e.g., assuming a 50% coverage rate will lead to both a 50% reduction of total DALYs and a 50% reduction in total costs. Likewise, assuming a 25% coverage rate will lead to both a 75% reduction in total DALYs and a 75% reduction in total costs, relative to a 100% coverage rate. In any case, the final ICER will remain approximately the same.</w:t>
      </w:r>
    </w:p>
    <w:p w:rsidR="00415BFD" w:rsidRDefault="00415BFD" w:rsidP="00103BED">
      <w:pPr>
        <w:rPr>
          <w:lang w:bidi="ar-SA"/>
        </w:rPr>
      </w:pPr>
    </w:p>
    <w:p w:rsidR="00415BFD" w:rsidRDefault="00415BFD" w:rsidP="00103BED">
      <w:pPr>
        <w:rPr>
          <w:lang w:bidi="ar-SA"/>
        </w:rPr>
      </w:pPr>
      <w:r>
        <w:rPr>
          <w:lang w:bidi="ar-SA"/>
        </w:rPr>
        <w:t>We tested the aforementioned hypothesis by conducting a sensitivity analysis where we assumed a 50% coverage rate in place of the initial 100% estimate.</w:t>
      </w:r>
    </w:p>
    <w:p w:rsidR="00415BFD" w:rsidRPr="003B1E45" w:rsidRDefault="00415BFD" w:rsidP="003B1E45">
      <w:pPr>
        <w:rPr>
          <w:lang w:bidi="ar-SA"/>
        </w:rPr>
      </w:pPr>
    </w:p>
    <w:p w:rsidR="00415BFD" w:rsidRDefault="00415BFD" w:rsidP="009429C2">
      <w:pPr>
        <w:pStyle w:val="Heading3"/>
      </w:pPr>
      <w:bookmarkStart w:id="183" w:name="_Ref451441875"/>
      <w:bookmarkStart w:id="184" w:name="_Toc452066419"/>
      <w:r>
        <w:lastRenderedPageBreak/>
        <w:t>Sensitivity analysis modelling non-significant intervention effect sizes and extrapolating an exponential decay rate over time</w:t>
      </w:r>
      <w:bookmarkEnd w:id="183"/>
      <w:bookmarkEnd w:id="184"/>
    </w:p>
    <w:p w:rsidR="00415BFD" w:rsidRDefault="00415BFD" w:rsidP="009429C2">
      <w:pPr>
        <w:rPr>
          <w:lang w:bidi="ar-SA"/>
        </w:rPr>
      </w:pPr>
      <w:r>
        <w:rPr>
          <w:lang w:bidi="ar-SA"/>
        </w:rPr>
        <w:t xml:space="preserve">Our baseline analysis modelled effect sizes that reached the 5% significance level. As a sensitivity analysis, we tested the effect of both including non-significant effect sizes, in addition to continuing to model effect sizes into the long-term by assuming an exponential decay rate. The rationale for the exponential decay rate was the observation that effect sizes gradually attenuate over time (an exponential decay rate assumes a rapid initial decay that becomes less rapid over time). In the case of indicated psychological intervention, the effect sizes decay progressively from RR=0.31 post-intervention to RR=0.74 at 2-years follow up. We fit an exponential decay function to the pooled effect size data to calculate the annual effect size over a 10-year time horizon, where the effect size approaches the null (i.e., RR=1.0). In this case, the method of least squares was used to calculate the parameters of the exponential decay function that best fit the data on the pooled effect size at each follow-up point. We assumed that uncertainty around years 3-10 would have an identical standard error to that of the pooled effect size calculated at year 2. In the case of universal prevention the effect size attenuates completely by 1-year follow up. As such, we assumed that universal prevention would have a null effect size (i.e., RR = 1.0) from year 2 onwards. In the case of indicated bibliotherapy (which had only one pooled effect size), we used data on the proportional decay rate observed in the indicated psychological intervention scenario and superimposed it on to the single pooled effect size, to model a decay function over time. </w:t>
      </w:r>
      <w:r>
        <w:rPr>
          <w:lang w:bidi="ar-SA"/>
        </w:rPr>
        <w:fldChar w:fldCharType="begin"/>
      </w:r>
      <w:r>
        <w:rPr>
          <w:lang w:bidi="ar-SA"/>
        </w:rPr>
        <w:instrText xml:space="preserve"> REF _Ref432946594 \n \h </w:instrText>
      </w:r>
      <w:r>
        <w:rPr>
          <w:lang w:bidi="ar-SA"/>
        </w:rPr>
      </w:r>
      <w:r>
        <w:rPr>
          <w:lang w:bidi="ar-SA"/>
        </w:rPr>
        <w:fldChar w:fldCharType="separate"/>
      </w:r>
      <w:r>
        <w:rPr>
          <w:lang w:bidi="ar-SA"/>
        </w:rPr>
        <w:t>Figure 18</w:t>
      </w:r>
      <w:r>
        <w:rPr>
          <w:lang w:bidi="ar-SA"/>
        </w:rPr>
        <w:fldChar w:fldCharType="end"/>
      </w:r>
      <w:r>
        <w:rPr>
          <w:lang w:bidi="ar-SA"/>
        </w:rPr>
        <w:t xml:space="preserve"> and </w:t>
      </w:r>
      <w:r>
        <w:rPr>
          <w:lang w:bidi="ar-SA"/>
        </w:rPr>
        <w:fldChar w:fldCharType="begin"/>
      </w:r>
      <w:r>
        <w:rPr>
          <w:lang w:bidi="ar-SA"/>
        </w:rPr>
        <w:instrText xml:space="preserve"> REF _Ref432946601 \n \h </w:instrText>
      </w:r>
      <w:r>
        <w:rPr>
          <w:lang w:bidi="ar-SA"/>
        </w:rPr>
      </w:r>
      <w:r>
        <w:rPr>
          <w:lang w:bidi="ar-SA"/>
        </w:rPr>
        <w:fldChar w:fldCharType="separate"/>
      </w:r>
      <w:r>
        <w:rPr>
          <w:lang w:bidi="ar-SA"/>
        </w:rPr>
        <w:t>Figure 19</w:t>
      </w:r>
      <w:r>
        <w:rPr>
          <w:lang w:bidi="ar-SA"/>
        </w:rPr>
        <w:fldChar w:fldCharType="end"/>
      </w:r>
      <w:r>
        <w:rPr>
          <w:lang w:bidi="ar-SA"/>
        </w:rPr>
        <w:t xml:space="preserve"> show the extrapolated effect sizes that were calculated for indicated psychological intervention and indicated bibliotherapy, respectively.</w:t>
      </w:r>
    </w:p>
    <w:p w:rsidR="00415BFD" w:rsidRDefault="00415BFD" w:rsidP="009429C2">
      <w:pPr>
        <w:rPr>
          <w:lang w:bidi="ar-SA"/>
        </w:rPr>
      </w:pPr>
    </w:p>
    <w:p w:rsidR="00415BFD" w:rsidRDefault="00415BFD" w:rsidP="009429C2">
      <w:pPr>
        <w:rPr>
          <w:lang w:bidi="ar-SA"/>
        </w:rPr>
      </w:pPr>
    </w:p>
    <w:p w:rsidR="00415BFD" w:rsidRDefault="00415BFD" w:rsidP="00415BFD">
      <w:pPr>
        <w:pStyle w:val="MyFigure"/>
        <w:numPr>
          <w:ilvl w:val="4"/>
          <w:numId w:val="9"/>
        </w:numPr>
      </w:pPr>
      <w:bookmarkStart w:id="185" w:name="_Ref432946594"/>
      <w:bookmarkStart w:id="186" w:name="_Toc452066444"/>
      <w:r>
        <w:t>Plot of extrapolated effect sizes for indicated psychological intervention</w:t>
      </w:r>
      <w:bookmarkEnd w:id="185"/>
      <w:bookmarkEnd w:id="186"/>
    </w:p>
    <w:p w:rsidR="00415BFD" w:rsidRDefault="00415BFD" w:rsidP="009429C2">
      <w:pPr>
        <w:jc w:val="center"/>
        <w:rPr>
          <w:lang w:bidi="ar-SA"/>
        </w:rPr>
      </w:pPr>
      <w:r>
        <w:rPr>
          <w:noProof/>
          <w:lang w:eastAsia="en-AU" w:bidi="ar-SA"/>
        </w:rPr>
        <w:drawing>
          <wp:inline distT="0" distB="0" distL="0" distR="0" wp14:anchorId="70CC7EAC" wp14:editId="76BA7E68">
            <wp:extent cx="5040000" cy="2880000"/>
            <wp:effectExtent l="0" t="0" r="8255" b="158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15BFD" w:rsidRDefault="00415BFD" w:rsidP="009429C2">
      <w:pPr>
        <w:rPr>
          <w:lang w:bidi="ar-SA"/>
        </w:rPr>
      </w:pPr>
    </w:p>
    <w:p w:rsidR="00415BFD" w:rsidRDefault="00415BFD" w:rsidP="009429C2">
      <w:pPr>
        <w:rPr>
          <w:lang w:bidi="ar-SA"/>
        </w:rPr>
      </w:pPr>
    </w:p>
    <w:p w:rsidR="00415BFD" w:rsidRDefault="00415BFD" w:rsidP="009429C2">
      <w:pPr>
        <w:rPr>
          <w:lang w:bidi="ar-SA"/>
        </w:rPr>
      </w:pPr>
    </w:p>
    <w:p w:rsidR="00415BFD" w:rsidRDefault="00415BFD" w:rsidP="009429C2">
      <w:pPr>
        <w:rPr>
          <w:lang w:bidi="ar-SA"/>
        </w:rPr>
      </w:pPr>
    </w:p>
    <w:p w:rsidR="00415BFD" w:rsidRDefault="00415BFD" w:rsidP="009429C2">
      <w:pPr>
        <w:rPr>
          <w:lang w:bidi="ar-SA"/>
        </w:rPr>
      </w:pPr>
    </w:p>
    <w:p w:rsidR="00415BFD" w:rsidRDefault="00415BFD" w:rsidP="00415BFD">
      <w:pPr>
        <w:pStyle w:val="MyFigure"/>
        <w:numPr>
          <w:ilvl w:val="4"/>
          <w:numId w:val="9"/>
        </w:numPr>
      </w:pPr>
      <w:bookmarkStart w:id="187" w:name="_Ref432946601"/>
      <w:bookmarkStart w:id="188" w:name="_Toc452066445"/>
      <w:r>
        <w:t>Plot of extrapolated effect sizes for indicated bibliotherapy intervention</w:t>
      </w:r>
      <w:bookmarkEnd w:id="187"/>
      <w:bookmarkEnd w:id="188"/>
    </w:p>
    <w:p w:rsidR="00415BFD" w:rsidRDefault="00415BFD" w:rsidP="009429C2">
      <w:pPr>
        <w:jc w:val="center"/>
        <w:rPr>
          <w:lang w:bidi="ar-SA"/>
        </w:rPr>
      </w:pPr>
      <w:r>
        <w:rPr>
          <w:noProof/>
          <w:lang w:eastAsia="en-AU" w:bidi="ar-SA"/>
        </w:rPr>
        <w:drawing>
          <wp:inline distT="0" distB="0" distL="0" distR="0" wp14:anchorId="420E521A" wp14:editId="6B905E3B">
            <wp:extent cx="5040000" cy="2880000"/>
            <wp:effectExtent l="0" t="0" r="8255" b="158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15BFD" w:rsidRDefault="00415BFD" w:rsidP="009429C2">
      <w:pPr>
        <w:rPr>
          <w:lang w:bidi="ar-SA"/>
        </w:rPr>
      </w:pPr>
    </w:p>
    <w:p w:rsidR="00415BFD" w:rsidRDefault="00415BFD" w:rsidP="009429C2">
      <w:pPr>
        <w:rPr>
          <w:lang w:bidi="ar-SA"/>
        </w:rPr>
      </w:pPr>
    </w:p>
    <w:p w:rsidR="00415BFD" w:rsidRDefault="00415BFD" w:rsidP="000358D6">
      <w:pPr>
        <w:rPr>
          <w:lang w:bidi="ar-SA"/>
        </w:rPr>
      </w:pPr>
      <w:r>
        <w:rPr>
          <w:lang w:bidi="ar-SA"/>
        </w:rPr>
        <w:t xml:space="preserve">The costing of intervention pathways for universal and indicated prevention (both face-to-face and internet-based delivery) have been outlined in sections </w:t>
      </w:r>
      <w:r>
        <w:rPr>
          <w:lang w:bidi="ar-SA"/>
        </w:rPr>
        <w:fldChar w:fldCharType="begin"/>
      </w:r>
      <w:r>
        <w:rPr>
          <w:lang w:bidi="ar-SA"/>
        </w:rPr>
        <w:instrText xml:space="preserve"> REF _Ref451179133 \n \h </w:instrText>
      </w:r>
      <w:r>
        <w:rPr>
          <w:lang w:bidi="ar-SA"/>
        </w:rPr>
      </w:r>
      <w:r>
        <w:rPr>
          <w:lang w:bidi="ar-SA"/>
        </w:rPr>
        <w:fldChar w:fldCharType="separate"/>
      </w:r>
      <w:r>
        <w:rPr>
          <w:lang w:bidi="ar-SA"/>
        </w:rPr>
        <w:t>5.2</w:t>
      </w:r>
      <w:r>
        <w:rPr>
          <w:lang w:bidi="ar-SA"/>
        </w:rPr>
        <w:fldChar w:fldCharType="end"/>
      </w:r>
      <w:r>
        <w:rPr>
          <w:lang w:bidi="ar-SA"/>
        </w:rPr>
        <w:t xml:space="preserve"> to </w:t>
      </w:r>
      <w:r>
        <w:rPr>
          <w:lang w:bidi="ar-SA"/>
        </w:rPr>
        <w:fldChar w:fldCharType="begin"/>
      </w:r>
      <w:r>
        <w:rPr>
          <w:lang w:bidi="ar-SA"/>
        </w:rPr>
        <w:instrText xml:space="preserve"> REF _Ref451292463 \n \h </w:instrText>
      </w:r>
      <w:r>
        <w:rPr>
          <w:lang w:bidi="ar-SA"/>
        </w:rPr>
      </w:r>
      <w:r>
        <w:rPr>
          <w:lang w:bidi="ar-SA"/>
        </w:rPr>
        <w:fldChar w:fldCharType="separate"/>
      </w:r>
      <w:r>
        <w:rPr>
          <w:lang w:bidi="ar-SA"/>
        </w:rPr>
        <w:t>5.5</w:t>
      </w:r>
      <w:r>
        <w:rPr>
          <w:lang w:bidi="ar-SA"/>
        </w:rPr>
        <w:fldChar w:fldCharType="end"/>
      </w:r>
      <w:r>
        <w:rPr>
          <w:lang w:bidi="ar-SA"/>
        </w:rPr>
        <w:t xml:space="preserve">. In the case of the intervention pathway for indicated bibliotherapy, we assumed identical intervention pathways and costs in relation to the two intervention stages involving screening and further diagnostic testing (see </w:t>
      </w:r>
      <w:r>
        <w:rPr>
          <w:lang w:bidi="ar-SA"/>
        </w:rPr>
        <w:fldChar w:fldCharType="begin"/>
      </w:r>
      <w:r>
        <w:rPr>
          <w:lang w:bidi="ar-SA"/>
        </w:rPr>
        <w:instrText xml:space="preserve"> REF _Ref451445856 \n \h </w:instrText>
      </w:r>
      <w:r>
        <w:rPr>
          <w:lang w:bidi="ar-SA"/>
        </w:rPr>
      </w:r>
      <w:r>
        <w:rPr>
          <w:lang w:bidi="ar-SA"/>
        </w:rPr>
        <w:fldChar w:fldCharType="separate"/>
      </w:r>
      <w:r>
        <w:rPr>
          <w:lang w:bidi="ar-SA"/>
        </w:rPr>
        <w:t>Table 22</w:t>
      </w:r>
      <w:r>
        <w:rPr>
          <w:lang w:bidi="ar-SA"/>
        </w:rPr>
        <w:fldChar w:fldCharType="end"/>
      </w:r>
      <w:r>
        <w:rPr>
          <w:lang w:bidi="ar-SA"/>
        </w:rPr>
        <w:t xml:space="preserve">). By contrast, intervention delivery (i.e., third intervention stage) differed in that eligible students were disseminated a book containing psychotherapeutic modules that are similar to those taught in the face-to-face psychological intervention and which students can complete in their own time. We assumed that this book was the </w:t>
      </w:r>
      <w:r w:rsidRPr="00B85472">
        <w:rPr>
          <w:lang w:bidi="ar-SA"/>
        </w:rPr>
        <w:t>‘The Feeling Good Book’ by David Byrne</w:t>
      </w:r>
      <w:r>
        <w:rPr>
          <w:lang w:bidi="ar-SA"/>
        </w:rPr>
        <w:t xml:space="preserve"> which has a recommended retail price (RRP) of AU$24.14. This book was disseminated to all eligible students for indicated prevention (i.e., a total of 161,835 students).</w:t>
      </w:r>
    </w:p>
    <w:p w:rsidR="00415BFD" w:rsidRDefault="00415BFD" w:rsidP="000358D6"/>
    <w:p w:rsidR="00415BFD" w:rsidRDefault="00415BFD" w:rsidP="00B062D3">
      <w:pPr>
        <w:pStyle w:val="Heading3"/>
      </w:pPr>
      <w:bookmarkStart w:id="189" w:name="_Ref451441880"/>
      <w:bookmarkStart w:id="190" w:name="_Toc452066420"/>
      <w:r>
        <w:t>Sensitivity analysis m</w:t>
      </w:r>
      <w:r w:rsidRPr="00DE0FF1">
        <w:t>odelling effect sizes based on RCTs using structured clinical interviews</w:t>
      </w:r>
      <w:bookmarkEnd w:id="189"/>
      <w:bookmarkEnd w:id="190"/>
    </w:p>
    <w:p w:rsidR="00415BFD" w:rsidRDefault="00415BFD" w:rsidP="00B062D3">
      <w:pPr>
        <w:rPr>
          <w:lang w:bidi="ar-SA"/>
        </w:rPr>
      </w:pPr>
      <w:r>
        <w:rPr>
          <w:lang w:bidi="ar-SA"/>
        </w:rPr>
        <w:t xml:space="preserve">In the baseline analysis, we pooled intervention effect sizes using studies that reported intervention outcomes as a discrete variable denoting changes to the number of incident cases of diagnosed depression following an intervention. These studies encompassed one of two methods for measuring discrete cases of depression: (1) structured clinical interviews; and (2) scoring above a cut-off score on a depression symptom rating scale. Inclusion of studies measuring discrete health outcomes using depression symptom rating scales is, however, controversial as there are concerns regarding the validity, reliability and diagnostic utility of these scales with regards to the diagnosis of depression cases </w:t>
      </w:r>
      <w:r>
        <w:rPr>
          <w:noProof/>
          <w:lang w:bidi="ar-SA"/>
        </w:rPr>
        <w:t>[88]</w:t>
      </w:r>
      <w:r>
        <w:rPr>
          <w:lang w:bidi="ar-SA"/>
        </w:rPr>
        <w:t xml:space="preserve">. </w:t>
      </w:r>
    </w:p>
    <w:p w:rsidR="00415BFD" w:rsidRDefault="00415BFD" w:rsidP="00B062D3">
      <w:pPr>
        <w:rPr>
          <w:lang w:bidi="ar-SA"/>
        </w:rPr>
      </w:pPr>
    </w:p>
    <w:p w:rsidR="00415BFD" w:rsidRDefault="00415BFD" w:rsidP="00B062D3">
      <w:pPr>
        <w:rPr>
          <w:lang w:bidi="ar-SA"/>
        </w:rPr>
      </w:pPr>
      <w:r>
        <w:rPr>
          <w:lang w:bidi="ar-SA"/>
        </w:rPr>
        <w:lastRenderedPageBreak/>
        <w:t xml:space="preserve">We conducted a sensitivity analysis to test the impact of only including RCT studies that use structured clinical interviews in effect size calculations. The pooled effect sizes for study arms using structured clinical interviews (see </w:t>
      </w:r>
      <w:r>
        <w:rPr>
          <w:lang w:bidi="ar-SA"/>
        </w:rPr>
        <w:fldChar w:fldCharType="begin"/>
      </w:r>
      <w:r>
        <w:rPr>
          <w:lang w:bidi="ar-SA"/>
        </w:rPr>
        <w:instrText xml:space="preserve"> REF _Ref432884016 \n \h </w:instrText>
      </w:r>
      <w:r>
        <w:rPr>
          <w:lang w:bidi="ar-SA"/>
        </w:rPr>
      </w:r>
      <w:r>
        <w:rPr>
          <w:lang w:bidi="ar-SA"/>
        </w:rPr>
        <w:fldChar w:fldCharType="separate"/>
      </w:r>
      <w:r>
        <w:rPr>
          <w:lang w:bidi="ar-SA"/>
        </w:rPr>
        <w:t>Table 5</w:t>
      </w:r>
      <w:r>
        <w:rPr>
          <w:lang w:bidi="ar-SA"/>
        </w:rPr>
        <w:fldChar w:fldCharType="end"/>
      </w:r>
      <w:r>
        <w:rPr>
          <w:lang w:bidi="ar-SA"/>
        </w:rPr>
        <w:t xml:space="preserve"> and </w:t>
      </w:r>
      <w:r>
        <w:rPr>
          <w:lang w:bidi="ar-SA"/>
        </w:rPr>
        <w:fldChar w:fldCharType="begin"/>
      </w:r>
      <w:r>
        <w:rPr>
          <w:lang w:bidi="ar-SA"/>
        </w:rPr>
        <w:instrText xml:space="preserve"> REF _Ref432883546 \n \h </w:instrText>
      </w:r>
      <w:r>
        <w:rPr>
          <w:lang w:bidi="ar-SA"/>
        </w:rPr>
      </w:r>
      <w:r>
        <w:rPr>
          <w:lang w:bidi="ar-SA"/>
        </w:rPr>
        <w:fldChar w:fldCharType="separate"/>
      </w:r>
      <w:r>
        <w:rPr>
          <w:lang w:bidi="ar-SA"/>
        </w:rPr>
        <w:t>Table 6</w:t>
      </w:r>
      <w:r>
        <w:rPr>
          <w:lang w:bidi="ar-SA"/>
        </w:rPr>
        <w:fldChar w:fldCharType="end"/>
      </w:r>
      <w:r>
        <w:rPr>
          <w:lang w:bidi="ar-SA"/>
        </w:rPr>
        <w:t xml:space="preserve"> for the list of studies) are shown in </w:t>
      </w:r>
      <w:r>
        <w:rPr>
          <w:lang w:bidi="ar-SA"/>
        </w:rPr>
        <w:fldChar w:fldCharType="begin"/>
      </w:r>
      <w:r>
        <w:rPr>
          <w:lang w:bidi="ar-SA"/>
        </w:rPr>
        <w:instrText xml:space="preserve"> REF _Ref451459281 \n \h </w:instrText>
      </w:r>
      <w:r>
        <w:rPr>
          <w:lang w:bidi="ar-SA"/>
        </w:rPr>
      </w:r>
      <w:r>
        <w:rPr>
          <w:lang w:bidi="ar-SA"/>
        </w:rPr>
        <w:fldChar w:fldCharType="separate"/>
      </w:r>
      <w:r>
        <w:rPr>
          <w:lang w:bidi="ar-SA"/>
        </w:rPr>
        <w:t>Table 26</w:t>
      </w:r>
      <w:r>
        <w:rPr>
          <w:lang w:bidi="ar-SA"/>
        </w:rPr>
        <w:fldChar w:fldCharType="end"/>
      </w:r>
      <w:r>
        <w:rPr>
          <w:lang w:bidi="ar-SA"/>
        </w:rPr>
        <w:t xml:space="preserve"> for universal psychological prevention and </w:t>
      </w:r>
      <w:r>
        <w:rPr>
          <w:lang w:bidi="ar-SA"/>
        </w:rPr>
        <w:fldChar w:fldCharType="begin"/>
      </w:r>
      <w:r>
        <w:rPr>
          <w:lang w:bidi="ar-SA"/>
        </w:rPr>
        <w:instrText xml:space="preserve"> REF _Ref451459288 \n \h </w:instrText>
      </w:r>
      <w:r>
        <w:rPr>
          <w:lang w:bidi="ar-SA"/>
        </w:rPr>
      </w:r>
      <w:r>
        <w:rPr>
          <w:lang w:bidi="ar-SA"/>
        </w:rPr>
        <w:fldChar w:fldCharType="separate"/>
      </w:r>
      <w:r>
        <w:rPr>
          <w:lang w:bidi="ar-SA"/>
        </w:rPr>
        <w:t>Table 27</w:t>
      </w:r>
      <w:r>
        <w:rPr>
          <w:lang w:bidi="ar-SA"/>
        </w:rPr>
        <w:fldChar w:fldCharType="end"/>
      </w:r>
      <w:r>
        <w:rPr>
          <w:lang w:bidi="ar-SA"/>
        </w:rPr>
        <w:t xml:space="preserve"> for indicated psychological prevention. In the meta-analysis of universal prevention studies, we observed that intervention effect sizes based on studies using structured clinical interviews are larger (i.e., further away from the null of RR = 1.0) than studies using cut-offs on a depression symptom rating scale to identify depression outcomes. In the meta-analysis of indicated prevention studies, there was only one study arm (out of 8) that measured depression outcomes using a cut-off on a depression symptom rating scale. As such, we were unable to draw direct comparisons between pooled intervention effect sizes using the structured clinical interview and those using depression symptom rating scales. As shown in </w:t>
      </w:r>
      <w:r>
        <w:rPr>
          <w:lang w:bidi="ar-SA"/>
        </w:rPr>
        <w:fldChar w:fldCharType="begin"/>
      </w:r>
      <w:r>
        <w:rPr>
          <w:lang w:bidi="ar-SA"/>
        </w:rPr>
        <w:instrText xml:space="preserve"> REF _Ref451459288 \r \h </w:instrText>
      </w:r>
      <w:r>
        <w:rPr>
          <w:lang w:bidi="ar-SA"/>
        </w:rPr>
      </w:r>
      <w:r>
        <w:rPr>
          <w:lang w:bidi="ar-SA"/>
        </w:rPr>
        <w:fldChar w:fldCharType="separate"/>
      </w:r>
      <w:r>
        <w:rPr>
          <w:lang w:bidi="ar-SA"/>
        </w:rPr>
        <w:t>Table 27</w:t>
      </w:r>
      <w:r>
        <w:rPr>
          <w:lang w:bidi="ar-SA"/>
        </w:rPr>
        <w:fldChar w:fldCharType="end"/>
      </w:r>
      <w:r>
        <w:rPr>
          <w:lang w:bidi="ar-SA"/>
        </w:rPr>
        <w:t xml:space="preserve">, pooled intervention effect sizes are fairly similar to those used in the baseline analysis (see section </w:t>
      </w:r>
      <w:r>
        <w:rPr>
          <w:lang w:bidi="ar-SA"/>
        </w:rPr>
        <w:fldChar w:fldCharType="begin"/>
      </w:r>
      <w:r>
        <w:rPr>
          <w:lang w:bidi="ar-SA"/>
        </w:rPr>
        <w:instrText xml:space="preserve"> REF _Ref451271661 \n \h </w:instrText>
      </w:r>
      <w:r>
        <w:rPr>
          <w:lang w:bidi="ar-SA"/>
        </w:rPr>
      </w:r>
      <w:r>
        <w:rPr>
          <w:lang w:bidi="ar-SA"/>
        </w:rPr>
        <w:fldChar w:fldCharType="separate"/>
      </w:r>
      <w:r>
        <w:rPr>
          <w:lang w:bidi="ar-SA"/>
        </w:rPr>
        <w:t>2.4</w:t>
      </w:r>
      <w:r>
        <w:rPr>
          <w:lang w:bidi="ar-SA"/>
        </w:rPr>
        <w:fldChar w:fldCharType="end"/>
      </w:r>
      <w:r>
        <w:rPr>
          <w:lang w:bidi="ar-SA"/>
        </w:rPr>
        <w:t>). The pooled intervention effect sizes calculated in this sensitivity analysis, support the argument that the effect sizes used in the baseline analysis are conservative – i.e., are not biased such that we are using inflated effect sizes that, in turn, lead to more favourable cost-effectiveness results. Note that we only modelled effect sizes that reached the 5% level of significance (as in the baseline analysis).</w:t>
      </w:r>
    </w:p>
    <w:p w:rsidR="00415BFD" w:rsidRDefault="00415BFD" w:rsidP="00B062D3">
      <w:pPr>
        <w:rPr>
          <w:lang w:bidi="ar-SA"/>
        </w:rPr>
      </w:pPr>
    </w:p>
    <w:p w:rsidR="00415BFD" w:rsidRDefault="00415BFD" w:rsidP="00415BFD">
      <w:pPr>
        <w:pStyle w:val="MyTable"/>
        <w:numPr>
          <w:ilvl w:val="3"/>
          <w:numId w:val="9"/>
        </w:numPr>
        <w:rPr>
          <w:lang w:bidi="ar-SA"/>
        </w:rPr>
      </w:pPr>
      <w:bookmarkStart w:id="191" w:name="_Ref451459281"/>
      <w:bookmarkStart w:id="192" w:name="_Toc452066471"/>
      <w:r>
        <w:t>Pooled effect sizes for universal psychological intervention when limiting the scope of studies to those using structured clinical interviews</w:t>
      </w:r>
      <w:bookmarkEnd w:id="191"/>
      <w:bookmarkEnd w:id="192"/>
    </w:p>
    <w:tbl>
      <w:tblPr>
        <w:tblStyle w:val="MediumShading1-Accent1"/>
        <w:tblW w:w="6577" w:type="dxa"/>
        <w:jc w:val="center"/>
        <w:tblLook w:val="04A0" w:firstRow="1" w:lastRow="0" w:firstColumn="1" w:lastColumn="0" w:noHBand="0" w:noVBand="1"/>
      </w:tblPr>
      <w:tblGrid>
        <w:gridCol w:w="3572"/>
        <w:gridCol w:w="1077"/>
        <w:gridCol w:w="964"/>
        <w:gridCol w:w="964"/>
      </w:tblGrid>
      <w:tr w:rsidR="00415BFD" w:rsidRPr="00A947AF" w:rsidTr="0030684A">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3572" w:type="dxa"/>
            <w:noWrap/>
            <w:vAlign w:val="center"/>
            <w:hideMark/>
          </w:tcPr>
          <w:p w:rsidR="00415BFD" w:rsidRPr="00A947AF" w:rsidRDefault="00415BFD" w:rsidP="0030684A">
            <w:pPr>
              <w:pStyle w:val="Tabletext"/>
            </w:pPr>
            <w:r w:rsidRPr="00A947AF">
              <w:t>Follow-up</w:t>
            </w:r>
            <w:r w:rsidRPr="00A947AF">
              <w:tab/>
            </w:r>
          </w:p>
        </w:tc>
        <w:tc>
          <w:tcPr>
            <w:tcW w:w="1077" w:type="dxa"/>
            <w:vAlign w:val="center"/>
            <w:hideMark/>
          </w:tcPr>
          <w:p w:rsidR="00415BFD" w:rsidRPr="00A947AF" w:rsidRDefault="00415BFD" w:rsidP="0030684A">
            <w:pPr>
              <w:pStyle w:val="Tabletext"/>
              <w:cnfStyle w:val="100000000000" w:firstRow="1" w:lastRow="0" w:firstColumn="0" w:lastColumn="0" w:oddVBand="0" w:evenVBand="0" w:oddHBand="0" w:evenHBand="0" w:firstRowFirstColumn="0" w:firstRowLastColumn="0" w:lastRowFirstColumn="0" w:lastRowLastColumn="0"/>
            </w:pPr>
            <w:r w:rsidRPr="00A947AF">
              <w:t>Effect Size</w:t>
            </w:r>
          </w:p>
        </w:tc>
        <w:tc>
          <w:tcPr>
            <w:tcW w:w="964" w:type="dxa"/>
            <w:noWrap/>
            <w:vAlign w:val="center"/>
            <w:hideMark/>
          </w:tcPr>
          <w:p w:rsidR="00415BFD" w:rsidRPr="00A947AF" w:rsidRDefault="00415BFD" w:rsidP="0030684A">
            <w:pPr>
              <w:pStyle w:val="Tabletext"/>
              <w:cnfStyle w:val="100000000000" w:firstRow="1" w:lastRow="0" w:firstColumn="0" w:lastColumn="0" w:oddVBand="0" w:evenVBand="0" w:oddHBand="0" w:evenHBand="0" w:firstRowFirstColumn="0" w:firstRowLastColumn="0" w:lastRowFirstColumn="0" w:lastRowLastColumn="0"/>
            </w:pPr>
            <w:r>
              <w:t>Lower 95% CI</w:t>
            </w:r>
          </w:p>
        </w:tc>
        <w:tc>
          <w:tcPr>
            <w:tcW w:w="964" w:type="dxa"/>
            <w:noWrap/>
            <w:vAlign w:val="center"/>
            <w:hideMark/>
          </w:tcPr>
          <w:p w:rsidR="00415BFD" w:rsidRPr="00A947AF" w:rsidRDefault="00415BFD" w:rsidP="0030684A">
            <w:pPr>
              <w:pStyle w:val="Tabletext"/>
              <w:cnfStyle w:val="100000000000" w:firstRow="1" w:lastRow="0" w:firstColumn="0" w:lastColumn="0" w:oddVBand="0" w:evenVBand="0" w:oddHBand="0" w:evenHBand="0" w:firstRowFirstColumn="0" w:firstRowLastColumn="0" w:lastRowFirstColumn="0" w:lastRowLastColumn="0"/>
            </w:pPr>
            <w:r>
              <w:t>Upper 95% CI</w:t>
            </w:r>
          </w:p>
        </w:tc>
      </w:tr>
      <w:tr w:rsidR="00415BFD" w:rsidRPr="00A947AF" w:rsidTr="006252A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572" w:type="dxa"/>
            <w:noWrap/>
            <w:vAlign w:val="bottom"/>
            <w:hideMark/>
          </w:tcPr>
          <w:p w:rsidR="00415BFD" w:rsidRPr="00A947AF" w:rsidRDefault="00415BFD" w:rsidP="00BE27E1">
            <w:pPr>
              <w:pStyle w:val="Tabletext"/>
            </w:pPr>
            <w:r w:rsidRPr="00A947AF">
              <w:t>PSYCH, Post-treatment</w:t>
            </w:r>
            <w:r>
              <w:t xml:space="preserve"> (2 study arms)</w:t>
            </w:r>
          </w:p>
        </w:tc>
        <w:tc>
          <w:tcPr>
            <w:tcW w:w="1077" w:type="dxa"/>
            <w:noWrap/>
            <w:vAlign w:val="bottom"/>
          </w:tcPr>
          <w:p w:rsidR="00415BFD" w:rsidRPr="00A947AF" w:rsidRDefault="00415BFD" w:rsidP="0030684A">
            <w:pPr>
              <w:pStyle w:val="Tabletext"/>
              <w:cnfStyle w:val="000000100000" w:firstRow="0" w:lastRow="0" w:firstColumn="0" w:lastColumn="0" w:oddVBand="0" w:evenVBand="0" w:oddHBand="1" w:evenHBand="0" w:firstRowFirstColumn="0" w:firstRowLastColumn="0" w:lastRowFirstColumn="0" w:lastRowLastColumn="0"/>
            </w:pPr>
            <w:r w:rsidRPr="007E71EA">
              <w:t>0.20</w:t>
            </w:r>
          </w:p>
        </w:tc>
        <w:tc>
          <w:tcPr>
            <w:tcW w:w="964" w:type="dxa"/>
            <w:noWrap/>
            <w:vAlign w:val="bottom"/>
          </w:tcPr>
          <w:p w:rsidR="00415BFD" w:rsidRPr="00A947AF" w:rsidRDefault="00415BFD" w:rsidP="0030684A">
            <w:pPr>
              <w:pStyle w:val="Tabletext"/>
              <w:cnfStyle w:val="000000100000" w:firstRow="0" w:lastRow="0" w:firstColumn="0" w:lastColumn="0" w:oddVBand="0" w:evenVBand="0" w:oddHBand="1" w:evenHBand="0" w:firstRowFirstColumn="0" w:firstRowLastColumn="0" w:lastRowFirstColumn="0" w:lastRowLastColumn="0"/>
            </w:pPr>
            <w:r w:rsidRPr="007E71EA">
              <w:t>0.05</w:t>
            </w:r>
          </w:p>
        </w:tc>
        <w:tc>
          <w:tcPr>
            <w:tcW w:w="964" w:type="dxa"/>
            <w:noWrap/>
            <w:vAlign w:val="bottom"/>
          </w:tcPr>
          <w:p w:rsidR="00415BFD" w:rsidRPr="00A947AF" w:rsidRDefault="00415BFD" w:rsidP="0030684A">
            <w:pPr>
              <w:pStyle w:val="Tabletext"/>
              <w:cnfStyle w:val="000000100000" w:firstRow="0" w:lastRow="0" w:firstColumn="0" w:lastColumn="0" w:oddVBand="0" w:evenVBand="0" w:oddHBand="1" w:evenHBand="0" w:firstRowFirstColumn="0" w:firstRowLastColumn="0" w:lastRowFirstColumn="0" w:lastRowLastColumn="0"/>
            </w:pPr>
            <w:r w:rsidRPr="007E71EA">
              <w:t>0.77</w:t>
            </w:r>
          </w:p>
        </w:tc>
      </w:tr>
      <w:tr w:rsidR="00415BFD" w:rsidRPr="00A947AF" w:rsidTr="006252A9">
        <w:trPr>
          <w:cnfStyle w:val="000000010000" w:firstRow="0" w:lastRow="0" w:firstColumn="0" w:lastColumn="0" w:oddVBand="0" w:evenVBand="0" w:oddHBand="0" w:evenHBand="1"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572" w:type="dxa"/>
            <w:noWrap/>
            <w:vAlign w:val="bottom"/>
            <w:hideMark/>
          </w:tcPr>
          <w:p w:rsidR="00415BFD" w:rsidRPr="00A947AF" w:rsidRDefault="00415BFD" w:rsidP="00BE27E1">
            <w:pPr>
              <w:pStyle w:val="Tabletext"/>
            </w:pPr>
            <w:r w:rsidRPr="00A947AF">
              <w:t>PSYCH, 6-9 months</w:t>
            </w:r>
            <w:r>
              <w:t xml:space="preserve"> (4 study arms)</w:t>
            </w:r>
          </w:p>
        </w:tc>
        <w:tc>
          <w:tcPr>
            <w:tcW w:w="1077" w:type="dxa"/>
            <w:noWrap/>
            <w:vAlign w:val="bottom"/>
          </w:tcPr>
          <w:p w:rsidR="00415BFD" w:rsidRPr="00A947AF" w:rsidRDefault="00415BFD" w:rsidP="0030684A">
            <w:pPr>
              <w:pStyle w:val="Tabletext"/>
              <w:cnfStyle w:val="000000010000" w:firstRow="0" w:lastRow="0" w:firstColumn="0" w:lastColumn="0" w:oddVBand="0" w:evenVBand="0" w:oddHBand="0" w:evenHBand="1" w:firstRowFirstColumn="0" w:firstRowLastColumn="0" w:lastRowFirstColumn="0" w:lastRowLastColumn="0"/>
            </w:pPr>
            <w:r w:rsidRPr="007E71EA">
              <w:t>0.48</w:t>
            </w:r>
          </w:p>
        </w:tc>
        <w:tc>
          <w:tcPr>
            <w:tcW w:w="964" w:type="dxa"/>
            <w:noWrap/>
            <w:vAlign w:val="bottom"/>
          </w:tcPr>
          <w:p w:rsidR="00415BFD" w:rsidRPr="00A947AF" w:rsidRDefault="00415BFD" w:rsidP="0030684A">
            <w:pPr>
              <w:pStyle w:val="Tabletext"/>
              <w:cnfStyle w:val="000000010000" w:firstRow="0" w:lastRow="0" w:firstColumn="0" w:lastColumn="0" w:oddVBand="0" w:evenVBand="0" w:oddHBand="0" w:evenHBand="1" w:firstRowFirstColumn="0" w:firstRowLastColumn="0" w:lastRowFirstColumn="0" w:lastRowLastColumn="0"/>
            </w:pPr>
            <w:r w:rsidRPr="007E71EA">
              <w:t>0.19</w:t>
            </w:r>
          </w:p>
        </w:tc>
        <w:tc>
          <w:tcPr>
            <w:tcW w:w="964" w:type="dxa"/>
            <w:noWrap/>
            <w:vAlign w:val="bottom"/>
          </w:tcPr>
          <w:p w:rsidR="00415BFD" w:rsidRPr="00A947AF" w:rsidRDefault="00415BFD" w:rsidP="0030684A">
            <w:pPr>
              <w:pStyle w:val="Tabletext"/>
              <w:cnfStyle w:val="000000010000" w:firstRow="0" w:lastRow="0" w:firstColumn="0" w:lastColumn="0" w:oddVBand="0" w:evenVBand="0" w:oddHBand="0" w:evenHBand="1" w:firstRowFirstColumn="0" w:firstRowLastColumn="0" w:lastRowFirstColumn="0" w:lastRowLastColumn="0"/>
            </w:pPr>
            <w:r w:rsidRPr="007E71EA">
              <w:t>1.20</w:t>
            </w:r>
          </w:p>
        </w:tc>
      </w:tr>
      <w:tr w:rsidR="00415BFD" w:rsidRPr="00A947AF" w:rsidTr="006252A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572" w:type="dxa"/>
            <w:noWrap/>
            <w:vAlign w:val="bottom"/>
            <w:hideMark/>
          </w:tcPr>
          <w:p w:rsidR="00415BFD" w:rsidRPr="00A947AF" w:rsidRDefault="00415BFD" w:rsidP="00BE27E1">
            <w:pPr>
              <w:pStyle w:val="Tabletext"/>
            </w:pPr>
            <w:r w:rsidRPr="00A947AF">
              <w:t>PSYCH, 12 months</w:t>
            </w:r>
            <w:r>
              <w:t xml:space="preserve"> (1 study arm)</w:t>
            </w:r>
          </w:p>
        </w:tc>
        <w:tc>
          <w:tcPr>
            <w:tcW w:w="1077" w:type="dxa"/>
            <w:noWrap/>
            <w:vAlign w:val="bottom"/>
          </w:tcPr>
          <w:p w:rsidR="00415BFD" w:rsidRPr="00A947AF" w:rsidRDefault="00415BFD" w:rsidP="0030684A">
            <w:pPr>
              <w:pStyle w:val="Tabletext"/>
              <w:cnfStyle w:val="000000100000" w:firstRow="0" w:lastRow="0" w:firstColumn="0" w:lastColumn="0" w:oddVBand="0" w:evenVBand="0" w:oddHBand="1" w:evenHBand="0" w:firstRowFirstColumn="0" w:firstRowLastColumn="0" w:lastRowFirstColumn="0" w:lastRowLastColumn="0"/>
            </w:pPr>
            <w:r w:rsidRPr="007E71EA">
              <w:t>0.71</w:t>
            </w:r>
          </w:p>
        </w:tc>
        <w:tc>
          <w:tcPr>
            <w:tcW w:w="964" w:type="dxa"/>
            <w:noWrap/>
            <w:vAlign w:val="bottom"/>
          </w:tcPr>
          <w:p w:rsidR="00415BFD" w:rsidRPr="00A947AF" w:rsidRDefault="00415BFD" w:rsidP="0030684A">
            <w:pPr>
              <w:pStyle w:val="Tabletext"/>
              <w:cnfStyle w:val="000000100000" w:firstRow="0" w:lastRow="0" w:firstColumn="0" w:lastColumn="0" w:oddVBand="0" w:evenVBand="0" w:oddHBand="1" w:evenHBand="0" w:firstRowFirstColumn="0" w:firstRowLastColumn="0" w:lastRowFirstColumn="0" w:lastRowLastColumn="0"/>
            </w:pPr>
            <w:r w:rsidRPr="007E71EA">
              <w:t>0.07</w:t>
            </w:r>
          </w:p>
        </w:tc>
        <w:tc>
          <w:tcPr>
            <w:tcW w:w="964" w:type="dxa"/>
            <w:noWrap/>
            <w:vAlign w:val="bottom"/>
          </w:tcPr>
          <w:p w:rsidR="00415BFD" w:rsidRPr="00A947AF" w:rsidRDefault="00415BFD" w:rsidP="0030684A">
            <w:pPr>
              <w:pStyle w:val="Tabletext"/>
              <w:cnfStyle w:val="000000100000" w:firstRow="0" w:lastRow="0" w:firstColumn="0" w:lastColumn="0" w:oddVBand="0" w:evenVBand="0" w:oddHBand="1" w:evenHBand="0" w:firstRowFirstColumn="0" w:firstRowLastColumn="0" w:lastRowFirstColumn="0" w:lastRowLastColumn="0"/>
            </w:pPr>
            <w:r w:rsidRPr="007E71EA">
              <w:t>7.72</w:t>
            </w:r>
          </w:p>
        </w:tc>
      </w:tr>
      <w:tr w:rsidR="00415BFD" w:rsidRPr="00A947AF" w:rsidTr="006252A9">
        <w:trPr>
          <w:cnfStyle w:val="000000010000" w:firstRow="0" w:lastRow="0" w:firstColumn="0" w:lastColumn="0" w:oddVBand="0" w:evenVBand="0" w:oddHBand="0" w:evenHBand="1"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572" w:type="dxa"/>
            <w:noWrap/>
            <w:vAlign w:val="bottom"/>
            <w:hideMark/>
          </w:tcPr>
          <w:p w:rsidR="00415BFD" w:rsidRPr="00A947AF" w:rsidRDefault="00415BFD" w:rsidP="00BE27E1">
            <w:pPr>
              <w:pStyle w:val="Tabletext"/>
            </w:pPr>
            <w:r w:rsidRPr="00A947AF">
              <w:t>PSYCH, 18-24 months</w:t>
            </w:r>
            <w:r>
              <w:t xml:space="preserve"> (2 study arms)</w:t>
            </w:r>
          </w:p>
        </w:tc>
        <w:tc>
          <w:tcPr>
            <w:tcW w:w="1077" w:type="dxa"/>
            <w:noWrap/>
            <w:vAlign w:val="bottom"/>
          </w:tcPr>
          <w:p w:rsidR="00415BFD" w:rsidRPr="00A947AF" w:rsidRDefault="00415BFD" w:rsidP="0030684A">
            <w:pPr>
              <w:pStyle w:val="Tabletext"/>
              <w:cnfStyle w:val="000000010000" w:firstRow="0" w:lastRow="0" w:firstColumn="0" w:lastColumn="0" w:oddVBand="0" w:evenVBand="0" w:oddHBand="0" w:evenHBand="1" w:firstRowFirstColumn="0" w:firstRowLastColumn="0" w:lastRowFirstColumn="0" w:lastRowLastColumn="0"/>
            </w:pPr>
            <w:r w:rsidRPr="007E71EA">
              <w:t>1.24</w:t>
            </w:r>
          </w:p>
        </w:tc>
        <w:tc>
          <w:tcPr>
            <w:tcW w:w="964" w:type="dxa"/>
            <w:noWrap/>
            <w:vAlign w:val="bottom"/>
          </w:tcPr>
          <w:p w:rsidR="00415BFD" w:rsidRPr="00A947AF" w:rsidRDefault="00415BFD" w:rsidP="0030684A">
            <w:pPr>
              <w:pStyle w:val="Tabletext"/>
              <w:cnfStyle w:val="000000010000" w:firstRow="0" w:lastRow="0" w:firstColumn="0" w:lastColumn="0" w:oddVBand="0" w:evenVBand="0" w:oddHBand="0" w:evenHBand="1" w:firstRowFirstColumn="0" w:firstRowLastColumn="0" w:lastRowFirstColumn="0" w:lastRowLastColumn="0"/>
            </w:pPr>
            <w:r w:rsidRPr="007E71EA">
              <w:t>0.18</w:t>
            </w:r>
          </w:p>
        </w:tc>
        <w:tc>
          <w:tcPr>
            <w:tcW w:w="964" w:type="dxa"/>
            <w:noWrap/>
            <w:vAlign w:val="bottom"/>
          </w:tcPr>
          <w:p w:rsidR="00415BFD" w:rsidRPr="00A947AF" w:rsidRDefault="00415BFD" w:rsidP="0030684A">
            <w:pPr>
              <w:pStyle w:val="Tabletext"/>
              <w:cnfStyle w:val="000000010000" w:firstRow="0" w:lastRow="0" w:firstColumn="0" w:lastColumn="0" w:oddVBand="0" w:evenVBand="0" w:oddHBand="0" w:evenHBand="1" w:firstRowFirstColumn="0" w:firstRowLastColumn="0" w:lastRowFirstColumn="0" w:lastRowLastColumn="0"/>
            </w:pPr>
            <w:r w:rsidRPr="007E71EA">
              <w:t>8.54</w:t>
            </w:r>
          </w:p>
        </w:tc>
      </w:tr>
    </w:tbl>
    <w:p w:rsidR="00415BFD" w:rsidRDefault="00415BFD" w:rsidP="00B062D3">
      <w:pPr>
        <w:rPr>
          <w:lang w:bidi="ar-SA"/>
        </w:rPr>
      </w:pPr>
    </w:p>
    <w:p w:rsidR="00415BFD" w:rsidRDefault="00415BFD" w:rsidP="00B062D3">
      <w:pPr>
        <w:rPr>
          <w:lang w:bidi="ar-SA"/>
        </w:rPr>
      </w:pPr>
    </w:p>
    <w:p w:rsidR="00415BFD" w:rsidRDefault="00415BFD" w:rsidP="00415BFD">
      <w:pPr>
        <w:pStyle w:val="MyTable"/>
        <w:numPr>
          <w:ilvl w:val="3"/>
          <w:numId w:val="9"/>
        </w:numPr>
        <w:rPr>
          <w:lang w:bidi="ar-SA"/>
        </w:rPr>
      </w:pPr>
      <w:bookmarkStart w:id="193" w:name="_Ref451459288"/>
      <w:bookmarkStart w:id="194" w:name="_Toc452066472"/>
      <w:r>
        <w:t>Pooled effect sizes for indicated psychological intervention when limiting the scope of studies to those using structured clinical interviews</w:t>
      </w:r>
      <w:bookmarkEnd w:id="193"/>
      <w:bookmarkEnd w:id="194"/>
    </w:p>
    <w:tbl>
      <w:tblPr>
        <w:tblStyle w:val="MediumShading1-Accent1"/>
        <w:tblW w:w="6577" w:type="dxa"/>
        <w:jc w:val="center"/>
        <w:tblLook w:val="04A0" w:firstRow="1" w:lastRow="0" w:firstColumn="1" w:lastColumn="0" w:noHBand="0" w:noVBand="1"/>
      </w:tblPr>
      <w:tblGrid>
        <w:gridCol w:w="3572"/>
        <w:gridCol w:w="1077"/>
        <w:gridCol w:w="964"/>
        <w:gridCol w:w="964"/>
      </w:tblGrid>
      <w:tr w:rsidR="00415BFD" w:rsidRPr="00A947AF" w:rsidTr="0030684A">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3572" w:type="dxa"/>
            <w:noWrap/>
            <w:vAlign w:val="center"/>
            <w:hideMark/>
          </w:tcPr>
          <w:p w:rsidR="00415BFD" w:rsidRPr="00A947AF" w:rsidRDefault="00415BFD" w:rsidP="0030684A">
            <w:pPr>
              <w:pStyle w:val="Tabletext"/>
            </w:pPr>
            <w:r w:rsidRPr="00A947AF">
              <w:t>Follow-up</w:t>
            </w:r>
            <w:r w:rsidRPr="00A947AF">
              <w:tab/>
            </w:r>
          </w:p>
        </w:tc>
        <w:tc>
          <w:tcPr>
            <w:tcW w:w="1077" w:type="dxa"/>
            <w:vAlign w:val="center"/>
            <w:hideMark/>
          </w:tcPr>
          <w:p w:rsidR="00415BFD" w:rsidRPr="00A947AF" w:rsidRDefault="00415BFD" w:rsidP="0030684A">
            <w:pPr>
              <w:pStyle w:val="Tabletext"/>
              <w:cnfStyle w:val="100000000000" w:firstRow="1" w:lastRow="0" w:firstColumn="0" w:lastColumn="0" w:oddVBand="0" w:evenVBand="0" w:oddHBand="0" w:evenHBand="0" w:firstRowFirstColumn="0" w:firstRowLastColumn="0" w:lastRowFirstColumn="0" w:lastRowLastColumn="0"/>
            </w:pPr>
            <w:r w:rsidRPr="00A947AF">
              <w:t>Effect Size</w:t>
            </w:r>
          </w:p>
        </w:tc>
        <w:tc>
          <w:tcPr>
            <w:tcW w:w="964" w:type="dxa"/>
            <w:noWrap/>
            <w:vAlign w:val="center"/>
            <w:hideMark/>
          </w:tcPr>
          <w:p w:rsidR="00415BFD" w:rsidRPr="00A947AF" w:rsidRDefault="00415BFD" w:rsidP="0030684A">
            <w:pPr>
              <w:pStyle w:val="Tabletext"/>
              <w:cnfStyle w:val="100000000000" w:firstRow="1" w:lastRow="0" w:firstColumn="0" w:lastColumn="0" w:oddVBand="0" w:evenVBand="0" w:oddHBand="0" w:evenHBand="0" w:firstRowFirstColumn="0" w:firstRowLastColumn="0" w:lastRowFirstColumn="0" w:lastRowLastColumn="0"/>
            </w:pPr>
            <w:r>
              <w:t>Lower 95% CI</w:t>
            </w:r>
          </w:p>
        </w:tc>
        <w:tc>
          <w:tcPr>
            <w:tcW w:w="964" w:type="dxa"/>
            <w:noWrap/>
            <w:vAlign w:val="center"/>
            <w:hideMark/>
          </w:tcPr>
          <w:p w:rsidR="00415BFD" w:rsidRPr="00A947AF" w:rsidRDefault="00415BFD" w:rsidP="0030684A">
            <w:pPr>
              <w:pStyle w:val="Tabletext"/>
              <w:cnfStyle w:val="100000000000" w:firstRow="1" w:lastRow="0" w:firstColumn="0" w:lastColumn="0" w:oddVBand="0" w:evenVBand="0" w:oddHBand="0" w:evenHBand="0" w:firstRowFirstColumn="0" w:firstRowLastColumn="0" w:lastRowFirstColumn="0" w:lastRowLastColumn="0"/>
            </w:pPr>
            <w:r>
              <w:t>Upper 95% CI</w:t>
            </w:r>
          </w:p>
        </w:tc>
      </w:tr>
      <w:tr w:rsidR="00415BFD" w:rsidRPr="00A947AF" w:rsidTr="007645D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572" w:type="dxa"/>
            <w:noWrap/>
            <w:vAlign w:val="bottom"/>
            <w:hideMark/>
          </w:tcPr>
          <w:p w:rsidR="00415BFD" w:rsidRPr="00A947AF" w:rsidRDefault="00415BFD" w:rsidP="0030684A">
            <w:pPr>
              <w:pStyle w:val="Tabletext"/>
            </w:pPr>
            <w:r w:rsidRPr="00A947AF">
              <w:t>PSYCH, Post-treatment</w:t>
            </w:r>
            <w:r>
              <w:t xml:space="preserve"> (4 study arms)</w:t>
            </w:r>
          </w:p>
        </w:tc>
        <w:tc>
          <w:tcPr>
            <w:tcW w:w="1077" w:type="dxa"/>
            <w:noWrap/>
            <w:vAlign w:val="bottom"/>
          </w:tcPr>
          <w:p w:rsidR="00415BFD" w:rsidRPr="00A947AF" w:rsidRDefault="00415BFD" w:rsidP="0030684A">
            <w:pPr>
              <w:pStyle w:val="Tabletext"/>
              <w:cnfStyle w:val="000000100000" w:firstRow="0" w:lastRow="0" w:firstColumn="0" w:lastColumn="0" w:oddVBand="0" w:evenVBand="0" w:oddHBand="1" w:evenHBand="0" w:firstRowFirstColumn="0" w:firstRowLastColumn="0" w:lastRowFirstColumn="0" w:lastRowLastColumn="0"/>
            </w:pPr>
            <w:r w:rsidRPr="00DF3DAF">
              <w:t>0.32</w:t>
            </w:r>
          </w:p>
        </w:tc>
        <w:tc>
          <w:tcPr>
            <w:tcW w:w="964" w:type="dxa"/>
            <w:noWrap/>
            <w:vAlign w:val="bottom"/>
          </w:tcPr>
          <w:p w:rsidR="00415BFD" w:rsidRPr="00A947AF" w:rsidRDefault="00415BFD" w:rsidP="0030684A">
            <w:pPr>
              <w:pStyle w:val="Tabletext"/>
              <w:cnfStyle w:val="000000100000" w:firstRow="0" w:lastRow="0" w:firstColumn="0" w:lastColumn="0" w:oddVBand="0" w:evenVBand="0" w:oddHBand="1" w:evenHBand="0" w:firstRowFirstColumn="0" w:firstRowLastColumn="0" w:lastRowFirstColumn="0" w:lastRowLastColumn="0"/>
            </w:pPr>
            <w:r w:rsidRPr="00DF3DAF">
              <w:t>0.13</w:t>
            </w:r>
          </w:p>
        </w:tc>
        <w:tc>
          <w:tcPr>
            <w:tcW w:w="964" w:type="dxa"/>
            <w:noWrap/>
            <w:vAlign w:val="bottom"/>
          </w:tcPr>
          <w:p w:rsidR="00415BFD" w:rsidRPr="00A947AF" w:rsidRDefault="00415BFD" w:rsidP="0030684A">
            <w:pPr>
              <w:pStyle w:val="Tabletext"/>
              <w:cnfStyle w:val="000000100000" w:firstRow="0" w:lastRow="0" w:firstColumn="0" w:lastColumn="0" w:oddVBand="0" w:evenVBand="0" w:oddHBand="1" w:evenHBand="0" w:firstRowFirstColumn="0" w:firstRowLastColumn="0" w:lastRowFirstColumn="0" w:lastRowLastColumn="0"/>
            </w:pPr>
            <w:r w:rsidRPr="00DF3DAF">
              <w:t>0.81</w:t>
            </w:r>
          </w:p>
        </w:tc>
      </w:tr>
      <w:tr w:rsidR="00415BFD" w:rsidRPr="00A947AF" w:rsidTr="007645D9">
        <w:trPr>
          <w:cnfStyle w:val="000000010000" w:firstRow="0" w:lastRow="0" w:firstColumn="0" w:lastColumn="0" w:oddVBand="0" w:evenVBand="0" w:oddHBand="0" w:evenHBand="1"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572" w:type="dxa"/>
            <w:noWrap/>
            <w:vAlign w:val="bottom"/>
            <w:hideMark/>
          </w:tcPr>
          <w:p w:rsidR="00415BFD" w:rsidRPr="00A947AF" w:rsidRDefault="00415BFD" w:rsidP="0030684A">
            <w:pPr>
              <w:pStyle w:val="Tabletext"/>
            </w:pPr>
            <w:r w:rsidRPr="00A947AF">
              <w:t>PSYCH, 6-9 months</w:t>
            </w:r>
            <w:r>
              <w:t xml:space="preserve"> (6 study arms)</w:t>
            </w:r>
          </w:p>
        </w:tc>
        <w:tc>
          <w:tcPr>
            <w:tcW w:w="1077" w:type="dxa"/>
            <w:noWrap/>
            <w:vAlign w:val="bottom"/>
          </w:tcPr>
          <w:p w:rsidR="00415BFD" w:rsidRPr="00A947AF" w:rsidRDefault="00415BFD" w:rsidP="0030684A">
            <w:pPr>
              <w:pStyle w:val="Tabletext"/>
              <w:cnfStyle w:val="000000010000" w:firstRow="0" w:lastRow="0" w:firstColumn="0" w:lastColumn="0" w:oddVBand="0" w:evenVBand="0" w:oddHBand="0" w:evenHBand="1" w:firstRowFirstColumn="0" w:firstRowLastColumn="0" w:lastRowFirstColumn="0" w:lastRowLastColumn="0"/>
            </w:pPr>
            <w:r w:rsidRPr="00DF3DAF">
              <w:t>0.35</w:t>
            </w:r>
          </w:p>
        </w:tc>
        <w:tc>
          <w:tcPr>
            <w:tcW w:w="964" w:type="dxa"/>
            <w:noWrap/>
            <w:vAlign w:val="bottom"/>
          </w:tcPr>
          <w:p w:rsidR="00415BFD" w:rsidRPr="00A947AF" w:rsidRDefault="00415BFD" w:rsidP="0030684A">
            <w:pPr>
              <w:pStyle w:val="Tabletext"/>
              <w:cnfStyle w:val="000000010000" w:firstRow="0" w:lastRow="0" w:firstColumn="0" w:lastColumn="0" w:oddVBand="0" w:evenVBand="0" w:oddHBand="0" w:evenHBand="1" w:firstRowFirstColumn="0" w:firstRowLastColumn="0" w:lastRowFirstColumn="0" w:lastRowLastColumn="0"/>
            </w:pPr>
            <w:r w:rsidRPr="00DF3DAF">
              <w:t>0.20</w:t>
            </w:r>
          </w:p>
        </w:tc>
        <w:tc>
          <w:tcPr>
            <w:tcW w:w="964" w:type="dxa"/>
            <w:noWrap/>
            <w:vAlign w:val="bottom"/>
          </w:tcPr>
          <w:p w:rsidR="00415BFD" w:rsidRPr="00A947AF" w:rsidRDefault="00415BFD" w:rsidP="0030684A">
            <w:pPr>
              <w:pStyle w:val="Tabletext"/>
              <w:cnfStyle w:val="000000010000" w:firstRow="0" w:lastRow="0" w:firstColumn="0" w:lastColumn="0" w:oddVBand="0" w:evenVBand="0" w:oddHBand="0" w:evenHBand="1" w:firstRowFirstColumn="0" w:firstRowLastColumn="0" w:lastRowFirstColumn="0" w:lastRowLastColumn="0"/>
            </w:pPr>
            <w:r w:rsidRPr="00DF3DAF">
              <w:t>0.61</w:t>
            </w:r>
          </w:p>
        </w:tc>
      </w:tr>
      <w:tr w:rsidR="00415BFD" w:rsidRPr="00A947AF" w:rsidTr="007645D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572" w:type="dxa"/>
            <w:noWrap/>
            <w:vAlign w:val="bottom"/>
            <w:hideMark/>
          </w:tcPr>
          <w:p w:rsidR="00415BFD" w:rsidRPr="00A947AF" w:rsidRDefault="00415BFD" w:rsidP="0030684A">
            <w:pPr>
              <w:pStyle w:val="Tabletext"/>
            </w:pPr>
            <w:r w:rsidRPr="00A947AF">
              <w:t>PSYCH, 12 months</w:t>
            </w:r>
            <w:r>
              <w:t xml:space="preserve"> (4 study arms)</w:t>
            </w:r>
          </w:p>
        </w:tc>
        <w:tc>
          <w:tcPr>
            <w:tcW w:w="1077" w:type="dxa"/>
            <w:noWrap/>
            <w:vAlign w:val="bottom"/>
          </w:tcPr>
          <w:p w:rsidR="00415BFD" w:rsidRPr="00A947AF" w:rsidRDefault="00415BFD" w:rsidP="0030684A">
            <w:pPr>
              <w:pStyle w:val="Tabletext"/>
              <w:cnfStyle w:val="000000100000" w:firstRow="0" w:lastRow="0" w:firstColumn="0" w:lastColumn="0" w:oddVBand="0" w:evenVBand="0" w:oddHBand="1" w:evenHBand="0" w:firstRowFirstColumn="0" w:firstRowLastColumn="0" w:lastRowFirstColumn="0" w:lastRowLastColumn="0"/>
            </w:pPr>
            <w:r w:rsidRPr="00DF3DAF">
              <w:t>0.71</w:t>
            </w:r>
          </w:p>
        </w:tc>
        <w:tc>
          <w:tcPr>
            <w:tcW w:w="964" w:type="dxa"/>
            <w:noWrap/>
            <w:vAlign w:val="bottom"/>
          </w:tcPr>
          <w:p w:rsidR="00415BFD" w:rsidRPr="00A947AF" w:rsidRDefault="00415BFD" w:rsidP="0030684A">
            <w:pPr>
              <w:pStyle w:val="Tabletext"/>
              <w:cnfStyle w:val="000000100000" w:firstRow="0" w:lastRow="0" w:firstColumn="0" w:lastColumn="0" w:oddVBand="0" w:evenVBand="0" w:oddHBand="1" w:evenHBand="0" w:firstRowFirstColumn="0" w:firstRowLastColumn="0" w:lastRowFirstColumn="0" w:lastRowLastColumn="0"/>
            </w:pPr>
            <w:r w:rsidRPr="00DF3DAF">
              <w:t>0.35</w:t>
            </w:r>
          </w:p>
        </w:tc>
        <w:tc>
          <w:tcPr>
            <w:tcW w:w="964" w:type="dxa"/>
            <w:noWrap/>
            <w:vAlign w:val="bottom"/>
          </w:tcPr>
          <w:p w:rsidR="00415BFD" w:rsidRPr="00A947AF" w:rsidRDefault="00415BFD" w:rsidP="0030684A">
            <w:pPr>
              <w:pStyle w:val="Tabletext"/>
              <w:cnfStyle w:val="000000100000" w:firstRow="0" w:lastRow="0" w:firstColumn="0" w:lastColumn="0" w:oddVBand="0" w:evenVBand="0" w:oddHBand="1" w:evenHBand="0" w:firstRowFirstColumn="0" w:firstRowLastColumn="0" w:lastRowFirstColumn="0" w:lastRowLastColumn="0"/>
            </w:pPr>
            <w:r w:rsidRPr="00DF3DAF">
              <w:t>1.43</w:t>
            </w:r>
          </w:p>
        </w:tc>
      </w:tr>
      <w:tr w:rsidR="00415BFD" w:rsidRPr="00A947AF" w:rsidTr="007645D9">
        <w:trPr>
          <w:cnfStyle w:val="000000010000" w:firstRow="0" w:lastRow="0" w:firstColumn="0" w:lastColumn="0" w:oddVBand="0" w:evenVBand="0" w:oddHBand="0" w:evenHBand="1"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572" w:type="dxa"/>
            <w:noWrap/>
            <w:vAlign w:val="bottom"/>
            <w:hideMark/>
          </w:tcPr>
          <w:p w:rsidR="00415BFD" w:rsidRPr="00A947AF" w:rsidRDefault="00415BFD" w:rsidP="0030684A">
            <w:pPr>
              <w:pStyle w:val="Tabletext"/>
            </w:pPr>
            <w:r w:rsidRPr="00A947AF">
              <w:t>PSYCH, 18-24 months</w:t>
            </w:r>
            <w:r>
              <w:t xml:space="preserve"> (2 study arms)</w:t>
            </w:r>
          </w:p>
        </w:tc>
        <w:tc>
          <w:tcPr>
            <w:tcW w:w="1077" w:type="dxa"/>
            <w:noWrap/>
            <w:vAlign w:val="bottom"/>
          </w:tcPr>
          <w:p w:rsidR="00415BFD" w:rsidRPr="00A947AF" w:rsidRDefault="00415BFD" w:rsidP="0030684A">
            <w:pPr>
              <w:pStyle w:val="Tabletext"/>
              <w:cnfStyle w:val="000000010000" w:firstRow="0" w:lastRow="0" w:firstColumn="0" w:lastColumn="0" w:oddVBand="0" w:evenVBand="0" w:oddHBand="0" w:evenHBand="1" w:firstRowFirstColumn="0" w:firstRowLastColumn="0" w:lastRowFirstColumn="0" w:lastRowLastColumn="0"/>
            </w:pPr>
            <w:r w:rsidRPr="00DF3DAF">
              <w:t>0.74</w:t>
            </w:r>
          </w:p>
        </w:tc>
        <w:tc>
          <w:tcPr>
            <w:tcW w:w="964" w:type="dxa"/>
            <w:noWrap/>
            <w:vAlign w:val="bottom"/>
          </w:tcPr>
          <w:p w:rsidR="00415BFD" w:rsidRPr="00A947AF" w:rsidRDefault="00415BFD" w:rsidP="0030684A">
            <w:pPr>
              <w:pStyle w:val="Tabletext"/>
              <w:cnfStyle w:val="000000010000" w:firstRow="0" w:lastRow="0" w:firstColumn="0" w:lastColumn="0" w:oddVBand="0" w:evenVBand="0" w:oddHBand="0" w:evenHBand="1" w:firstRowFirstColumn="0" w:firstRowLastColumn="0" w:lastRowFirstColumn="0" w:lastRowLastColumn="0"/>
            </w:pPr>
            <w:r w:rsidRPr="00DF3DAF">
              <w:t>0.41</w:t>
            </w:r>
          </w:p>
        </w:tc>
        <w:tc>
          <w:tcPr>
            <w:tcW w:w="964" w:type="dxa"/>
            <w:noWrap/>
            <w:vAlign w:val="bottom"/>
          </w:tcPr>
          <w:p w:rsidR="00415BFD" w:rsidRPr="00A947AF" w:rsidRDefault="00415BFD" w:rsidP="0030684A">
            <w:pPr>
              <w:pStyle w:val="Tabletext"/>
              <w:cnfStyle w:val="000000010000" w:firstRow="0" w:lastRow="0" w:firstColumn="0" w:lastColumn="0" w:oddVBand="0" w:evenVBand="0" w:oddHBand="0" w:evenHBand="1" w:firstRowFirstColumn="0" w:firstRowLastColumn="0" w:lastRowFirstColumn="0" w:lastRowLastColumn="0"/>
            </w:pPr>
            <w:r w:rsidRPr="00DF3DAF">
              <w:t>1.36</w:t>
            </w:r>
          </w:p>
        </w:tc>
      </w:tr>
    </w:tbl>
    <w:p w:rsidR="00415BFD" w:rsidRDefault="00415BFD" w:rsidP="00B062D3">
      <w:pPr>
        <w:rPr>
          <w:lang w:bidi="ar-SA"/>
        </w:rPr>
      </w:pPr>
    </w:p>
    <w:p w:rsidR="00415BFD" w:rsidRDefault="00415BFD" w:rsidP="00B062D3">
      <w:pPr>
        <w:rPr>
          <w:lang w:bidi="ar-SA"/>
        </w:rPr>
      </w:pPr>
    </w:p>
    <w:p w:rsidR="00415BFD" w:rsidRDefault="00415BFD" w:rsidP="009429C2">
      <w:pPr>
        <w:pStyle w:val="Heading3"/>
      </w:pPr>
      <w:bookmarkStart w:id="195" w:name="_Ref451441887"/>
      <w:bookmarkStart w:id="196" w:name="_Toc452066421"/>
      <w:r>
        <w:t xml:space="preserve">Sensitivity analysis </w:t>
      </w:r>
      <w:r w:rsidRPr="00DE0FF1">
        <w:t xml:space="preserve">modelling effect sizes </w:t>
      </w:r>
      <w:r>
        <w:t>based on</w:t>
      </w:r>
      <w:r w:rsidRPr="00DE0FF1">
        <w:t xml:space="preserve"> RCTs that use ITT analysis</w:t>
      </w:r>
      <w:bookmarkEnd w:id="195"/>
      <w:bookmarkEnd w:id="196"/>
    </w:p>
    <w:p w:rsidR="00415BFD" w:rsidRDefault="00415BFD" w:rsidP="009429C2">
      <w:r>
        <w:rPr>
          <w:lang w:bidi="ar-SA"/>
        </w:rPr>
        <w:t xml:space="preserve">In the baseline analysis, we assumed that all pooled intervention effect sizes used in the baseline model (see section </w:t>
      </w:r>
      <w:r>
        <w:rPr>
          <w:lang w:bidi="ar-SA"/>
        </w:rPr>
        <w:fldChar w:fldCharType="begin"/>
      </w:r>
      <w:r>
        <w:rPr>
          <w:lang w:bidi="ar-SA"/>
        </w:rPr>
        <w:instrText xml:space="preserve"> REF _Ref450750833 \r \h </w:instrText>
      </w:r>
      <w:r>
        <w:rPr>
          <w:lang w:bidi="ar-SA"/>
        </w:rPr>
      </w:r>
      <w:r>
        <w:rPr>
          <w:lang w:bidi="ar-SA"/>
        </w:rPr>
        <w:fldChar w:fldCharType="separate"/>
      </w:r>
      <w:r>
        <w:rPr>
          <w:lang w:bidi="ar-SA"/>
        </w:rPr>
        <w:t>2</w:t>
      </w:r>
      <w:r>
        <w:rPr>
          <w:lang w:bidi="ar-SA"/>
        </w:rPr>
        <w:fldChar w:fldCharType="end"/>
      </w:r>
      <w:r>
        <w:rPr>
          <w:lang w:bidi="ar-SA"/>
        </w:rPr>
        <w:t xml:space="preserve">) used an intention-to-treat (ITT) approach, such that they (implicitly) incorporated the impact of non-adherence (i.e., non-compliance and loss to follow-up). However, there were several universal and indicated RCT studies that: did not use an ITT analysis; or failed to report its use in the study design (implying that it wasn’t implemented). We investigated the impact of the baseline intervention adherence assumption by conducting separate sensitivity analyses to test the effect of only including studies using an ITT analysis in effect size calculations. The pooled effect sizes for study arms using an ITT approach (see </w:t>
      </w:r>
      <w:r>
        <w:rPr>
          <w:lang w:bidi="ar-SA"/>
        </w:rPr>
        <w:fldChar w:fldCharType="begin"/>
      </w:r>
      <w:r>
        <w:rPr>
          <w:lang w:bidi="ar-SA"/>
        </w:rPr>
        <w:instrText xml:space="preserve"> REF _Ref432884016 \n \h </w:instrText>
      </w:r>
      <w:r>
        <w:rPr>
          <w:lang w:bidi="ar-SA"/>
        </w:rPr>
      </w:r>
      <w:r>
        <w:rPr>
          <w:lang w:bidi="ar-SA"/>
        </w:rPr>
        <w:fldChar w:fldCharType="separate"/>
      </w:r>
      <w:r>
        <w:rPr>
          <w:lang w:bidi="ar-SA"/>
        </w:rPr>
        <w:t>Table 5</w:t>
      </w:r>
      <w:r>
        <w:rPr>
          <w:lang w:bidi="ar-SA"/>
        </w:rPr>
        <w:fldChar w:fldCharType="end"/>
      </w:r>
      <w:r>
        <w:rPr>
          <w:lang w:bidi="ar-SA"/>
        </w:rPr>
        <w:t xml:space="preserve"> and </w:t>
      </w:r>
      <w:r>
        <w:rPr>
          <w:lang w:bidi="ar-SA"/>
        </w:rPr>
        <w:fldChar w:fldCharType="begin"/>
      </w:r>
      <w:r>
        <w:rPr>
          <w:lang w:bidi="ar-SA"/>
        </w:rPr>
        <w:instrText xml:space="preserve"> REF _Ref432883546 \n \h </w:instrText>
      </w:r>
      <w:r>
        <w:rPr>
          <w:lang w:bidi="ar-SA"/>
        </w:rPr>
      </w:r>
      <w:r>
        <w:rPr>
          <w:lang w:bidi="ar-SA"/>
        </w:rPr>
        <w:fldChar w:fldCharType="separate"/>
      </w:r>
      <w:r>
        <w:rPr>
          <w:lang w:bidi="ar-SA"/>
        </w:rPr>
        <w:t>Table 6</w:t>
      </w:r>
      <w:r>
        <w:rPr>
          <w:lang w:bidi="ar-SA"/>
        </w:rPr>
        <w:fldChar w:fldCharType="end"/>
      </w:r>
      <w:r>
        <w:rPr>
          <w:lang w:bidi="ar-SA"/>
        </w:rPr>
        <w:t xml:space="preserve"> for the list of studies) are shown in </w:t>
      </w:r>
      <w:r>
        <w:rPr>
          <w:lang w:bidi="ar-SA"/>
        </w:rPr>
        <w:fldChar w:fldCharType="begin"/>
      </w:r>
      <w:r>
        <w:rPr>
          <w:lang w:bidi="ar-SA"/>
        </w:rPr>
        <w:instrText xml:space="preserve"> REF _Ref432949253 \n \h </w:instrText>
      </w:r>
      <w:r>
        <w:rPr>
          <w:lang w:bidi="ar-SA"/>
        </w:rPr>
      </w:r>
      <w:r>
        <w:rPr>
          <w:lang w:bidi="ar-SA"/>
        </w:rPr>
        <w:fldChar w:fldCharType="separate"/>
      </w:r>
      <w:r>
        <w:rPr>
          <w:lang w:bidi="ar-SA"/>
        </w:rPr>
        <w:t>Table 28</w:t>
      </w:r>
      <w:r>
        <w:rPr>
          <w:lang w:bidi="ar-SA"/>
        </w:rPr>
        <w:fldChar w:fldCharType="end"/>
      </w:r>
      <w:r>
        <w:rPr>
          <w:lang w:bidi="ar-SA"/>
        </w:rPr>
        <w:t xml:space="preserve"> for universal psychological prevention and </w:t>
      </w:r>
      <w:r>
        <w:rPr>
          <w:lang w:bidi="ar-SA"/>
        </w:rPr>
        <w:fldChar w:fldCharType="begin"/>
      </w:r>
      <w:r>
        <w:rPr>
          <w:lang w:bidi="ar-SA"/>
        </w:rPr>
        <w:instrText xml:space="preserve"> REF _Ref432888098 \n \h </w:instrText>
      </w:r>
      <w:r>
        <w:rPr>
          <w:lang w:bidi="ar-SA"/>
        </w:rPr>
      </w:r>
      <w:r>
        <w:rPr>
          <w:lang w:bidi="ar-SA"/>
        </w:rPr>
        <w:fldChar w:fldCharType="separate"/>
      </w:r>
      <w:r>
        <w:rPr>
          <w:lang w:bidi="ar-SA"/>
        </w:rPr>
        <w:t>Table 29</w:t>
      </w:r>
      <w:r>
        <w:rPr>
          <w:lang w:bidi="ar-SA"/>
        </w:rPr>
        <w:fldChar w:fldCharType="end"/>
      </w:r>
      <w:r>
        <w:rPr>
          <w:lang w:bidi="ar-SA"/>
        </w:rPr>
        <w:t xml:space="preserve"> for indicated psychological prevention.</w:t>
      </w:r>
      <w:bookmarkStart w:id="197" w:name="_Ref432888087"/>
      <w:r>
        <w:rPr>
          <w:lang w:bidi="ar-SA"/>
        </w:rPr>
        <w:t xml:space="preserve"> In the meta-analysis of universal prevention studies, we observed that intervention effect sizes for studies using an ITT analysis tended towards the null (i.e., they are closer to RR = 1.0) than studies that do not use /report using an ITT analysis. In the meta-analysis of indicated prevention studies, we found that pooled intervention effect sizes calculated based on studies using an intention-to-treat approach were fairly similar to the pooled intervention effect sizes calculate when including both studies that do and do not use an intention-to-treat analysis (see section </w:t>
      </w:r>
      <w:r>
        <w:rPr>
          <w:lang w:bidi="ar-SA"/>
        </w:rPr>
        <w:fldChar w:fldCharType="begin"/>
      </w:r>
      <w:r>
        <w:rPr>
          <w:lang w:bidi="ar-SA"/>
        </w:rPr>
        <w:instrText xml:space="preserve"> REF _Ref451271661 \n \h </w:instrText>
      </w:r>
      <w:r>
        <w:rPr>
          <w:lang w:bidi="ar-SA"/>
        </w:rPr>
      </w:r>
      <w:r>
        <w:rPr>
          <w:lang w:bidi="ar-SA"/>
        </w:rPr>
        <w:fldChar w:fldCharType="separate"/>
      </w:r>
      <w:r>
        <w:rPr>
          <w:lang w:bidi="ar-SA"/>
        </w:rPr>
        <w:t>2.4</w:t>
      </w:r>
      <w:r>
        <w:rPr>
          <w:lang w:bidi="ar-SA"/>
        </w:rPr>
        <w:fldChar w:fldCharType="end"/>
      </w:r>
      <w:r>
        <w:rPr>
          <w:lang w:bidi="ar-SA"/>
        </w:rPr>
        <w:t>). The pooled intervention effect sizes calculated in this sensitivity analysis support the argument that effect sizes used in the baseline analysis are conservative – i.e., are not biased such that we are using inflated effect sizes that, in turn, lead to more favourable cost-effectiveness results.</w:t>
      </w:r>
      <w:r w:rsidRPr="00982CBE">
        <w:rPr>
          <w:lang w:bidi="ar-SA"/>
        </w:rPr>
        <w:t xml:space="preserve"> </w:t>
      </w:r>
      <w:r>
        <w:rPr>
          <w:lang w:bidi="ar-SA"/>
        </w:rPr>
        <w:t>Note that we only modelled effect sizes that reached the 5% level of significance (as in the baseline analysis).</w:t>
      </w:r>
    </w:p>
    <w:p w:rsidR="00415BFD" w:rsidRDefault="00415BFD" w:rsidP="009429C2"/>
    <w:p w:rsidR="00415BFD" w:rsidRDefault="00415BFD" w:rsidP="00415BFD">
      <w:pPr>
        <w:pStyle w:val="MyTable"/>
        <w:numPr>
          <w:ilvl w:val="3"/>
          <w:numId w:val="9"/>
        </w:numPr>
      </w:pPr>
      <w:bookmarkStart w:id="198" w:name="_Ref432949253"/>
      <w:bookmarkStart w:id="199" w:name="_Toc452066473"/>
      <w:r>
        <w:t>Pooled effect sizes for universal psychological intervention when limiting the scope of studies to those using an intention-to-treat approach</w:t>
      </w:r>
      <w:bookmarkEnd w:id="197"/>
      <w:bookmarkEnd w:id="198"/>
      <w:bookmarkEnd w:id="199"/>
    </w:p>
    <w:tbl>
      <w:tblPr>
        <w:tblStyle w:val="MediumShading1-Accent1"/>
        <w:tblW w:w="6577" w:type="dxa"/>
        <w:jc w:val="center"/>
        <w:tblLook w:val="04A0" w:firstRow="1" w:lastRow="0" w:firstColumn="1" w:lastColumn="0" w:noHBand="0" w:noVBand="1"/>
      </w:tblPr>
      <w:tblGrid>
        <w:gridCol w:w="3572"/>
        <w:gridCol w:w="1077"/>
        <w:gridCol w:w="964"/>
        <w:gridCol w:w="964"/>
      </w:tblGrid>
      <w:tr w:rsidR="00415BFD" w:rsidRPr="00A947AF" w:rsidTr="002561B1">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3572" w:type="dxa"/>
            <w:noWrap/>
            <w:vAlign w:val="center"/>
            <w:hideMark/>
          </w:tcPr>
          <w:p w:rsidR="00415BFD" w:rsidRPr="00A947AF" w:rsidRDefault="00415BFD" w:rsidP="00CC1B35">
            <w:pPr>
              <w:pStyle w:val="Tabletext"/>
            </w:pPr>
            <w:r w:rsidRPr="00A947AF">
              <w:t>Follow-up</w:t>
            </w:r>
            <w:r w:rsidRPr="00A947AF">
              <w:tab/>
            </w:r>
          </w:p>
        </w:tc>
        <w:tc>
          <w:tcPr>
            <w:tcW w:w="1077" w:type="dxa"/>
            <w:vAlign w:val="center"/>
            <w:hideMark/>
          </w:tcPr>
          <w:p w:rsidR="00415BFD" w:rsidRPr="00A947AF" w:rsidRDefault="00415BFD" w:rsidP="00CC1B35">
            <w:pPr>
              <w:pStyle w:val="Tabletext"/>
              <w:cnfStyle w:val="100000000000" w:firstRow="1" w:lastRow="0" w:firstColumn="0" w:lastColumn="0" w:oddVBand="0" w:evenVBand="0" w:oddHBand="0" w:evenHBand="0" w:firstRowFirstColumn="0" w:firstRowLastColumn="0" w:lastRowFirstColumn="0" w:lastRowLastColumn="0"/>
            </w:pPr>
            <w:r w:rsidRPr="00A947AF">
              <w:t>Effect Size</w:t>
            </w:r>
          </w:p>
        </w:tc>
        <w:tc>
          <w:tcPr>
            <w:tcW w:w="964" w:type="dxa"/>
            <w:noWrap/>
            <w:vAlign w:val="center"/>
            <w:hideMark/>
          </w:tcPr>
          <w:p w:rsidR="00415BFD" w:rsidRPr="00A947AF" w:rsidRDefault="00415BFD" w:rsidP="00CC1B35">
            <w:pPr>
              <w:pStyle w:val="Tabletext"/>
              <w:cnfStyle w:val="100000000000" w:firstRow="1" w:lastRow="0" w:firstColumn="0" w:lastColumn="0" w:oddVBand="0" w:evenVBand="0" w:oddHBand="0" w:evenHBand="0" w:firstRowFirstColumn="0" w:firstRowLastColumn="0" w:lastRowFirstColumn="0" w:lastRowLastColumn="0"/>
            </w:pPr>
            <w:r>
              <w:t>Lower 95% CI</w:t>
            </w:r>
          </w:p>
        </w:tc>
        <w:tc>
          <w:tcPr>
            <w:tcW w:w="964" w:type="dxa"/>
            <w:noWrap/>
            <w:vAlign w:val="center"/>
            <w:hideMark/>
          </w:tcPr>
          <w:p w:rsidR="00415BFD" w:rsidRPr="00A947AF" w:rsidRDefault="00415BFD" w:rsidP="00CC1B35">
            <w:pPr>
              <w:pStyle w:val="Tabletext"/>
              <w:cnfStyle w:val="100000000000" w:firstRow="1" w:lastRow="0" w:firstColumn="0" w:lastColumn="0" w:oddVBand="0" w:evenVBand="0" w:oddHBand="0" w:evenHBand="0" w:firstRowFirstColumn="0" w:firstRowLastColumn="0" w:lastRowFirstColumn="0" w:lastRowLastColumn="0"/>
            </w:pPr>
            <w:r>
              <w:t>Upper 95% CI</w:t>
            </w:r>
          </w:p>
        </w:tc>
      </w:tr>
      <w:tr w:rsidR="00415BFD" w:rsidRPr="00A947AF" w:rsidTr="007C7FE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572" w:type="dxa"/>
            <w:noWrap/>
            <w:vAlign w:val="bottom"/>
            <w:hideMark/>
          </w:tcPr>
          <w:p w:rsidR="00415BFD" w:rsidRPr="00A947AF" w:rsidRDefault="00415BFD" w:rsidP="00DC255D">
            <w:pPr>
              <w:pStyle w:val="Tabletext"/>
            </w:pPr>
            <w:r w:rsidRPr="00A947AF">
              <w:t>PSYCH, Post-treatment</w:t>
            </w:r>
            <w:r>
              <w:t xml:space="preserve"> (3 study arms)</w:t>
            </w:r>
          </w:p>
        </w:tc>
        <w:tc>
          <w:tcPr>
            <w:tcW w:w="1077" w:type="dxa"/>
            <w:noWrap/>
            <w:vAlign w:val="bottom"/>
            <w:hideMark/>
          </w:tcPr>
          <w:p w:rsidR="00415BFD" w:rsidRPr="00A947AF" w:rsidRDefault="00415BFD" w:rsidP="00DC255D">
            <w:pPr>
              <w:pStyle w:val="Tabletext"/>
              <w:cnfStyle w:val="000000100000" w:firstRow="0" w:lastRow="0" w:firstColumn="0" w:lastColumn="0" w:oddVBand="0" w:evenVBand="0" w:oddHBand="1" w:evenHBand="0" w:firstRowFirstColumn="0" w:firstRowLastColumn="0" w:lastRowFirstColumn="0" w:lastRowLastColumn="0"/>
            </w:pPr>
            <w:r w:rsidRPr="00C42FB3">
              <w:t>0.90</w:t>
            </w:r>
          </w:p>
        </w:tc>
        <w:tc>
          <w:tcPr>
            <w:tcW w:w="964" w:type="dxa"/>
            <w:noWrap/>
            <w:vAlign w:val="bottom"/>
            <w:hideMark/>
          </w:tcPr>
          <w:p w:rsidR="00415BFD" w:rsidRPr="00A947AF" w:rsidRDefault="00415BFD" w:rsidP="00DC255D">
            <w:pPr>
              <w:pStyle w:val="Tabletext"/>
              <w:cnfStyle w:val="000000100000" w:firstRow="0" w:lastRow="0" w:firstColumn="0" w:lastColumn="0" w:oddVBand="0" w:evenVBand="0" w:oddHBand="1" w:evenHBand="0" w:firstRowFirstColumn="0" w:firstRowLastColumn="0" w:lastRowFirstColumn="0" w:lastRowLastColumn="0"/>
            </w:pPr>
            <w:r w:rsidRPr="00C42FB3">
              <w:t>0.66</w:t>
            </w:r>
          </w:p>
        </w:tc>
        <w:tc>
          <w:tcPr>
            <w:tcW w:w="964" w:type="dxa"/>
            <w:noWrap/>
            <w:vAlign w:val="bottom"/>
            <w:hideMark/>
          </w:tcPr>
          <w:p w:rsidR="00415BFD" w:rsidRPr="00A947AF" w:rsidRDefault="00415BFD" w:rsidP="00DC255D">
            <w:pPr>
              <w:pStyle w:val="Tabletext"/>
              <w:cnfStyle w:val="000000100000" w:firstRow="0" w:lastRow="0" w:firstColumn="0" w:lastColumn="0" w:oddVBand="0" w:evenVBand="0" w:oddHBand="1" w:evenHBand="0" w:firstRowFirstColumn="0" w:firstRowLastColumn="0" w:lastRowFirstColumn="0" w:lastRowLastColumn="0"/>
            </w:pPr>
            <w:r w:rsidRPr="00C42FB3">
              <w:t>1.24</w:t>
            </w:r>
          </w:p>
        </w:tc>
      </w:tr>
      <w:tr w:rsidR="00415BFD" w:rsidRPr="00A947AF" w:rsidTr="007C7FE9">
        <w:trPr>
          <w:cnfStyle w:val="000000010000" w:firstRow="0" w:lastRow="0" w:firstColumn="0" w:lastColumn="0" w:oddVBand="0" w:evenVBand="0" w:oddHBand="0" w:evenHBand="1"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572" w:type="dxa"/>
            <w:noWrap/>
            <w:vAlign w:val="bottom"/>
            <w:hideMark/>
          </w:tcPr>
          <w:p w:rsidR="00415BFD" w:rsidRPr="00A947AF" w:rsidRDefault="00415BFD" w:rsidP="002561B1">
            <w:pPr>
              <w:pStyle w:val="Tabletext"/>
            </w:pPr>
            <w:r w:rsidRPr="00A947AF">
              <w:t>PSYCH, 6-9 months</w:t>
            </w:r>
            <w:r>
              <w:t xml:space="preserve"> (4 study arms)</w:t>
            </w:r>
          </w:p>
        </w:tc>
        <w:tc>
          <w:tcPr>
            <w:tcW w:w="1077" w:type="dxa"/>
            <w:noWrap/>
            <w:vAlign w:val="bottom"/>
            <w:hideMark/>
          </w:tcPr>
          <w:p w:rsidR="00415BFD" w:rsidRPr="00A947AF" w:rsidRDefault="00415BFD" w:rsidP="00DC255D">
            <w:pPr>
              <w:pStyle w:val="Tabletext"/>
              <w:cnfStyle w:val="000000010000" w:firstRow="0" w:lastRow="0" w:firstColumn="0" w:lastColumn="0" w:oddVBand="0" w:evenVBand="0" w:oddHBand="0" w:evenHBand="1" w:firstRowFirstColumn="0" w:firstRowLastColumn="0" w:lastRowFirstColumn="0" w:lastRowLastColumn="0"/>
            </w:pPr>
            <w:r w:rsidRPr="00C42FB3">
              <w:t>0.61</w:t>
            </w:r>
          </w:p>
        </w:tc>
        <w:tc>
          <w:tcPr>
            <w:tcW w:w="964" w:type="dxa"/>
            <w:noWrap/>
            <w:vAlign w:val="bottom"/>
            <w:hideMark/>
          </w:tcPr>
          <w:p w:rsidR="00415BFD" w:rsidRPr="00A947AF" w:rsidRDefault="00415BFD" w:rsidP="00DC255D">
            <w:pPr>
              <w:pStyle w:val="Tabletext"/>
              <w:cnfStyle w:val="000000010000" w:firstRow="0" w:lastRow="0" w:firstColumn="0" w:lastColumn="0" w:oddVBand="0" w:evenVBand="0" w:oddHBand="0" w:evenHBand="1" w:firstRowFirstColumn="0" w:firstRowLastColumn="0" w:lastRowFirstColumn="0" w:lastRowLastColumn="0"/>
            </w:pPr>
            <w:r w:rsidRPr="00C42FB3">
              <w:t>0.40</w:t>
            </w:r>
          </w:p>
        </w:tc>
        <w:tc>
          <w:tcPr>
            <w:tcW w:w="964" w:type="dxa"/>
            <w:noWrap/>
            <w:vAlign w:val="bottom"/>
            <w:hideMark/>
          </w:tcPr>
          <w:p w:rsidR="00415BFD" w:rsidRPr="00A947AF" w:rsidRDefault="00415BFD" w:rsidP="00DC255D">
            <w:pPr>
              <w:pStyle w:val="Tabletext"/>
              <w:cnfStyle w:val="000000010000" w:firstRow="0" w:lastRow="0" w:firstColumn="0" w:lastColumn="0" w:oddVBand="0" w:evenVBand="0" w:oddHBand="0" w:evenHBand="1" w:firstRowFirstColumn="0" w:firstRowLastColumn="0" w:lastRowFirstColumn="0" w:lastRowLastColumn="0"/>
            </w:pPr>
            <w:r w:rsidRPr="00C42FB3">
              <w:t>0.92</w:t>
            </w:r>
          </w:p>
        </w:tc>
      </w:tr>
      <w:tr w:rsidR="00415BFD" w:rsidRPr="00A947AF" w:rsidTr="007C7FE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572" w:type="dxa"/>
            <w:noWrap/>
            <w:vAlign w:val="bottom"/>
            <w:hideMark/>
          </w:tcPr>
          <w:p w:rsidR="00415BFD" w:rsidRPr="00A947AF" w:rsidRDefault="00415BFD" w:rsidP="002561B1">
            <w:pPr>
              <w:pStyle w:val="Tabletext"/>
            </w:pPr>
            <w:r w:rsidRPr="00A947AF">
              <w:t>PSYCH, 12 months</w:t>
            </w:r>
            <w:r>
              <w:t xml:space="preserve"> (3 study arms)</w:t>
            </w:r>
          </w:p>
        </w:tc>
        <w:tc>
          <w:tcPr>
            <w:tcW w:w="1077" w:type="dxa"/>
            <w:noWrap/>
            <w:vAlign w:val="bottom"/>
            <w:hideMark/>
          </w:tcPr>
          <w:p w:rsidR="00415BFD" w:rsidRPr="00A947AF" w:rsidRDefault="00415BFD" w:rsidP="00DC255D">
            <w:pPr>
              <w:pStyle w:val="Tabletext"/>
              <w:cnfStyle w:val="000000100000" w:firstRow="0" w:lastRow="0" w:firstColumn="0" w:lastColumn="0" w:oddVBand="0" w:evenVBand="0" w:oddHBand="1" w:evenHBand="0" w:firstRowFirstColumn="0" w:firstRowLastColumn="0" w:lastRowFirstColumn="0" w:lastRowLastColumn="0"/>
            </w:pPr>
            <w:r w:rsidRPr="00C42FB3">
              <w:t>0.99</w:t>
            </w:r>
          </w:p>
        </w:tc>
        <w:tc>
          <w:tcPr>
            <w:tcW w:w="964" w:type="dxa"/>
            <w:noWrap/>
            <w:vAlign w:val="bottom"/>
            <w:hideMark/>
          </w:tcPr>
          <w:p w:rsidR="00415BFD" w:rsidRPr="00A947AF" w:rsidRDefault="00415BFD" w:rsidP="00DC255D">
            <w:pPr>
              <w:pStyle w:val="Tabletext"/>
              <w:cnfStyle w:val="000000100000" w:firstRow="0" w:lastRow="0" w:firstColumn="0" w:lastColumn="0" w:oddVBand="0" w:evenVBand="0" w:oddHBand="1" w:evenHBand="0" w:firstRowFirstColumn="0" w:firstRowLastColumn="0" w:lastRowFirstColumn="0" w:lastRowLastColumn="0"/>
            </w:pPr>
            <w:r w:rsidRPr="00C42FB3">
              <w:t>0.70</w:t>
            </w:r>
          </w:p>
        </w:tc>
        <w:tc>
          <w:tcPr>
            <w:tcW w:w="964" w:type="dxa"/>
            <w:noWrap/>
            <w:vAlign w:val="bottom"/>
            <w:hideMark/>
          </w:tcPr>
          <w:p w:rsidR="00415BFD" w:rsidRPr="00A947AF" w:rsidRDefault="00415BFD" w:rsidP="00DC255D">
            <w:pPr>
              <w:pStyle w:val="Tabletext"/>
              <w:cnfStyle w:val="000000100000" w:firstRow="0" w:lastRow="0" w:firstColumn="0" w:lastColumn="0" w:oddVBand="0" w:evenVBand="0" w:oddHBand="1" w:evenHBand="0" w:firstRowFirstColumn="0" w:firstRowLastColumn="0" w:lastRowFirstColumn="0" w:lastRowLastColumn="0"/>
            </w:pPr>
            <w:r w:rsidRPr="00C42FB3">
              <w:t>1.42</w:t>
            </w:r>
          </w:p>
        </w:tc>
      </w:tr>
      <w:tr w:rsidR="00415BFD" w:rsidRPr="00A947AF" w:rsidTr="007C7FE9">
        <w:trPr>
          <w:cnfStyle w:val="000000010000" w:firstRow="0" w:lastRow="0" w:firstColumn="0" w:lastColumn="0" w:oddVBand="0" w:evenVBand="0" w:oddHBand="0" w:evenHBand="1"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572" w:type="dxa"/>
            <w:noWrap/>
            <w:vAlign w:val="bottom"/>
            <w:hideMark/>
          </w:tcPr>
          <w:p w:rsidR="00415BFD" w:rsidRPr="00A947AF" w:rsidRDefault="00415BFD" w:rsidP="002561B1">
            <w:pPr>
              <w:pStyle w:val="Tabletext"/>
            </w:pPr>
            <w:r w:rsidRPr="00A947AF">
              <w:t>PSYCH, 18-24 months</w:t>
            </w:r>
            <w:r>
              <w:t xml:space="preserve"> (1 study arms)</w:t>
            </w:r>
          </w:p>
        </w:tc>
        <w:tc>
          <w:tcPr>
            <w:tcW w:w="1077" w:type="dxa"/>
            <w:noWrap/>
            <w:vAlign w:val="bottom"/>
            <w:hideMark/>
          </w:tcPr>
          <w:p w:rsidR="00415BFD" w:rsidRPr="00A947AF" w:rsidRDefault="00415BFD" w:rsidP="00DC255D">
            <w:pPr>
              <w:pStyle w:val="Tabletext"/>
              <w:cnfStyle w:val="000000010000" w:firstRow="0" w:lastRow="0" w:firstColumn="0" w:lastColumn="0" w:oddVBand="0" w:evenVBand="0" w:oddHBand="0" w:evenHBand="1" w:firstRowFirstColumn="0" w:firstRowLastColumn="0" w:lastRowFirstColumn="0" w:lastRowLastColumn="0"/>
            </w:pPr>
            <w:r w:rsidRPr="00C42FB3">
              <w:t>1.04</w:t>
            </w:r>
          </w:p>
        </w:tc>
        <w:tc>
          <w:tcPr>
            <w:tcW w:w="964" w:type="dxa"/>
            <w:noWrap/>
            <w:vAlign w:val="bottom"/>
            <w:hideMark/>
          </w:tcPr>
          <w:p w:rsidR="00415BFD" w:rsidRPr="00A947AF" w:rsidRDefault="00415BFD" w:rsidP="00DC255D">
            <w:pPr>
              <w:pStyle w:val="Tabletext"/>
              <w:cnfStyle w:val="000000010000" w:firstRow="0" w:lastRow="0" w:firstColumn="0" w:lastColumn="0" w:oddVBand="0" w:evenVBand="0" w:oddHBand="0" w:evenHBand="1" w:firstRowFirstColumn="0" w:firstRowLastColumn="0" w:lastRowFirstColumn="0" w:lastRowLastColumn="0"/>
            </w:pPr>
            <w:r w:rsidRPr="00C42FB3">
              <w:t>0.81</w:t>
            </w:r>
          </w:p>
        </w:tc>
        <w:tc>
          <w:tcPr>
            <w:tcW w:w="964" w:type="dxa"/>
            <w:noWrap/>
            <w:vAlign w:val="bottom"/>
            <w:hideMark/>
          </w:tcPr>
          <w:p w:rsidR="00415BFD" w:rsidRPr="00A947AF" w:rsidRDefault="00415BFD" w:rsidP="00DC255D">
            <w:pPr>
              <w:pStyle w:val="Tabletext"/>
              <w:cnfStyle w:val="000000010000" w:firstRow="0" w:lastRow="0" w:firstColumn="0" w:lastColumn="0" w:oddVBand="0" w:evenVBand="0" w:oddHBand="0" w:evenHBand="1" w:firstRowFirstColumn="0" w:firstRowLastColumn="0" w:lastRowFirstColumn="0" w:lastRowLastColumn="0"/>
            </w:pPr>
            <w:r w:rsidRPr="00C42FB3">
              <w:t>1.36</w:t>
            </w:r>
          </w:p>
        </w:tc>
      </w:tr>
    </w:tbl>
    <w:p w:rsidR="00415BFD" w:rsidRDefault="00415BFD" w:rsidP="009429C2"/>
    <w:p w:rsidR="00415BFD" w:rsidRDefault="00415BFD">
      <w:pPr>
        <w:spacing w:line="240" w:lineRule="auto"/>
        <w:jc w:val="left"/>
      </w:pPr>
      <w:r>
        <w:br w:type="page"/>
      </w:r>
    </w:p>
    <w:p w:rsidR="00415BFD" w:rsidRDefault="00415BFD" w:rsidP="00415BFD">
      <w:pPr>
        <w:pStyle w:val="MyTable"/>
        <w:numPr>
          <w:ilvl w:val="3"/>
          <w:numId w:val="9"/>
        </w:numPr>
      </w:pPr>
      <w:bookmarkStart w:id="200" w:name="_Ref432888098"/>
      <w:bookmarkStart w:id="201" w:name="_Toc452066474"/>
      <w:r>
        <w:lastRenderedPageBreak/>
        <w:t>Pooled effect sizes for indicated psychological intervention when limiting the scope of studies to those using an intention-to-treat approach</w:t>
      </w:r>
      <w:bookmarkEnd w:id="200"/>
      <w:bookmarkEnd w:id="201"/>
    </w:p>
    <w:tbl>
      <w:tblPr>
        <w:tblStyle w:val="MediumShading1-Accent1"/>
        <w:tblW w:w="6577" w:type="dxa"/>
        <w:jc w:val="center"/>
        <w:tblLook w:val="04A0" w:firstRow="1" w:lastRow="0" w:firstColumn="1" w:lastColumn="0" w:noHBand="0" w:noVBand="1"/>
      </w:tblPr>
      <w:tblGrid>
        <w:gridCol w:w="3572"/>
        <w:gridCol w:w="1077"/>
        <w:gridCol w:w="964"/>
        <w:gridCol w:w="964"/>
      </w:tblGrid>
      <w:tr w:rsidR="00415BFD" w:rsidRPr="00A947AF" w:rsidTr="002561B1">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3572" w:type="dxa"/>
            <w:noWrap/>
            <w:vAlign w:val="center"/>
            <w:hideMark/>
          </w:tcPr>
          <w:p w:rsidR="00415BFD" w:rsidRPr="00A947AF" w:rsidRDefault="00415BFD" w:rsidP="00CC1B35">
            <w:pPr>
              <w:pStyle w:val="Tabletext"/>
            </w:pPr>
            <w:r w:rsidRPr="00A947AF">
              <w:t>Follow-up</w:t>
            </w:r>
            <w:r w:rsidRPr="00A947AF">
              <w:tab/>
            </w:r>
          </w:p>
        </w:tc>
        <w:tc>
          <w:tcPr>
            <w:tcW w:w="1077" w:type="dxa"/>
            <w:vAlign w:val="center"/>
            <w:hideMark/>
          </w:tcPr>
          <w:p w:rsidR="00415BFD" w:rsidRPr="00A947AF" w:rsidRDefault="00415BFD" w:rsidP="00CC1B35">
            <w:pPr>
              <w:pStyle w:val="Tabletext"/>
              <w:cnfStyle w:val="100000000000" w:firstRow="1" w:lastRow="0" w:firstColumn="0" w:lastColumn="0" w:oddVBand="0" w:evenVBand="0" w:oddHBand="0" w:evenHBand="0" w:firstRowFirstColumn="0" w:firstRowLastColumn="0" w:lastRowFirstColumn="0" w:lastRowLastColumn="0"/>
            </w:pPr>
            <w:r w:rsidRPr="00A947AF">
              <w:t>Effect Size</w:t>
            </w:r>
          </w:p>
        </w:tc>
        <w:tc>
          <w:tcPr>
            <w:tcW w:w="964" w:type="dxa"/>
            <w:noWrap/>
            <w:vAlign w:val="center"/>
            <w:hideMark/>
          </w:tcPr>
          <w:p w:rsidR="00415BFD" w:rsidRPr="00A947AF" w:rsidRDefault="00415BFD" w:rsidP="00CC1B35">
            <w:pPr>
              <w:pStyle w:val="Tabletext"/>
              <w:cnfStyle w:val="100000000000" w:firstRow="1" w:lastRow="0" w:firstColumn="0" w:lastColumn="0" w:oddVBand="0" w:evenVBand="0" w:oddHBand="0" w:evenHBand="0" w:firstRowFirstColumn="0" w:firstRowLastColumn="0" w:lastRowFirstColumn="0" w:lastRowLastColumn="0"/>
            </w:pPr>
            <w:r>
              <w:t>Lower 95% CI</w:t>
            </w:r>
          </w:p>
        </w:tc>
        <w:tc>
          <w:tcPr>
            <w:tcW w:w="964" w:type="dxa"/>
            <w:noWrap/>
            <w:vAlign w:val="center"/>
            <w:hideMark/>
          </w:tcPr>
          <w:p w:rsidR="00415BFD" w:rsidRPr="00A947AF" w:rsidRDefault="00415BFD" w:rsidP="00CC1B35">
            <w:pPr>
              <w:pStyle w:val="Tabletext"/>
              <w:cnfStyle w:val="100000000000" w:firstRow="1" w:lastRow="0" w:firstColumn="0" w:lastColumn="0" w:oddVBand="0" w:evenVBand="0" w:oddHBand="0" w:evenHBand="0" w:firstRowFirstColumn="0" w:firstRowLastColumn="0" w:lastRowFirstColumn="0" w:lastRowLastColumn="0"/>
            </w:pPr>
            <w:r>
              <w:t>Upper 95% CI</w:t>
            </w:r>
          </w:p>
        </w:tc>
      </w:tr>
      <w:tr w:rsidR="00415BFD" w:rsidRPr="00A947AF" w:rsidTr="00E777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572" w:type="dxa"/>
            <w:noWrap/>
            <w:vAlign w:val="bottom"/>
            <w:hideMark/>
          </w:tcPr>
          <w:p w:rsidR="00415BFD" w:rsidRPr="00A947AF" w:rsidRDefault="00415BFD" w:rsidP="002561B1">
            <w:pPr>
              <w:pStyle w:val="Tabletext"/>
            </w:pPr>
            <w:r w:rsidRPr="00A947AF">
              <w:t>PSYCH, Post-treatment</w:t>
            </w:r>
            <w:r>
              <w:t xml:space="preserve"> (3 study arms)</w:t>
            </w:r>
          </w:p>
        </w:tc>
        <w:tc>
          <w:tcPr>
            <w:tcW w:w="1077" w:type="dxa"/>
            <w:noWrap/>
          </w:tcPr>
          <w:p w:rsidR="00415BFD" w:rsidRPr="00A947AF" w:rsidRDefault="00415BFD" w:rsidP="002561B1">
            <w:pPr>
              <w:pStyle w:val="Tabletext"/>
              <w:cnfStyle w:val="000000100000" w:firstRow="0" w:lastRow="0" w:firstColumn="0" w:lastColumn="0" w:oddVBand="0" w:evenVBand="0" w:oddHBand="1" w:evenHBand="0" w:firstRowFirstColumn="0" w:firstRowLastColumn="0" w:lastRowFirstColumn="0" w:lastRowLastColumn="0"/>
            </w:pPr>
            <w:r w:rsidRPr="00B13282">
              <w:t>0.31</w:t>
            </w:r>
          </w:p>
        </w:tc>
        <w:tc>
          <w:tcPr>
            <w:tcW w:w="964" w:type="dxa"/>
            <w:noWrap/>
          </w:tcPr>
          <w:p w:rsidR="00415BFD" w:rsidRPr="00A947AF" w:rsidRDefault="00415BFD" w:rsidP="002561B1">
            <w:pPr>
              <w:pStyle w:val="Tabletext"/>
              <w:cnfStyle w:val="000000100000" w:firstRow="0" w:lastRow="0" w:firstColumn="0" w:lastColumn="0" w:oddVBand="0" w:evenVBand="0" w:oddHBand="1" w:evenHBand="0" w:firstRowFirstColumn="0" w:firstRowLastColumn="0" w:lastRowFirstColumn="0" w:lastRowLastColumn="0"/>
            </w:pPr>
            <w:r w:rsidRPr="00B13282">
              <w:t>0.12</w:t>
            </w:r>
          </w:p>
        </w:tc>
        <w:tc>
          <w:tcPr>
            <w:tcW w:w="964" w:type="dxa"/>
            <w:noWrap/>
          </w:tcPr>
          <w:p w:rsidR="00415BFD" w:rsidRPr="00A947AF" w:rsidRDefault="00415BFD" w:rsidP="002561B1">
            <w:pPr>
              <w:pStyle w:val="Tabletext"/>
              <w:cnfStyle w:val="000000100000" w:firstRow="0" w:lastRow="0" w:firstColumn="0" w:lastColumn="0" w:oddVBand="0" w:evenVBand="0" w:oddHBand="1" w:evenHBand="0" w:firstRowFirstColumn="0" w:firstRowLastColumn="0" w:lastRowFirstColumn="0" w:lastRowLastColumn="0"/>
            </w:pPr>
            <w:r w:rsidRPr="00B13282">
              <w:t>0.81</w:t>
            </w:r>
          </w:p>
        </w:tc>
      </w:tr>
      <w:tr w:rsidR="00415BFD" w:rsidRPr="00A947AF" w:rsidTr="00E77758">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572" w:type="dxa"/>
            <w:noWrap/>
            <w:vAlign w:val="bottom"/>
            <w:hideMark/>
          </w:tcPr>
          <w:p w:rsidR="00415BFD" w:rsidRPr="00A947AF" w:rsidRDefault="00415BFD" w:rsidP="002561B1">
            <w:pPr>
              <w:pStyle w:val="Tabletext"/>
            </w:pPr>
            <w:r w:rsidRPr="00A947AF">
              <w:t>PSYCH, 6-9 months</w:t>
            </w:r>
            <w:r>
              <w:t xml:space="preserve"> (6 study arms)</w:t>
            </w:r>
          </w:p>
        </w:tc>
        <w:tc>
          <w:tcPr>
            <w:tcW w:w="1077" w:type="dxa"/>
            <w:noWrap/>
          </w:tcPr>
          <w:p w:rsidR="00415BFD" w:rsidRPr="00A947AF" w:rsidRDefault="00415BFD" w:rsidP="002561B1">
            <w:pPr>
              <w:pStyle w:val="Tabletext"/>
              <w:cnfStyle w:val="000000010000" w:firstRow="0" w:lastRow="0" w:firstColumn="0" w:lastColumn="0" w:oddVBand="0" w:evenVBand="0" w:oddHBand="0" w:evenHBand="1" w:firstRowFirstColumn="0" w:firstRowLastColumn="0" w:lastRowFirstColumn="0" w:lastRowLastColumn="0"/>
            </w:pPr>
            <w:r w:rsidRPr="00B13282">
              <w:t>0.35</w:t>
            </w:r>
          </w:p>
        </w:tc>
        <w:tc>
          <w:tcPr>
            <w:tcW w:w="964" w:type="dxa"/>
            <w:noWrap/>
          </w:tcPr>
          <w:p w:rsidR="00415BFD" w:rsidRPr="00A947AF" w:rsidRDefault="00415BFD" w:rsidP="002561B1">
            <w:pPr>
              <w:pStyle w:val="Tabletext"/>
              <w:cnfStyle w:val="000000010000" w:firstRow="0" w:lastRow="0" w:firstColumn="0" w:lastColumn="0" w:oddVBand="0" w:evenVBand="0" w:oddHBand="0" w:evenHBand="1" w:firstRowFirstColumn="0" w:firstRowLastColumn="0" w:lastRowFirstColumn="0" w:lastRowLastColumn="0"/>
            </w:pPr>
            <w:r w:rsidRPr="00B13282">
              <w:t>0.20</w:t>
            </w:r>
          </w:p>
        </w:tc>
        <w:tc>
          <w:tcPr>
            <w:tcW w:w="964" w:type="dxa"/>
            <w:noWrap/>
          </w:tcPr>
          <w:p w:rsidR="00415BFD" w:rsidRPr="00A947AF" w:rsidRDefault="00415BFD" w:rsidP="002561B1">
            <w:pPr>
              <w:pStyle w:val="Tabletext"/>
              <w:cnfStyle w:val="000000010000" w:firstRow="0" w:lastRow="0" w:firstColumn="0" w:lastColumn="0" w:oddVBand="0" w:evenVBand="0" w:oddHBand="0" w:evenHBand="1" w:firstRowFirstColumn="0" w:firstRowLastColumn="0" w:lastRowFirstColumn="0" w:lastRowLastColumn="0"/>
            </w:pPr>
            <w:r w:rsidRPr="00B13282">
              <w:t>0.61</w:t>
            </w:r>
          </w:p>
        </w:tc>
      </w:tr>
      <w:tr w:rsidR="00415BFD" w:rsidRPr="00A947AF" w:rsidTr="00E7775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572" w:type="dxa"/>
            <w:noWrap/>
            <w:vAlign w:val="bottom"/>
            <w:hideMark/>
          </w:tcPr>
          <w:p w:rsidR="00415BFD" w:rsidRPr="00A947AF" w:rsidRDefault="00415BFD" w:rsidP="002561B1">
            <w:pPr>
              <w:pStyle w:val="Tabletext"/>
            </w:pPr>
            <w:r w:rsidRPr="00A947AF">
              <w:t>PSYCH, 12 months</w:t>
            </w:r>
            <w:r>
              <w:t xml:space="preserve"> (2 study arms)</w:t>
            </w:r>
          </w:p>
        </w:tc>
        <w:tc>
          <w:tcPr>
            <w:tcW w:w="1077" w:type="dxa"/>
            <w:noWrap/>
          </w:tcPr>
          <w:p w:rsidR="00415BFD" w:rsidRPr="00A947AF" w:rsidRDefault="00415BFD" w:rsidP="002561B1">
            <w:pPr>
              <w:pStyle w:val="Tabletext"/>
              <w:cnfStyle w:val="000000100000" w:firstRow="0" w:lastRow="0" w:firstColumn="0" w:lastColumn="0" w:oddVBand="0" w:evenVBand="0" w:oddHBand="1" w:evenHBand="0" w:firstRowFirstColumn="0" w:firstRowLastColumn="0" w:lastRowFirstColumn="0" w:lastRowLastColumn="0"/>
            </w:pPr>
            <w:r w:rsidRPr="00B13282">
              <w:t>0.45</w:t>
            </w:r>
          </w:p>
        </w:tc>
        <w:tc>
          <w:tcPr>
            <w:tcW w:w="964" w:type="dxa"/>
            <w:noWrap/>
          </w:tcPr>
          <w:p w:rsidR="00415BFD" w:rsidRPr="00A947AF" w:rsidRDefault="00415BFD" w:rsidP="002561B1">
            <w:pPr>
              <w:pStyle w:val="Tabletext"/>
              <w:cnfStyle w:val="000000100000" w:firstRow="0" w:lastRow="0" w:firstColumn="0" w:lastColumn="0" w:oddVBand="0" w:evenVBand="0" w:oddHBand="1" w:evenHBand="0" w:firstRowFirstColumn="0" w:firstRowLastColumn="0" w:lastRowFirstColumn="0" w:lastRowLastColumn="0"/>
            </w:pPr>
            <w:r w:rsidRPr="00B13282">
              <w:t>0.14</w:t>
            </w:r>
          </w:p>
        </w:tc>
        <w:tc>
          <w:tcPr>
            <w:tcW w:w="964" w:type="dxa"/>
            <w:noWrap/>
          </w:tcPr>
          <w:p w:rsidR="00415BFD" w:rsidRPr="00A947AF" w:rsidRDefault="00415BFD" w:rsidP="002561B1">
            <w:pPr>
              <w:pStyle w:val="Tabletext"/>
              <w:cnfStyle w:val="000000100000" w:firstRow="0" w:lastRow="0" w:firstColumn="0" w:lastColumn="0" w:oddVBand="0" w:evenVBand="0" w:oddHBand="1" w:evenHBand="0" w:firstRowFirstColumn="0" w:firstRowLastColumn="0" w:lastRowFirstColumn="0" w:lastRowLastColumn="0"/>
            </w:pPr>
            <w:r w:rsidRPr="00B13282">
              <w:t>1.48</w:t>
            </w:r>
          </w:p>
        </w:tc>
      </w:tr>
      <w:tr w:rsidR="00415BFD" w:rsidRPr="00A947AF" w:rsidTr="00E77758">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572" w:type="dxa"/>
            <w:noWrap/>
            <w:vAlign w:val="bottom"/>
            <w:hideMark/>
          </w:tcPr>
          <w:p w:rsidR="00415BFD" w:rsidRPr="00A947AF" w:rsidRDefault="00415BFD" w:rsidP="002561B1">
            <w:pPr>
              <w:pStyle w:val="Tabletext"/>
            </w:pPr>
            <w:r w:rsidRPr="00A947AF">
              <w:t>PSYCH, 18-24 months</w:t>
            </w:r>
            <w:r>
              <w:t xml:space="preserve"> (2 study arms)</w:t>
            </w:r>
          </w:p>
        </w:tc>
        <w:tc>
          <w:tcPr>
            <w:tcW w:w="1077" w:type="dxa"/>
            <w:noWrap/>
          </w:tcPr>
          <w:p w:rsidR="00415BFD" w:rsidRPr="00A947AF" w:rsidRDefault="00415BFD" w:rsidP="002561B1">
            <w:pPr>
              <w:pStyle w:val="Tabletext"/>
              <w:cnfStyle w:val="000000010000" w:firstRow="0" w:lastRow="0" w:firstColumn="0" w:lastColumn="0" w:oddVBand="0" w:evenVBand="0" w:oddHBand="0" w:evenHBand="1" w:firstRowFirstColumn="0" w:firstRowLastColumn="0" w:lastRowFirstColumn="0" w:lastRowLastColumn="0"/>
            </w:pPr>
            <w:r w:rsidRPr="00B13282">
              <w:t>0.74</w:t>
            </w:r>
          </w:p>
        </w:tc>
        <w:tc>
          <w:tcPr>
            <w:tcW w:w="964" w:type="dxa"/>
            <w:noWrap/>
          </w:tcPr>
          <w:p w:rsidR="00415BFD" w:rsidRPr="00A947AF" w:rsidRDefault="00415BFD" w:rsidP="002561B1">
            <w:pPr>
              <w:pStyle w:val="Tabletext"/>
              <w:cnfStyle w:val="000000010000" w:firstRow="0" w:lastRow="0" w:firstColumn="0" w:lastColumn="0" w:oddVBand="0" w:evenVBand="0" w:oddHBand="0" w:evenHBand="1" w:firstRowFirstColumn="0" w:firstRowLastColumn="0" w:lastRowFirstColumn="0" w:lastRowLastColumn="0"/>
            </w:pPr>
            <w:r w:rsidRPr="00B13282">
              <w:t>0.41</w:t>
            </w:r>
          </w:p>
        </w:tc>
        <w:tc>
          <w:tcPr>
            <w:tcW w:w="964" w:type="dxa"/>
            <w:noWrap/>
          </w:tcPr>
          <w:p w:rsidR="00415BFD" w:rsidRPr="00A947AF" w:rsidRDefault="00415BFD" w:rsidP="002561B1">
            <w:pPr>
              <w:pStyle w:val="Tabletext"/>
              <w:cnfStyle w:val="000000010000" w:firstRow="0" w:lastRow="0" w:firstColumn="0" w:lastColumn="0" w:oddVBand="0" w:evenVBand="0" w:oddHBand="0" w:evenHBand="1" w:firstRowFirstColumn="0" w:firstRowLastColumn="0" w:lastRowFirstColumn="0" w:lastRowLastColumn="0"/>
            </w:pPr>
            <w:r w:rsidRPr="00B13282">
              <w:t>1.36</w:t>
            </w:r>
          </w:p>
        </w:tc>
      </w:tr>
    </w:tbl>
    <w:p w:rsidR="00415BFD" w:rsidRDefault="00415BFD" w:rsidP="004D4D05"/>
    <w:p w:rsidR="00415BFD" w:rsidRDefault="00415BFD" w:rsidP="00012561"/>
    <w:p w:rsidR="00415BFD" w:rsidRDefault="00415BFD" w:rsidP="00B062D3">
      <w:pPr>
        <w:pStyle w:val="Heading3"/>
      </w:pPr>
      <w:bookmarkStart w:id="202" w:name="_Ref451441891"/>
      <w:bookmarkStart w:id="203" w:name="_Toc452066422"/>
      <w:r>
        <w:t>Sensitivity analysis u</w:t>
      </w:r>
      <w:r w:rsidRPr="00DE0FF1">
        <w:t>sing a weighted average disability weight based on an alternative severity distribution derived from DSM-IV algorithms for mild, moderate and severe depression</w:t>
      </w:r>
      <w:bookmarkEnd w:id="202"/>
      <w:bookmarkEnd w:id="203"/>
    </w:p>
    <w:p w:rsidR="00415BFD" w:rsidRDefault="00415BFD" w:rsidP="00B062D3">
      <w:pPr>
        <w:rPr>
          <w:lang w:bidi="ar-SA"/>
        </w:rPr>
      </w:pPr>
      <w:r>
        <w:rPr>
          <w:lang w:bidi="ar-SA"/>
        </w:rPr>
        <w:t xml:space="preserve">In the baseline analysis, we calculated a disability weight for major depression that was the weighted average of GBD 2013 disability weights for mild, moderate and severe depression. We weighted each of these weights by using a severity distribution (i.e., the proportion of mild, moderate and severe depression) taken from a previous GBD study </w:t>
      </w:r>
      <w:r>
        <w:rPr>
          <w:noProof/>
          <w:lang w:bidi="ar-SA"/>
        </w:rPr>
        <w:t>[18]</w:t>
      </w:r>
      <w:r>
        <w:rPr>
          <w:lang w:bidi="ar-SA"/>
        </w:rPr>
        <w:t xml:space="preserve">. In section </w:t>
      </w:r>
      <w:r>
        <w:rPr>
          <w:lang w:bidi="ar-SA"/>
        </w:rPr>
        <w:fldChar w:fldCharType="begin"/>
      </w:r>
      <w:r>
        <w:rPr>
          <w:lang w:bidi="ar-SA"/>
        </w:rPr>
        <w:instrText xml:space="preserve"> REF _Ref450855659 \n \h </w:instrText>
      </w:r>
      <w:r>
        <w:rPr>
          <w:lang w:bidi="ar-SA"/>
        </w:rPr>
      </w:r>
      <w:r>
        <w:rPr>
          <w:lang w:bidi="ar-SA"/>
        </w:rPr>
        <w:fldChar w:fldCharType="separate"/>
      </w:r>
      <w:r>
        <w:rPr>
          <w:lang w:bidi="ar-SA"/>
        </w:rPr>
        <w:t>4.8</w:t>
      </w:r>
      <w:r>
        <w:rPr>
          <w:lang w:bidi="ar-SA"/>
        </w:rPr>
        <w:fldChar w:fldCharType="end"/>
      </w:r>
      <w:r>
        <w:rPr>
          <w:lang w:bidi="ar-SA"/>
        </w:rPr>
        <w:t xml:space="preserve">, we described an alternative severity distribution by which to calculate the weighted average of GBD 2013 disability weights for mild, moderate and severe depression. This involved using a severity distribution derived from the 1997 National Survey of Mental Health and Wellbeing (NSMHWB), which is based on DSM-IV algorithms for the classification of mild, moderate and severe depression. Unlike the severity distribution used in the GBD study, this severity distribution was not adjusted for comorbidity (see section </w:t>
      </w:r>
      <w:r>
        <w:rPr>
          <w:lang w:bidi="ar-SA"/>
        </w:rPr>
        <w:fldChar w:fldCharType="begin"/>
      </w:r>
      <w:r>
        <w:rPr>
          <w:lang w:bidi="ar-SA"/>
        </w:rPr>
        <w:instrText xml:space="preserve"> REF _Ref450855659 \n \h </w:instrText>
      </w:r>
      <w:r>
        <w:rPr>
          <w:lang w:bidi="ar-SA"/>
        </w:rPr>
      </w:r>
      <w:r>
        <w:rPr>
          <w:lang w:bidi="ar-SA"/>
        </w:rPr>
        <w:fldChar w:fldCharType="separate"/>
      </w:r>
      <w:r>
        <w:rPr>
          <w:lang w:bidi="ar-SA"/>
        </w:rPr>
        <w:t>4.8</w:t>
      </w:r>
      <w:r>
        <w:rPr>
          <w:lang w:bidi="ar-SA"/>
        </w:rPr>
        <w:fldChar w:fldCharType="end"/>
      </w:r>
      <w:r>
        <w:rPr>
          <w:lang w:bidi="ar-SA"/>
        </w:rPr>
        <w:t xml:space="preserve">). The disability weight for depression that was calculated using the severity distribution based on DSM-IV algorithms was </w:t>
      </w:r>
      <w:r w:rsidRPr="00F46D17">
        <w:rPr>
          <w:lang w:bidi="ar-SA"/>
        </w:rPr>
        <w:t>0.407 (</w:t>
      </w:r>
      <w:r>
        <w:rPr>
          <w:lang w:bidi="ar-SA"/>
        </w:rPr>
        <w:t xml:space="preserve">95% CI: </w:t>
      </w:r>
      <w:r w:rsidRPr="00F46D17">
        <w:rPr>
          <w:lang w:bidi="ar-SA"/>
        </w:rPr>
        <w:t>0.324 - 0.485)</w:t>
      </w:r>
      <w:r>
        <w:rPr>
          <w:lang w:bidi="ar-SA"/>
        </w:rPr>
        <w:t xml:space="preserve">. This was approximately 1.6 times larger than the disability weight of </w:t>
      </w:r>
      <w:r w:rsidRPr="00F46D17">
        <w:rPr>
          <w:lang w:bidi="ar-SA"/>
        </w:rPr>
        <w:t>0.256 (</w:t>
      </w:r>
      <w:r>
        <w:rPr>
          <w:lang w:bidi="ar-SA"/>
        </w:rPr>
        <w:t xml:space="preserve">95% CI: </w:t>
      </w:r>
      <w:r w:rsidRPr="00F46D17">
        <w:rPr>
          <w:lang w:bidi="ar-SA"/>
        </w:rPr>
        <w:t>0.195 – 0.324)</w:t>
      </w:r>
      <w:r>
        <w:rPr>
          <w:lang w:bidi="ar-SA"/>
        </w:rPr>
        <w:t xml:space="preserve"> which was calculated using the severity distribution from the GBD study.</w:t>
      </w:r>
    </w:p>
    <w:p w:rsidR="00415BFD" w:rsidRDefault="00415BFD" w:rsidP="00B062D3">
      <w:pPr>
        <w:rPr>
          <w:lang w:bidi="ar-SA"/>
        </w:rPr>
      </w:pPr>
    </w:p>
    <w:p w:rsidR="00415BFD" w:rsidRDefault="00415BFD" w:rsidP="00B062D3">
      <w:pPr>
        <w:pStyle w:val="Heading3"/>
      </w:pPr>
      <w:bookmarkStart w:id="204" w:name="_Ref451441906"/>
      <w:bookmarkStart w:id="205" w:name="_Toc452066423"/>
      <w:r>
        <w:t xml:space="preserve">Sensitivity analysis using </w:t>
      </w:r>
      <w:r w:rsidRPr="00DE0FF1">
        <w:t>pooled standard gamble and EQ-5D utility weights</w:t>
      </w:r>
      <w:r>
        <w:t xml:space="preserve"> in place of pooled GBD 2013 disability weights for major depression</w:t>
      </w:r>
      <w:bookmarkEnd w:id="204"/>
      <w:bookmarkEnd w:id="205"/>
    </w:p>
    <w:p w:rsidR="00415BFD" w:rsidRDefault="00415BFD" w:rsidP="005C7404">
      <w:pPr>
        <w:rPr>
          <w:lang w:bidi="ar-SA"/>
        </w:rPr>
      </w:pPr>
      <w:r>
        <w:rPr>
          <w:lang w:bidi="ar-SA"/>
        </w:rPr>
        <w:t xml:space="preserve">We also calculated a composite utility weight for major depression by calculating the weighted average of utility weights for mild, moderate and severe depression. The individual weights for mild, moderate and severe depression were obtained from a systematic review by </w:t>
      </w:r>
      <w:r>
        <w:rPr>
          <w:noProof/>
          <w:lang w:bidi="ar-SA"/>
        </w:rPr>
        <w:t>Mohiuddin and Payne [20]</w:t>
      </w:r>
      <w:r>
        <w:rPr>
          <w:lang w:bidi="ar-SA"/>
        </w:rPr>
        <w:t xml:space="preserve">. In this study, the authors calculated pooled utility weights by meta-analysing studies involving: the direct valuation of health preferences (e.g., standard gamble, time trade-off and person trade-off methodologies); and the indirect valuation of health preferences using multi-attribute utility instruments (e.g., EQ-5D, SF-6D and the AQoL-8D). They found that Standard Gamble was the most commonly used direct valuation method, while the EQ-5D was the most common indirect valuation method. The study authors, in turn, conducted a meta-analysis to calculated pooled utility weights for </w:t>
      </w:r>
      <w:r>
        <w:rPr>
          <w:lang w:bidi="ar-SA"/>
        </w:rPr>
        <w:lastRenderedPageBreak/>
        <w:t xml:space="preserve">the Standard Gamble and EQ-5D approaches. </w:t>
      </w:r>
      <w:r>
        <w:t xml:space="preserve">Using the GBD 2013 severity distribution reported in </w:t>
      </w:r>
      <w:r>
        <w:fldChar w:fldCharType="begin"/>
      </w:r>
      <w:r>
        <w:instrText xml:space="preserve"> REF _Ref434074739 \n \h </w:instrText>
      </w:r>
      <w:r>
        <w:fldChar w:fldCharType="separate"/>
      </w:r>
      <w:r>
        <w:t>Table 16</w:t>
      </w:r>
      <w:r>
        <w:fldChar w:fldCharType="end"/>
      </w:r>
      <w:r>
        <w:t xml:space="preserve">, we calculated the composite utility weights for the Standard Gamble and EQ-5D to be </w:t>
      </w:r>
      <w:r w:rsidRPr="00894C9D">
        <w:t>0.604 (</w:t>
      </w:r>
      <w:r>
        <w:t xml:space="preserve">95% CI: </w:t>
      </w:r>
      <w:r w:rsidRPr="00894C9D">
        <w:t>0.353 - 0.817)</w:t>
      </w:r>
      <w:r>
        <w:t xml:space="preserve"> and </w:t>
      </w:r>
      <w:r w:rsidRPr="00064C34">
        <w:t>0.499 (</w:t>
      </w:r>
      <w:r>
        <w:t xml:space="preserve">95% CI: </w:t>
      </w:r>
      <w:r w:rsidRPr="00064C34">
        <w:t>0.266 - 0.720)</w:t>
      </w:r>
      <w:r>
        <w:t xml:space="preserve">, respectively. It should be noted that our model used disability weights, which are a measure of health loss; as opposed utility weights, which are a measure of health gain </w:t>
      </w:r>
      <w:r>
        <w:rPr>
          <w:noProof/>
        </w:rPr>
        <w:t>[65]</w:t>
      </w:r>
      <w:r>
        <w:t xml:space="preserve">. To convert the composite utility weight from a measure of health gain to a measure of health loss (as is required in our model), we used the formula: DW = 1 – UW. Where DW is the disability weight and UW is the utility weight. We substituted these converted utility weights into our model (i.e., assigned them to people in our model who become depressed – see section </w:t>
      </w:r>
      <w:r>
        <w:fldChar w:fldCharType="begin"/>
      </w:r>
      <w:r>
        <w:instrText xml:space="preserve"> REF _Ref451328430 \n \h </w:instrText>
      </w:r>
      <w:r>
        <w:fldChar w:fldCharType="separate"/>
      </w:r>
      <w:r>
        <w:t>4.1</w:t>
      </w:r>
      <w:r>
        <w:fldChar w:fldCharType="end"/>
      </w:r>
      <w:r>
        <w:t>) to test the impact of modelling health benefits using the Standard Gamble and EQ-5D approaches.</w:t>
      </w:r>
    </w:p>
    <w:p w:rsidR="00415BFD" w:rsidRDefault="00415BFD" w:rsidP="00341163">
      <w:pPr>
        <w:rPr>
          <w:lang w:bidi="ar-SA"/>
        </w:rPr>
      </w:pPr>
    </w:p>
    <w:p w:rsidR="00415BFD" w:rsidRPr="00FC15CE" w:rsidRDefault="00415BFD" w:rsidP="00FC15CE">
      <w:pPr>
        <w:pStyle w:val="Heading3"/>
      </w:pPr>
      <w:bookmarkStart w:id="206" w:name="_Ref451441911"/>
      <w:bookmarkStart w:id="207" w:name="_Ref451605203"/>
      <w:bookmarkStart w:id="208" w:name="_Toc452066424"/>
      <w:r>
        <w:t xml:space="preserve">Sensitivity analysis </w:t>
      </w:r>
      <w:r w:rsidRPr="00DE0FF1">
        <w:t>modelling internet-delivered intervention pathways</w:t>
      </w:r>
      <w:bookmarkEnd w:id="206"/>
      <w:bookmarkEnd w:id="207"/>
      <w:bookmarkEnd w:id="208"/>
    </w:p>
    <w:p w:rsidR="00415BFD" w:rsidRDefault="00415BFD" w:rsidP="001069B9">
      <w:pPr>
        <w:rPr>
          <w:lang w:bidi="ar-SA"/>
        </w:rPr>
      </w:pPr>
      <w:r>
        <w:rPr>
          <w:lang w:bidi="ar-SA"/>
        </w:rPr>
        <w:t xml:space="preserve">As stated in section </w:t>
      </w:r>
      <w:r>
        <w:rPr>
          <w:lang w:bidi="ar-SA"/>
        </w:rPr>
        <w:fldChar w:fldCharType="begin"/>
      </w:r>
      <w:r>
        <w:rPr>
          <w:lang w:bidi="ar-SA"/>
        </w:rPr>
        <w:instrText xml:space="preserve"> REF _Ref451271670 \n \h </w:instrText>
      </w:r>
      <w:r>
        <w:rPr>
          <w:lang w:bidi="ar-SA"/>
        </w:rPr>
      </w:r>
      <w:r>
        <w:rPr>
          <w:lang w:bidi="ar-SA"/>
        </w:rPr>
        <w:fldChar w:fldCharType="separate"/>
      </w:r>
      <w:r>
        <w:rPr>
          <w:lang w:bidi="ar-SA"/>
        </w:rPr>
        <w:t>2.6</w:t>
      </w:r>
      <w:r>
        <w:rPr>
          <w:lang w:bidi="ar-SA"/>
        </w:rPr>
        <w:fldChar w:fldCharType="end"/>
      </w:r>
      <w:r>
        <w:rPr>
          <w:lang w:bidi="ar-SA"/>
        </w:rPr>
        <w:t xml:space="preserve">, we were unable to identify any relevant RCT studies involving internet-delivered prevention interventions (universal and indicated), which met the inclusion criteria for our model. As such, we chose to impute intervention effect sizes for internet-delivered prevention interventions (universal and indicated) by assuming that their effect sizes were equal to some proportion of the pooled intervention effect sizes calculated for face-to-face prevention interventions. Given the heroic nature of this assumption, we relegated this investigation to a separate sensitivity analysis. Detailed intervention pathways and their accompanying costs are described in detail in: section </w:t>
      </w:r>
      <w:r>
        <w:rPr>
          <w:lang w:bidi="ar-SA"/>
        </w:rPr>
        <w:fldChar w:fldCharType="begin"/>
      </w:r>
      <w:r>
        <w:rPr>
          <w:lang w:bidi="ar-SA"/>
        </w:rPr>
        <w:instrText xml:space="preserve"> REF _Ref451182615 \n \h </w:instrText>
      </w:r>
      <w:r>
        <w:rPr>
          <w:lang w:bidi="ar-SA"/>
        </w:rPr>
      </w:r>
      <w:r>
        <w:rPr>
          <w:lang w:bidi="ar-SA"/>
        </w:rPr>
        <w:fldChar w:fldCharType="separate"/>
      </w:r>
      <w:r>
        <w:rPr>
          <w:lang w:bidi="ar-SA"/>
        </w:rPr>
        <w:t>5.3</w:t>
      </w:r>
      <w:r>
        <w:rPr>
          <w:lang w:bidi="ar-SA"/>
        </w:rPr>
        <w:fldChar w:fldCharType="end"/>
      </w:r>
      <w:r>
        <w:rPr>
          <w:lang w:bidi="ar-SA"/>
        </w:rPr>
        <w:t xml:space="preserve"> for internet-delivered universal prevention; and section </w:t>
      </w:r>
      <w:r>
        <w:rPr>
          <w:lang w:bidi="ar-SA"/>
        </w:rPr>
        <w:fldChar w:fldCharType="begin"/>
      </w:r>
      <w:r>
        <w:rPr>
          <w:lang w:bidi="ar-SA"/>
        </w:rPr>
        <w:instrText xml:space="preserve"> REF _Ref451292463 \n \h </w:instrText>
      </w:r>
      <w:r>
        <w:rPr>
          <w:lang w:bidi="ar-SA"/>
        </w:rPr>
      </w:r>
      <w:r>
        <w:rPr>
          <w:lang w:bidi="ar-SA"/>
        </w:rPr>
        <w:fldChar w:fldCharType="separate"/>
      </w:r>
      <w:r>
        <w:rPr>
          <w:lang w:bidi="ar-SA"/>
        </w:rPr>
        <w:t>5.5</w:t>
      </w:r>
      <w:r>
        <w:rPr>
          <w:lang w:bidi="ar-SA"/>
        </w:rPr>
        <w:fldChar w:fldCharType="end"/>
      </w:r>
      <w:r>
        <w:rPr>
          <w:lang w:bidi="ar-SA"/>
        </w:rPr>
        <w:t xml:space="preserve"> for internet-delivered indicated prevention.</w:t>
      </w:r>
    </w:p>
    <w:p w:rsidR="00415BFD" w:rsidRDefault="00415BFD" w:rsidP="001069B9">
      <w:pPr>
        <w:rPr>
          <w:lang w:bidi="ar-SA"/>
        </w:rPr>
      </w:pPr>
    </w:p>
    <w:p w:rsidR="00415BFD" w:rsidRDefault="00415BFD" w:rsidP="00A8320F">
      <w:r>
        <w:rPr>
          <w:lang w:bidi="ar-SA"/>
        </w:rPr>
        <w:t xml:space="preserve">In the sensitivity analysis, we examined the cost-effectiveness of internet-delivered prevention by assuming that the effect size was either 100% or 50% of the pooled intervention effect size for corresponding face-to-face intervention delivery (both universal and indicated). Additionally, we calculated the cost-effectiveness of internet-delivered prevention by changing the cost profile to account for either unmoderated or clinician-moderated intervention delivery. Online psychological interventions are conventionally delivered through either unmoderated modalities (i.e., self-help) or clinician-moderated modalities (i.e., self-directed treatment with periodic monitoring by a health professional or clinician; which can improve adherence to the internet-delivered psychological intervention). In sections </w:t>
      </w:r>
      <w:r>
        <w:rPr>
          <w:lang w:bidi="ar-SA"/>
        </w:rPr>
        <w:fldChar w:fldCharType="begin"/>
      </w:r>
      <w:r>
        <w:rPr>
          <w:lang w:bidi="ar-SA"/>
        </w:rPr>
        <w:instrText xml:space="preserve"> REF _Ref451182615 \n \h </w:instrText>
      </w:r>
      <w:r>
        <w:rPr>
          <w:lang w:bidi="ar-SA"/>
        </w:rPr>
      </w:r>
      <w:r>
        <w:rPr>
          <w:lang w:bidi="ar-SA"/>
        </w:rPr>
        <w:fldChar w:fldCharType="separate"/>
      </w:r>
      <w:r>
        <w:rPr>
          <w:lang w:bidi="ar-SA"/>
        </w:rPr>
        <w:t>5.3</w:t>
      </w:r>
      <w:r>
        <w:rPr>
          <w:lang w:bidi="ar-SA"/>
        </w:rPr>
        <w:fldChar w:fldCharType="end"/>
      </w:r>
      <w:r>
        <w:rPr>
          <w:lang w:bidi="ar-SA"/>
        </w:rPr>
        <w:t xml:space="preserve"> and </w:t>
      </w:r>
      <w:r>
        <w:rPr>
          <w:lang w:bidi="ar-SA"/>
        </w:rPr>
        <w:fldChar w:fldCharType="begin"/>
      </w:r>
      <w:r>
        <w:rPr>
          <w:lang w:bidi="ar-SA"/>
        </w:rPr>
        <w:instrText xml:space="preserve"> REF _Ref451292463 \n \h </w:instrText>
      </w:r>
      <w:r>
        <w:rPr>
          <w:lang w:bidi="ar-SA"/>
        </w:rPr>
      </w:r>
      <w:r>
        <w:rPr>
          <w:lang w:bidi="ar-SA"/>
        </w:rPr>
        <w:fldChar w:fldCharType="separate"/>
      </w:r>
      <w:r>
        <w:rPr>
          <w:lang w:bidi="ar-SA"/>
        </w:rPr>
        <w:t>5.5</w:t>
      </w:r>
      <w:r>
        <w:rPr>
          <w:lang w:bidi="ar-SA"/>
        </w:rPr>
        <w:fldChar w:fldCharType="end"/>
      </w:r>
      <w:r>
        <w:rPr>
          <w:lang w:bidi="ar-SA"/>
        </w:rPr>
        <w:t>, we outlined the cost of internet-delivered psychological intervention (both universal and indicated) assuming a cost profile associated with unmoderated self-help, which amounts to an average intervention cost of $10.87</w:t>
      </w:r>
      <w:r w:rsidRPr="00341163">
        <w:rPr>
          <w:lang w:bidi="ar-SA"/>
        </w:rPr>
        <w:t xml:space="preserve"> </w:t>
      </w:r>
      <w:r>
        <w:rPr>
          <w:lang w:bidi="ar-SA"/>
        </w:rPr>
        <w:t xml:space="preserve">per person (adapted from annual subscription fees sourced from THIS WAY UP Schools). </w:t>
      </w:r>
      <w:r>
        <w:t>We were u</w:t>
      </w:r>
      <w:r w:rsidRPr="0063384D">
        <w:t xml:space="preserve">nable to find </w:t>
      </w:r>
      <w:r>
        <w:t xml:space="preserve">a </w:t>
      </w:r>
      <w:r w:rsidRPr="0063384D">
        <w:t>definitive estimate on the</w:t>
      </w:r>
      <w:r>
        <w:t xml:space="preserve"> average</w:t>
      </w:r>
      <w:r w:rsidRPr="0063384D">
        <w:t xml:space="preserve"> cost per person of clinician-moderated </w:t>
      </w:r>
      <w:r>
        <w:t>online prevention</w:t>
      </w:r>
      <w:r w:rsidRPr="0063384D">
        <w:t xml:space="preserve">. </w:t>
      </w:r>
      <w:r>
        <w:t>The next best estimate was to assume that the average cost per person would range between</w:t>
      </w:r>
      <w:r w:rsidRPr="0063384D">
        <w:t xml:space="preserve"> $55 and $391</w:t>
      </w:r>
      <w:r>
        <w:t xml:space="preserve">. The $55 estimate was based on a </w:t>
      </w:r>
      <w:r w:rsidRPr="0063384D">
        <w:t xml:space="preserve">one-off </w:t>
      </w:r>
      <w:r>
        <w:t xml:space="preserve">registration </w:t>
      </w:r>
      <w:r w:rsidRPr="0063384D">
        <w:t xml:space="preserve">fee </w:t>
      </w:r>
      <w:r>
        <w:t>paid prior to receiving clinician-moderated treatment from the</w:t>
      </w:r>
      <w:r w:rsidRPr="0063384D">
        <w:t xml:space="preserve"> THIS</w:t>
      </w:r>
      <w:r>
        <w:t xml:space="preserve"> </w:t>
      </w:r>
      <w:r w:rsidRPr="0063384D">
        <w:t>WAY</w:t>
      </w:r>
      <w:r>
        <w:t xml:space="preserve"> </w:t>
      </w:r>
      <w:r w:rsidRPr="0063384D">
        <w:t>UP</w:t>
      </w:r>
      <w:r>
        <w:t xml:space="preserve"> program provided by CRUfAD </w:t>
      </w:r>
      <w:r>
        <w:rPr>
          <w:noProof/>
        </w:rPr>
        <w:t>[26]</w:t>
      </w:r>
      <w:r>
        <w:t>. This fee represents the lower bound given that is insufficient to cover the full costs of the intervention, but is required to incentivize adherence (i.e., participants are more likely to complete modules if money has been paid). The $391 estimate is the annual cost per person for adults receiving clinician-moderated treatment at the</w:t>
      </w:r>
      <w:r w:rsidRPr="0063384D">
        <w:t xml:space="preserve"> MindSpot</w:t>
      </w:r>
      <w:r>
        <w:t xml:space="preserve"> clinic (taken </w:t>
      </w:r>
      <w:r>
        <w:lastRenderedPageBreak/>
        <w:t xml:space="preserve">from an unpublished cost-effectiveness study) </w:t>
      </w:r>
      <w:r>
        <w:rPr>
          <w:noProof/>
        </w:rPr>
        <w:t>[89]</w:t>
      </w:r>
      <w:r>
        <w:t>. The mid-point estimate for this range is $223 per person – i.e., $223 pays for the 161,835 eligible participants to access intervention modules during the year. By comparison, this is lower than the cost of paying for the face-to-face intervention delivered by psychologists who are costed based on relevant MBS items (i.e., $422 per person).</w:t>
      </w:r>
    </w:p>
    <w:p w:rsidR="00415BFD" w:rsidRDefault="00415BFD" w:rsidP="00B02B41">
      <w:pPr>
        <w:tabs>
          <w:tab w:val="left" w:pos="1340"/>
        </w:tabs>
        <w:rPr>
          <w:lang w:bidi="ar-SA"/>
        </w:rPr>
      </w:pPr>
    </w:p>
    <w:p w:rsidR="00415BFD" w:rsidRDefault="00415BFD" w:rsidP="001069B9">
      <w:pPr>
        <w:rPr>
          <w:lang w:bidi="ar-SA"/>
        </w:rPr>
      </w:pPr>
      <w:r>
        <w:rPr>
          <w:lang w:bidi="ar-SA"/>
        </w:rPr>
        <w:t>We built upon the internet-based intervention models outlined above by conducting a threshold analysis that tested the impact of: (1) varying the imputed effect size for internet delivered prevention so that it lies between 0% and 100% of corresponding effect size for face-to-face prevention; and (2) varying the cost per person of annual subscription fee. These threshold analyses would enable us to explore the cost-effectiveness of internet-delivered universal and indicated prevention across different ranges of efficacy and cost. An exploratory analysis of this nature is vital given the large uncertainty surrounding the (emerging) policy decision of whether it is worthwhile to allocate money to internet-delivered interventions for the prevention of depression. The threshold analysis will thus enable us to explore the limits at which internet-delivered prevention is no longer deemed cost-effective.</w:t>
      </w:r>
    </w:p>
    <w:p w:rsidR="00415BFD" w:rsidRDefault="00415BFD" w:rsidP="001069B9">
      <w:pPr>
        <w:rPr>
          <w:lang w:bidi="ar-SA"/>
        </w:rPr>
      </w:pPr>
    </w:p>
    <w:p w:rsidR="00415BFD" w:rsidRDefault="00415BFD" w:rsidP="001069B9">
      <w:r>
        <w:rPr>
          <w:lang w:bidi="ar-SA"/>
        </w:rPr>
        <w:t xml:space="preserve">In the first threshold analysis, we tested the impact of varying imputed effect sizes under two different costing scenarios: (1) unmoderated intervention delivery; and (2) clinician-moderated intervention delivery. </w:t>
      </w:r>
      <w:r>
        <w:t>In the second threshold analysis, we tested the impact of varying the annual subscription cost of internet-delivered prevention under two different efficacy scenarios: (1) the efficacy of internet-delivered prevention is equal to 100% of the corresponding efficacy of face-to-face prevention; and (2) the efficacy of internet-delivered prevention is equal to 50% of the corresponding efficacy of face-to-face prevention.</w:t>
      </w:r>
    </w:p>
    <w:p w:rsidR="00415BFD" w:rsidRDefault="00415BFD" w:rsidP="00B062D3">
      <w:pPr>
        <w:rPr>
          <w:lang w:bidi="ar-SA"/>
        </w:rPr>
      </w:pPr>
    </w:p>
    <w:p w:rsidR="00415BFD" w:rsidRPr="00B062D3" w:rsidRDefault="00415BFD" w:rsidP="001069B9">
      <w:pPr>
        <w:pStyle w:val="Heading3"/>
      </w:pPr>
      <w:bookmarkStart w:id="209" w:name="_Ref451441918"/>
      <w:bookmarkStart w:id="210" w:name="_Toc452066425"/>
      <w:r>
        <w:t xml:space="preserve">Sensitivity analysis </w:t>
      </w:r>
      <w:r w:rsidRPr="00DE0FF1">
        <w:t>applying different discount rates to costs and benefits</w:t>
      </w:r>
      <w:bookmarkEnd w:id="209"/>
      <w:bookmarkEnd w:id="210"/>
    </w:p>
    <w:p w:rsidR="00415BFD" w:rsidRDefault="00415BFD" w:rsidP="00150A36">
      <w:r>
        <w:t>Our baseline analysis used discount rates of 3% which were applied equally to both costs and health benefits. We tested the impact of applying different discount rates (0% and 6%) to health benefits when holding the discount rate for costs constant (i.e., at 3%). Likewise, we tested the impact of applying different discount rates (0% and 6%) to costs when holding the discount rate for health benefits constant (i.e., at 3%).</w:t>
      </w:r>
    </w:p>
    <w:p w:rsidR="00415BFD" w:rsidRDefault="00415BFD" w:rsidP="004D4D05"/>
    <w:p w:rsidR="00415BFD" w:rsidRDefault="00415BFD" w:rsidP="004D4D05">
      <w:pPr>
        <w:rPr>
          <w:lang w:bidi="ar-SA"/>
        </w:rPr>
      </w:pPr>
    </w:p>
    <w:p w:rsidR="00415BFD" w:rsidRDefault="00415BFD">
      <w:pPr>
        <w:spacing w:line="240" w:lineRule="auto"/>
        <w:jc w:val="left"/>
        <w:rPr>
          <w:lang w:bidi="ar-SA"/>
        </w:rPr>
      </w:pPr>
      <w:r>
        <w:rPr>
          <w:lang w:bidi="ar-SA"/>
        </w:rPr>
        <w:br w:type="page"/>
      </w:r>
    </w:p>
    <w:p w:rsidR="00415BFD" w:rsidRDefault="00415BFD" w:rsidP="00B54903">
      <w:pPr>
        <w:pStyle w:val="Heading1"/>
      </w:pPr>
      <w:bookmarkStart w:id="211" w:name="_Toc452066426"/>
      <w:bookmarkStart w:id="212" w:name="_GoBack"/>
      <w:bookmarkEnd w:id="212"/>
      <w:r>
        <w:lastRenderedPageBreak/>
        <w:t>Reference List</w:t>
      </w:r>
      <w:bookmarkEnd w:id="211"/>
    </w:p>
    <w:p w:rsidR="00415BFD" w:rsidRPr="00DE649A" w:rsidRDefault="00415BFD" w:rsidP="002442D3">
      <w:pPr>
        <w:pStyle w:val="EndNoteBibliography"/>
        <w:spacing w:beforeLines="60" w:before="144" w:afterLines="60" w:after="144"/>
        <w:ind w:left="567" w:hanging="567"/>
      </w:pPr>
      <w:bookmarkStart w:id="213" w:name="_ENREF_1"/>
      <w:r w:rsidRPr="00DE649A">
        <w:t>1.</w:t>
      </w:r>
      <w:r w:rsidRPr="00DE649A">
        <w:tab/>
        <w:t>Briggs A, Sculpher M, Claxton K. Decision modelling for health economic evaluation.  Oxford: Oxford University Press; 2006.</w:t>
      </w:r>
      <w:bookmarkEnd w:id="213"/>
    </w:p>
    <w:p w:rsidR="00415BFD" w:rsidRPr="00DE649A" w:rsidRDefault="00415BFD" w:rsidP="00F50556">
      <w:pPr>
        <w:pStyle w:val="EndNoteBibliography"/>
        <w:spacing w:beforeLines="60" w:before="144" w:afterLines="60" w:after="144"/>
        <w:ind w:left="567" w:hanging="567"/>
        <w:jc w:val="left"/>
        <w:rPr>
          <w:u w:val="single"/>
        </w:rPr>
      </w:pPr>
      <w:bookmarkStart w:id="214" w:name="_ENREF_2"/>
      <w:r w:rsidRPr="00DE649A">
        <w:t>2.</w:t>
      </w:r>
      <w:r w:rsidRPr="00DE649A">
        <w:tab/>
        <w:t xml:space="preserve">NHMRC. NHMRC levels of evidence and grades for recommendations for developers of guidelines [Online]. National Health and Medical Research Council. 2009 [cited 11 May 2016]; Available from: </w:t>
      </w:r>
      <w:r w:rsidRPr="00415BFD">
        <w:t>https://www.nhmrc.gov.au/_files_nhmrc/file/guidelines/developers/nhmrc_levels_grades_evidence_120423.pdf</w:t>
      </w:r>
      <w:bookmarkEnd w:id="214"/>
    </w:p>
    <w:p w:rsidR="00415BFD" w:rsidRPr="00DE649A" w:rsidRDefault="00415BFD" w:rsidP="002442D3">
      <w:pPr>
        <w:pStyle w:val="EndNoteBibliography"/>
        <w:spacing w:beforeLines="60" w:before="144" w:afterLines="60" w:after="144"/>
        <w:ind w:left="567" w:hanging="567"/>
      </w:pPr>
      <w:bookmarkStart w:id="215" w:name="_ENREF_3"/>
      <w:r w:rsidRPr="00DE649A">
        <w:t>3.</w:t>
      </w:r>
      <w:r w:rsidRPr="00DE649A">
        <w:tab/>
        <w:t>Stockings EA, Degenhardt L, Dobbins T, Lee YY, Erskine HE, Whiteford HA, et al. Preventing depression and anxiety in young people: a review of the joint efficacy of universal, selective and indicated prevention. Psychological Medicine 2016;46(1):11-26.</w:t>
      </w:r>
      <w:bookmarkEnd w:id="215"/>
    </w:p>
    <w:p w:rsidR="00415BFD" w:rsidRPr="00DE649A" w:rsidRDefault="00415BFD" w:rsidP="002442D3">
      <w:pPr>
        <w:pStyle w:val="EndNoteBibliography"/>
        <w:spacing w:beforeLines="60" w:before="144" w:afterLines="60" w:after="144"/>
        <w:ind w:left="567" w:hanging="567"/>
      </w:pPr>
      <w:bookmarkStart w:id="216" w:name="_ENREF_4"/>
      <w:r w:rsidRPr="00DE649A">
        <w:t>4.</w:t>
      </w:r>
      <w:r w:rsidRPr="00DE649A">
        <w:tab/>
        <w:t>Merry SN, Hetrick SE, Cox GR, Brudevold-Iversen T, Bir JJ, McDowell H. Psychological and educational interventions for preventing depression in children and adolescents. Cochrane Database of Systematic Reviews 2011(12):CD003380.</w:t>
      </w:r>
      <w:bookmarkEnd w:id="216"/>
    </w:p>
    <w:p w:rsidR="00415BFD" w:rsidRPr="00DE649A" w:rsidRDefault="00415BFD" w:rsidP="002442D3">
      <w:pPr>
        <w:pStyle w:val="EndNoteBibliography"/>
        <w:spacing w:beforeLines="60" w:before="144" w:afterLines="60" w:after="144"/>
        <w:ind w:left="567" w:hanging="567"/>
      </w:pPr>
      <w:bookmarkStart w:id="217" w:name="_ENREF_5"/>
      <w:r w:rsidRPr="00DE649A">
        <w:t>5.</w:t>
      </w:r>
      <w:r w:rsidRPr="00DE649A">
        <w:tab/>
        <w:t>Mihalopoulos C, Vos T, Pirkis J, Carter R. The population cost-effectiveness of interventions designed to prevent childhood depression. Pediatrics 2012;129(3):e723-30.</w:t>
      </w:r>
      <w:bookmarkEnd w:id="217"/>
    </w:p>
    <w:p w:rsidR="00415BFD" w:rsidRPr="00DE649A" w:rsidRDefault="00415BFD" w:rsidP="002442D3">
      <w:pPr>
        <w:pStyle w:val="EndNoteBibliography"/>
        <w:spacing w:beforeLines="60" w:before="144" w:afterLines="60" w:after="144"/>
        <w:ind w:left="567" w:hanging="567"/>
      </w:pPr>
      <w:bookmarkStart w:id="218" w:name="_ENREF_6"/>
      <w:r w:rsidRPr="00DE649A">
        <w:t>6.</w:t>
      </w:r>
      <w:r w:rsidRPr="00DE649A">
        <w:tab/>
        <w:t>Calear AL, Christensen H. Review of internet-based prevention and treatment programs for anxiety and depression in children and adolescents. Medical Journal of Australia 2010;192(11 Suppl):S12-4.</w:t>
      </w:r>
      <w:bookmarkEnd w:id="218"/>
    </w:p>
    <w:p w:rsidR="00415BFD" w:rsidRPr="00DE649A" w:rsidRDefault="00415BFD" w:rsidP="002442D3">
      <w:pPr>
        <w:pStyle w:val="EndNoteBibliography"/>
        <w:spacing w:beforeLines="60" w:before="144" w:afterLines="60" w:after="144"/>
        <w:ind w:left="567" w:hanging="567"/>
      </w:pPr>
      <w:bookmarkStart w:id="219" w:name="_ENREF_7"/>
      <w:r w:rsidRPr="00DE649A">
        <w:t>7.</w:t>
      </w:r>
      <w:r w:rsidRPr="00DE649A">
        <w:tab/>
        <w:t>O'Dea B, Calear AL, Perry Y. Is e-health the answer to gaps in adolescent mental health service provision? Current Opinion in Psychiatry 2015;28(4):336-42.</w:t>
      </w:r>
      <w:bookmarkEnd w:id="219"/>
    </w:p>
    <w:p w:rsidR="00415BFD" w:rsidRPr="00DE649A" w:rsidRDefault="00415BFD" w:rsidP="002442D3">
      <w:pPr>
        <w:pStyle w:val="EndNoteBibliography"/>
        <w:spacing w:beforeLines="60" w:before="144" w:afterLines="60" w:after="144"/>
        <w:ind w:left="567" w:hanging="567"/>
      </w:pPr>
      <w:bookmarkStart w:id="220" w:name="_ENREF_8"/>
      <w:r w:rsidRPr="00DE649A">
        <w:t>8.</w:t>
      </w:r>
      <w:r w:rsidRPr="00DE649A">
        <w:tab/>
        <w:t>Reyes-Portillo JA, Mufson L, Greenhill LL, Gould MS, Fisher PW, Tarlow N, et al. Web-based interventions for youth internalizing problems: a systematic review. Journal of the American Academy of Child and Adolescent Psychiatry 2014;53(12):1254-70 e5.</w:t>
      </w:r>
      <w:bookmarkEnd w:id="220"/>
    </w:p>
    <w:p w:rsidR="00415BFD" w:rsidRPr="00DE649A" w:rsidRDefault="00415BFD" w:rsidP="00F50556">
      <w:pPr>
        <w:pStyle w:val="EndNoteBibliography"/>
        <w:spacing w:beforeLines="60" w:before="144" w:afterLines="60" w:after="144"/>
        <w:ind w:left="567" w:hanging="567"/>
        <w:jc w:val="left"/>
        <w:rPr>
          <w:u w:val="single"/>
        </w:rPr>
      </w:pPr>
      <w:bookmarkStart w:id="221" w:name="_ENREF_9"/>
      <w:r w:rsidRPr="00DE649A">
        <w:t>9.</w:t>
      </w:r>
      <w:r w:rsidRPr="00DE649A">
        <w:tab/>
        <w:t xml:space="preserve">ABS. 3101.0 - Australian Demographic Statistics, Dec 2013 [Online]. Australian Bureau of Statistics. 2014 [cited 16 September 2015]; Available from: </w:t>
      </w:r>
      <w:r w:rsidRPr="00415BFD">
        <w:t>http://www.abs.gov.au/ausstats/abs@.nsf/mf/3101.0/</w:t>
      </w:r>
      <w:bookmarkEnd w:id="221"/>
    </w:p>
    <w:p w:rsidR="00415BFD" w:rsidRPr="00DE649A" w:rsidRDefault="00415BFD" w:rsidP="002442D3">
      <w:pPr>
        <w:pStyle w:val="EndNoteBibliography"/>
        <w:spacing w:beforeLines="60" w:before="144" w:afterLines="60" w:after="144"/>
        <w:ind w:left="567" w:hanging="567"/>
      </w:pPr>
      <w:bookmarkStart w:id="222" w:name="_ENREF_10"/>
      <w:r w:rsidRPr="00DE649A">
        <w:t>10.</w:t>
      </w:r>
      <w:r w:rsidRPr="00DE649A">
        <w:tab/>
        <w:t>Sawyer M, Arney F, Baghurst P, Clark J, Graetz B, Kosky R, et al. Child and Adolescent Component of the National Survey of Mental Health and Well-Being.  Canberra: Mental Health and Special Programs Branch, Commonwealth Department of Health and Aged Care; 2000.</w:t>
      </w:r>
      <w:bookmarkEnd w:id="222"/>
    </w:p>
    <w:p w:rsidR="00415BFD" w:rsidRPr="00DE649A" w:rsidRDefault="00415BFD" w:rsidP="002442D3">
      <w:pPr>
        <w:pStyle w:val="EndNoteBibliography"/>
        <w:spacing w:beforeLines="60" w:before="144" w:afterLines="60" w:after="144"/>
        <w:ind w:left="567" w:hanging="567"/>
      </w:pPr>
      <w:bookmarkStart w:id="223" w:name="_ENREF_11"/>
      <w:r w:rsidRPr="00DE649A">
        <w:t>11.</w:t>
      </w:r>
      <w:r w:rsidRPr="00DE649A">
        <w:tab/>
        <w:t>Calear AL, Christensen H, Mackinnon A, Griffiths KM, O'Kearney R. The YouthMood Project: a cluster randomized controlled trial of an online cognitive behavioral program with adolescents. Journal of Consulting and Clinical Psychology 2009;77(6):1021-32.</w:t>
      </w:r>
      <w:bookmarkEnd w:id="223"/>
    </w:p>
    <w:p w:rsidR="00415BFD" w:rsidRPr="00DE649A" w:rsidRDefault="00415BFD" w:rsidP="002442D3">
      <w:pPr>
        <w:pStyle w:val="EndNoteBibliography"/>
        <w:spacing w:beforeLines="60" w:before="144" w:afterLines="60" w:after="144"/>
        <w:ind w:left="567" w:hanging="567"/>
      </w:pPr>
      <w:bookmarkStart w:id="224" w:name="_ENREF_12"/>
      <w:r w:rsidRPr="00DE649A">
        <w:t>12.</w:t>
      </w:r>
      <w:r w:rsidRPr="00DE649A">
        <w:tab/>
        <w:t>Wong N, Kady L, Mewton L, Sunderland M, Andrews G. Preventing anxiety and depression in adolescents: A randomised controlled trial of two school based Internet-delivered cognitive behavioural therapy programmes. Internet Interventions 2014;1(2):90-4.</w:t>
      </w:r>
      <w:bookmarkEnd w:id="224"/>
    </w:p>
    <w:p w:rsidR="00415BFD" w:rsidRPr="00DE649A" w:rsidRDefault="00415BFD" w:rsidP="002442D3">
      <w:pPr>
        <w:pStyle w:val="EndNoteBibliography"/>
        <w:spacing w:beforeLines="60" w:before="144" w:afterLines="60" w:after="144"/>
        <w:ind w:left="567" w:hanging="567"/>
      </w:pPr>
      <w:bookmarkStart w:id="225" w:name="_ENREF_13"/>
      <w:r w:rsidRPr="00DE649A">
        <w:t>13.</w:t>
      </w:r>
      <w:r w:rsidRPr="00DE649A">
        <w:tab/>
        <w:t>Vos T, Barber RM, Bell B, Bertozzi-Villa A, Biryukov S, Bolliger I, et al. Global, regional, and national incidence, prevalence, and YLDs for 301 acute and chronic diseases and injuries for 188 countries, 1990-2013: a systematic analysis for the Global Burden of Disease Study 2013. Lancet 2015:[submitted].</w:t>
      </w:r>
      <w:bookmarkEnd w:id="225"/>
    </w:p>
    <w:p w:rsidR="00415BFD" w:rsidRPr="00DE649A" w:rsidRDefault="00415BFD" w:rsidP="002442D3">
      <w:pPr>
        <w:pStyle w:val="EndNoteBibliography"/>
        <w:spacing w:beforeLines="60" w:before="144" w:afterLines="60" w:after="144"/>
        <w:ind w:left="567" w:hanging="567"/>
        <w:rPr>
          <w:u w:val="single"/>
        </w:rPr>
      </w:pPr>
      <w:bookmarkStart w:id="226" w:name="_ENREF_14"/>
      <w:r w:rsidRPr="00DE649A">
        <w:t>14.</w:t>
      </w:r>
      <w:r w:rsidRPr="00DE649A">
        <w:tab/>
        <w:t xml:space="preserve">ABS. 3302.0 - Deaths, Australia, 2013 [Online]. Australian Bureau of Statistics. 2014 [cited 16 September 2015]; Available from: </w:t>
      </w:r>
      <w:r w:rsidRPr="00415BFD">
        <w:t>http://www.abs.gov.au/ausstats/abs@.nsf/mf/3302.0/</w:t>
      </w:r>
      <w:bookmarkEnd w:id="226"/>
    </w:p>
    <w:p w:rsidR="00415BFD" w:rsidRPr="00DE649A" w:rsidRDefault="00415BFD" w:rsidP="002442D3">
      <w:pPr>
        <w:pStyle w:val="EndNoteBibliography"/>
        <w:spacing w:beforeLines="60" w:before="144" w:afterLines="60" w:after="144"/>
        <w:ind w:left="567" w:hanging="567"/>
      </w:pPr>
      <w:bookmarkStart w:id="227" w:name="_ENREF_15"/>
      <w:r w:rsidRPr="00DE649A">
        <w:t>15.</w:t>
      </w:r>
      <w:r w:rsidRPr="00DE649A">
        <w:tab/>
        <w:t xml:space="preserve">Naghavi M, Wang H, Lozano R, Davis A, Liang X, Zhou M, et al. Global, regional, and national age-sex specific all-cause and cause-specific mortality for 240 causes of death, 1990-2013: a </w:t>
      </w:r>
      <w:r w:rsidRPr="00DE649A">
        <w:lastRenderedPageBreak/>
        <w:t>systematic analysis for the Global Burden of Disease Study 2013. Lancet 2015;385(9963):117-71.</w:t>
      </w:r>
      <w:bookmarkEnd w:id="227"/>
    </w:p>
    <w:p w:rsidR="00415BFD" w:rsidRPr="00DE649A" w:rsidRDefault="00415BFD" w:rsidP="002442D3">
      <w:pPr>
        <w:pStyle w:val="EndNoteBibliography"/>
        <w:spacing w:beforeLines="60" w:before="144" w:afterLines="60" w:after="144"/>
        <w:ind w:left="567" w:hanging="567"/>
      </w:pPr>
      <w:bookmarkStart w:id="228" w:name="_ENREF_16"/>
      <w:r w:rsidRPr="00DE649A">
        <w:t>16.</w:t>
      </w:r>
      <w:r w:rsidRPr="00DE649A">
        <w:tab/>
        <w:t>Baxter A, Page A, Whiteford H. Factors influencing risk of premature mortality in community cases of depression: a meta-analyitc review. Epidemiology Research International 2011:1-12.</w:t>
      </w:r>
      <w:bookmarkEnd w:id="228"/>
    </w:p>
    <w:p w:rsidR="00415BFD" w:rsidRPr="00DE649A" w:rsidRDefault="00415BFD" w:rsidP="002442D3">
      <w:pPr>
        <w:pStyle w:val="EndNoteBibliography"/>
        <w:spacing w:beforeLines="60" w:before="144" w:afterLines="60" w:after="144"/>
        <w:ind w:left="567" w:hanging="567"/>
      </w:pPr>
      <w:bookmarkStart w:id="229" w:name="_ENREF_17"/>
      <w:r w:rsidRPr="00DE649A">
        <w:t>17.</w:t>
      </w:r>
      <w:r w:rsidRPr="00DE649A">
        <w:tab/>
        <w:t>Salomon JA, Haagsma JA, Davis A, de Noordhout CM, Polinder S, Havelaar AH, et al. Disability weights for the Global Burden of Disease 2013 study. Lancet Glob Health 2015;3(11):e712-23.</w:t>
      </w:r>
      <w:bookmarkEnd w:id="229"/>
    </w:p>
    <w:p w:rsidR="00415BFD" w:rsidRPr="00DE649A" w:rsidRDefault="00415BFD" w:rsidP="002442D3">
      <w:pPr>
        <w:pStyle w:val="EndNoteBibliography"/>
        <w:spacing w:beforeLines="60" w:before="144" w:afterLines="60" w:after="144"/>
        <w:ind w:left="567" w:hanging="567"/>
      </w:pPr>
      <w:bookmarkStart w:id="230" w:name="_ENREF_18"/>
      <w:r w:rsidRPr="00DE649A">
        <w:t>18.</w:t>
      </w:r>
      <w:r w:rsidRPr="00DE649A">
        <w:tab/>
        <w:t>Ferrari AJ, Charlson FJ, Norman RE, Patten SB, Freedman G, Murray CJ, et al. Burden of depressive disorders by country, sex, age, and year: findings from the global burden of disease study 2010. PLoS Medicine 2013;10(11):e1001547.</w:t>
      </w:r>
      <w:bookmarkEnd w:id="230"/>
    </w:p>
    <w:p w:rsidR="00415BFD" w:rsidRPr="00DE649A" w:rsidRDefault="00415BFD" w:rsidP="002442D3">
      <w:pPr>
        <w:pStyle w:val="EndNoteBibliography"/>
        <w:spacing w:beforeLines="60" w:before="144" w:afterLines="60" w:after="144"/>
        <w:ind w:left="567" w:hanging="567"/>
      </w:pPr>
      <w:bookmarkStart w:id="231" w:name="_ENREF_19"/>
      <w:r w:rsidRPr="00DE649A">
        <w:t>19.</w:t>
      </w:r>
      <w:r w:rsidRPr="00DE649A">
        <w:tab/>
        <w:t>Burstein R, Fleming T, Haagsma J, Salomon JA, Vos T, Murray CJ. Estimating distributions of health state severity for the global burden of disease study. Population Health Metrics 2015;13:31.</w:t>
      </w:r>
      <w:bookmarkEnd w:id="231"/>
    </w:p>
    <w:p w:rsidR="00415BFD" w:rsidRPr="00DE649A" w:rsidRDefault="00415BFD" w:rsidP="002442D3">
      <w:pPr>
        <w:pStyle w:val="EndNoteBibliography"/>
        <w:spacing w:beforeLines="60" w:before="144" w:afterLines="60" w:after="144"/>
        <w:ind w:left="567" w:hanging="567"/>
      </w:pPr>
      <w:bookmarkStart w:id="232" w:name="_ENREF_20"/>
      <w:r w:rsidRPr="00DE649A">
        <w:t>20.</w:t>
      </w:r>
      <w:r w:rsidRPr="00DE649A">
        <w:tab/>
        <w:t>Mohiuddin S, Payne K. Utility Values for Adults with Unipolar Depression: Systematic Review and Meta-Analysis. Medical Decision Making 2014;34(5):666-85.</w:t>
      </w:r>
      <w:bookmarkEnd w:id="232"/>
    </w:p>
    <w:p w:rsidR="00415BFD" w:rsidRPr="00DE649A" w:rsidRDefault="00415BFD" w:rsidP="002442D3">
      <w:pPr>
        <w:pStyle w:val="EndNoteBibliography"/>
        <w:spacing w:beforeLines="60" w:before="144" w:afterLines="60" w:after="144"/>
        <w:ind w:left="567" w:hanging="567"/>
      </w:pPr>
      <w:bookmarkStart w:id="233" w:name="_ENREF_21"/>
      <w:r w:rsidRPr="00DE649A">
        <w:t>21.</w:t>
      </w:r>
      <w:r w:rsidRPr="00DE649A">
        <w:tab/>
        <w:t>OECD. Education at a Glance 2014: OECD Indicators.  Paris: OECD Publishing; 2014.</w:t>
      </w:r>
      <w:bookmarkEnd w:id="233"/>
    </w:p>
    <w:p w:rsidR="00415BFD" w:rsidRPr="00DE649A" w:rsidRDefault="00415BFD" w:rsidP="002442D3">
      <w:pPr>
        <w:pStyle w:val="EndNoteBibliography"/>
        <w:spacing w:beforeLines="60" w:before="144" w:afterLines="60" w:after="144"/>
        <w:ind w:left="567" w:hanging="567"/>
        <w:rPr>
          <w:u w:val="single"/>
        </w:rPr>
      </w:pPr>
      <w:bookmarkStart w:id="234" w:name="_ENREF_22"/>
      <w:r w:rsidRPr="00DE649A">
        <w:t>22.</w:t>
      </w:r>
      <w:r w:rsidRPr="00DE649A">
        <w:tab/>
        <w:t xml:space="preserve">ABS. 4221.0 - Schools, Australia, 2014 [Online]. Australian Bureau of Statistics. 2014 [cited 16 September 2015]; Available from: </w:t>
      </w:r>
      <w:r w:rsidRPr="00415BFD">
        <w:t>http://www.abs.gov.au/ausstats/abs@.nsf/mf/4221.0</w:t>
      </w:r>
      <w:bookmarkEnd w:id="234"/>
    </w:p>
    <w:p w:rsidR="00415BFD" w:rsidRPr="00DE649A" w:rsidRDefault="00415BFD" w:rsidP="00F50556">
      <w:pPr>
        <w:pStyle w:val="EndNoteBibliography"/>
        <w:spacing w:beforeLines="60" w:before="144" w:afterLines="60" w:after="144"/>
        <w:ind w:left="567" w:hanging="567"/>
        <w:jc w:val="left"/>
        <w:rPr>
          <w:u w:val="single"/>
        </w:rPr>
      </w:pPr>
      <w:bookmarkStart w:id="235" w:name="_ENREF_23"/>
      <w:r w:rsidRPr="00DE649A">
        <w:t>23.</w:t>
      </w:r>
      <w:r w:rsidRPr="00DE649A">
        <w:tab/>
        <w:t xml:space="preserve">ABS. 6306.0 - Employee Earnings and Hours, Australia, May 2014 [Online]. Australian Bureau of Statistics. 2015 [cited 16 September 2015]; Available from: </w:t>
      </w:r>
      <w:r w:rsidRPr="00415BFD">
        <w:t>http://www.abs.gov.au/ausstats/abs@.nsf/mf/6306.0/</w:t>
      </w:r>
      <w:bookmarkEnd w:id="235"/>
    </w:p>
    <w:p w:rsidR="00415BFD" w:rsidRPr="00DE649A" w:rsidRDefault="00415BFD" w:rsidP="002442D3">
      <w:pPr>
        <w:pStyle w:val="EndNoteBibliography"/>
        <w:spacing w:beforeLines="60" w:before="144" w:afterLines="60" w:after="144"/>
        <w:ind w:left="567" w:hanging="567"/>
      </w:pPr>
      <w:bookmarkStart w:id="236" w:name="_ENREF_24"/>
      <w:r w:rsidRPr="00DE649A">
        <w:t>24.</w:t>
      </w:r>
      <w:r w:rsidRPr="00DE649A">
        <w:tab/>
        <w:t>AIHW. Health system expenditure on disease and injury in Australia, 2004-05.  Canberra: Australian Institute of Health and Welfare; 2010.</w:t>
      </w:r>
      <w:bookmarkEnd w:id="236"/>
    </w:p>
    <w:p w:rsidR="00415BFD" w:rsidRPr="00DE649A" w:rsidRDefault="00415BFD" w:rsidP="002442D3">
      <w:pPr>
        <w:pStyle w:val="EndNoteBibliography"/>
        <w:spacing w:beforeLines="60" w:before="144" w:afterLines="60" w:after="144"/>
        <w:ind w:left="567" w:hanging="567"/>
      </w:pPr>
      <w:bookmarkStart w:id="237" w:name="_ENREF_25"/>
      <w:r w:rsidRPr="00DE649A">
        <w:t>25.</w:t>
      </w:r>
      <w:r w:rsidRPr="00DE649A">
        <w:tab/>
        <w:t>Slade T, Johnston A, Oakley Browne MA, Andrews G, Whiteford H. 2007 National Survey of Mental Health and Wellbeing: methods and key findings. Australian New Zealand Journal of Psychiatry 2009;43(7):594-605.</w:t>
      </w:r>
      <w:bookmarkEnd w:id="237"/>
    </w:p>
    <w:p w:rsidR="00415BFD" w:rsidRPr="00DE649A" w:rsidRDefault="00415BFD" w:rsidP="002442D3">
      <w:pPr>
        <w:pStyle w:val="EndNoteBibliography"/>
        <w:spacing w:beforeLines="60" w:before="144" w:afterLines="60" w:after="144"/>
        <w:ind w:left="567" w:hanging="567"/>
        <w:rPr>
          <w:u w:val="single"/>
        </w:rPr>
      </w:pPr>
      <w:bookmarkStart w:id="238" w:name="_ENREF_26"/>
      <w:r w:rsidRPr="00DE649A">
        <w:t>26.</w:t>
      </w:r>
      <w:r w:rsidRPr="00DE649A">
        <w:tab/>
        <w:t xml:space="preserve">Clinical Research Unit for Anxiety and Depression. THIS WAY UP: online treatment, education and research in anxiety and depression [Online]. St Vincent's Hospital Sydney. 2015 [cited 10 September 2015]; Available from: </w:t>
      </w:r>
      <w:r w:rsidRPr="00415BFD">
        <w:t>https://thiswayup.org.au/</w:t>
      </w:r>
      <w:bookmarkEnd w:id="238"/>
    </w:p>
    <w:p w:rsidR="00415BFD" w:rsidRPr="00DE649A" w:rsidRDefault="00415BFD" w:rsidP="002442D3">
      <w:pPr>
        <w:pStyle w:val="EndNoteBibliography"/>
        <w:spacing w:beforeLines="60" w:before="144" w:afterLines="60" w:after="144"/>
        <w:ind w:left="567" w:hanging="567"/>
      </w:pPr>
      <w:bookmarkStart w:id="239" w:name="_ENREF_27"/>
      <w:r w:rsidRPr="00DE649A">
        <w:t>27.</w:t>
      </w:r>
      <w:r w:rsidRPr="00DE649A">
        <w:tab/>
        <w:t>Shaffer D, Fisher P, Lucas CP, Dulcan MK, Schwab-Stone ME. NIMH Diagnostic Interview Schedule for Children Version IV (NIMH DISC-IV): description, differences from previous versions, and reliability of some common diagnoses. J Am Acad Child Adolesc Psychiatry 2000;39(1):28-38.</w:t>
      </w:r>
      <w:bookmarkEnd w:id="239"/>
    </w:p>
    <w:p w:rsidR="00415BFD" w:rsidRPr="00DE649A" w:rsidRDefault="00415BFD" w:rsidP="002442D3">
      <w:pPr>
        <w:pStyle w:val="EndNoteBibliography"/>
        <w:spacing w:beforeLines="60" w:before="144" w:afterLines="60" w:after="144"/>
        <w:ind w:left="567" w:hanging="567"/>
      </w:pPr>
      <w:bookmarkStart w:id="240" w:name="_ENREF_28"/>
      <w:r w:rsidRPr="00DE649A">
        <w:t>28.</w:t>
      </w:r>
      <w:r w:rsidRPr="00DE649A">
        <w:tab/>
        <w:t>Kamphaus R, Mays K. Chapter 14: Assessment of Internalizing Behavioral Deficits. In: Bray M, Kehle T, editors. The Oxford Handbook of School Psychology. 1st ed. New York: Oxford University Press; 2011.  p. 312-33.</w:t>
      </w:r>
      <w:bookmarkEnd w:id="240"/>
    </w:p>
    <w:p w:rsidR="00415BFD" w:rsidRPr="00DE649A" w:rsidRDefault="00415BFD" w:rsidP="002442D3">
      <w:pPr>
        <w:pStyle w:val="EndNoteBibliography"/>
        <w:spacing w:beforeLines="60" w:before="144" w:afterLines="60" w:after="144"/>
        <w:ind w:left="567" w:hanging="567"/>
      </w:pPr>
      <w:bookmarkStart w:id="241" w:name="_ENREF_29"/>
      <w:r w:rsidRPr="00DE649A">
        <w:t>29.</w:t>
      </w:r>
      <w:r w:rsidRPr="00DE649A">
        <w:tab/>
        <w:t>Lock S, Barrett P. A longitudinal study of developmental differences in universal preventive intervention for child anxiety. Behaviour Change 2003;20(4):183-99.</w:t>
      </w:r>
      <w:bookmarkEnd w:id="241"/>
    </w:p>
    <w:p w:rsidR="00415BFD" w:rsidRPr="00DE649A" w:rsidRDefault="00415BFD" w:rsidP="002442D3">
      <w:pPr>
        <w:pStyle w:val="EndNoteBibliography"/>
        <w:spacing w:beforeLines="60" w:before="144" w:afterLines="60" w:after="144"/>
        <w:ind w:left="567" w:hanging="567"/>
      </w:pPr>
      <w:bookmarkStart w:id="242" w:name="_ENREF_30"/>
      <w:r w:rsidRPr="00DE649A">
        <w:t>30.</w:t>
      </w:r>
      <w:r w:rsidRPr="00DE649A">
        <w:tab/>
        <w:t>Stallard P, Buck R. Preventing depression and promoting resilience: feasibility study of a school-based cognitive-behavioural intervention. British Journal of Psychiatry Supplement 2013;54:s18-23.</w:t>
      </w:r>
      <w:bookmarkEnd w:id="242"/>
    </w:p>
    <w:p w:rsidR="00415BFD" w:rsidRPr="00DE649A" w:rsidRDefault="00415BFD" w:rsidP="002442D3">
      <w:pPr>
        <w:pStyle w:val="EndNoteBibliography"/>
        <w:spacing w:beforeLines="60" w:before="144" w:afterLines="60" w:after="144"/>
        <w:ind w:left="567" w:hanging="567"/>
      </w:pPr>
      <w:bookmarkStart w:id="243" w:name="_ENREF_31"/>
      <w:r w:rsidRPr="00DE649A">
        <w:t>31.</w:t>
      </w:r>
      <w:r w:rsidRPr="00DE649A">
        <w:tab/>
        <w:t>Wolchik SA, West SG, Sandler IN, Tein JY, Coatsworth D, Lengua L, et al. An experimental evaluation of theory-based mother and mother-child programs for children of divorce. Journal of Consulting and Clinical Psychology 2000;68(5):843-56.</w:t>
      </w:r>
      <w:bookmarkEnd w:id="243"/>
    </w:p>
    <w:p w:rsidR="00415BFD" w:rsidRPr="00DE649A" w:rsidRDefault="00415BFD" w:rsidP="002442D3">
      <w:pPr>
        <w:pStyle w:val="EndNoteBibliography"/>
        <w:spacing w:beforeLines="60" w:before="144" w:afterLines="60" w:after="144"/>
        <w:ind w:left="567" w:hanging="567"/>
      </w:pPr>
      <w:bookmarkStart w:id="244" w:name="_ENREF_32"/>
      <w:r w:rsidRPr="00DE649A">
        <w:lastRenderedPageBreak/>
        <w:t>32.</w:t>
      </w:r>
      <w:r w:rsidRPr="00DE649A">
        <w:tab/>
        <w:t>Beardslee WR, Versage EM, Wright EJ, Salt P, Rothberg PC, Drezner K, et al. Examination of preventive interventions for families with depression: evidence of change. Development and Psychopathology 1997;9(1):109-30.</w:t>
      </w:r>
      <w:bookmarkEnd w:id="244"/>
    </w:p>
    <w:p w:rsidR="00415BFD" w:rsidRPr="00DE649A" w:rsidRDefault="00415BFD" w:rsidP="002442D3">
      <w:pPr>
        <w:pStyle w:val="EndNoteBibliography"/>
        <w:spacing w:beforeLines="60" w:before="144" w:afterLines="60" w:after="144"/>
        <w:ind w:left="567" w:hanging="567"/>
      </w:pPr>
      <w:bookmarkStart w:id="245" w:name="_ENREF_33"/>
      <w:r w:rsidRPr="00DE649A">
        <w:t>33.</w:t>
      </w:r>
      <w:r w:rsidRPr="00DE649A">
        <w:tab/>
        <w:t>Compas BE, Forehand R, Keller G, Champion JE, Rakow A, Reeslund KL, et al. Randomized controlled trial of a family cognitive-behavioral preventive intervention for children of depressed parents. Journal of Consulting and Clinical Psychology 2009;77(6):1007-20.</w:t>
      </w:r>
      <w:bookmarkEnd w:id="245"/>
    </w:p>
    <w:p w:rsidR="00415BFD" w:rsidRPr="00DE649A" w:rsidRDefault="00415BFD" w:rsidP="002442D3">
      <w:pPr>
        <w:pStyle w:val="EndNoteBibliography"/>
        <w:spacing w:beforeLines="60" w:before="144" w:afterLines="60" w:after="144"/>
        <w:ind w:left="567" w:hanging="567"/>
      </w:pPr>
      <w:bookmarkStart w:id="246" w:name="_ENREF_34"/>
      <w:r w:rsidRPr="00DE649A">
        <w:t>34.</w:t>
      </w:r>
      <w:r w:rsidRPr="00DE649A">
        <w:tab/>
        <w:t>McLaughlin AE, Campbell FA, Pungello EP, Skinner M. Depressive symptoms in young adults: the influences of the early home environment and early educational child care. Child Development 2007;78(3):746-56.</w:t>
      </w:r>
      <w:bookmarkEnd w:id="246"/>
    </w:p>
    <w:p w:rsidR="00415BFD" w:rsidRPr="00DE649A" w:rsidRDefault="00415BFD" w:rsidP="002442D3">
      <w:pPr>
        <w:pStyle w:val="EndNoteBibliography"/>
        <w:spacing w:beforeLines="60" w:before="144" w:afterLines="60" w:after="144"/>
        <w:ind w:left="567" w:hanging="567"/>
      </w:pPr>
      <w:bookmarkStart w:id="247" w:name="_ENREF_35"/>
      <w:r w:rsidRPr="00DE649A">
        <w:t>35.</w:t>
      </w:r>
      <w:r w:rsidRPr="00DE649A">
        <w:tab/>
        <w:t>Phipps MG, Raker CA, Ware CF, Zlotnick C. Randomized controlled trial to prevent postpartum depression in adolescent mothers. American Journal of Obstetrics &amp; Gynecology 2013;208(3):192 e1-6.</w:t>
      </w:r>
      <w:bookmarkEnd w:id="247"/>
    </w:p>
    <w:p w:rsidR="00415BFD" w:rsidRPr="00DE649A" w:rsidRDefault="00415BFD" w:rsidP="002442D3">
      <w:pPr>
        <w:pStyle w:val="EndNoteBibliography"/>
        <w:spacing w:beforeLines="60" w:before="144" w:afterLines="60" w:after="144"/>
        <w:ind w:left="567" w:hanging="567"/>
      </w:pPr>
      <w:bookmarkStart w:id="248" w:name="_ENREF_36"/>
      <w:r w:rsidRPr="00DE649A">
        <w:t>36.</w:t>
      </w:r>
      <w:r w:rsidRPr="00DE649A">
        <w:tab/>
        <w:t>Gillham JE, Hamilton J, Freres DR, Patton K, Gallop R. Preventing depression among early adolescents in the primary care setting: a randomized controlled study of the Penn Resiliency Program. Journal of Abnormal Child Psychology 2006;34(2):203-19.</w:t>
      </w:r>
      <w:bookmarkEnd w:id="248"/>
    </w:p>
    <w:p w:rsidR="00415BFD" w:rsidRPr="00DE649A" w:rsidRDefault="00415BFD" w:rsidP="002442D3">
      <w:pPr>
        <w:pStyle w:val="EndNoteBibliography"/>
        <w:spacing w:beforeLines="60" w:before="144" w:afterLines="60" w:after="144"/>
        <w:ind w:left="567" w:hanging="567"/>
      </w:pPr>
      <w:bookmarkStart w:id="249" w:name="_ENREF_37"/>
      <w:r w:rsidRPr="00DE649A">
        <w:t>37.</w:t>
      </w:r>
      <w:r w:rsidRPr="00DE649A">
        <w:tab/>
        <w:t>Barnet B, Liu J, DeVoe M, Alperovitz-Bichell K, Duggan AK. Home visiting for adolescent mothers: effects on parenting, maternal life course, and primary care linkage. Annals of Family Medicine 2007;5(3):224-32.</w:t>
      </w:r>
      <w:bookmarkEnd w:id="249"/>
    </w:p>
    <w:p w:rsidR="00415BFD" w:rsidRPr="00DE649A" w:rsidRDefault="00415BFD" w:rsidP="002442D3">
      <w:pPr>
        <w:pStyle w:val="EndNoteBibliography"/>
        <w:spacing w:beforeLines="60" w:before="144" w:afterLines="60" w:after="144"/>
        <w:ind w:left="567" w:hanging="567"/>
      </w:pPr>
      <w:bookmarkStart w:id="250" w:name="_ENREF_38"/>
      <w:r w:rsidRPr="00DE649A">
        <w:t>38.</w:t>
      </w:r>
      <w:r w:rsidRPr="00DE649A">
        <w:tab/>
        <w:t>Clarke GN, Hornbrook M, Lynch F, Polen M, Gale J, Beardslee W, et al. A randomized trial of a group cognitive intervention for preventing depression in adolescent offspring of depressed parents. Archives of General Psychiatry 2001;58(12):1127-34.</w:t>
      </w:r>
      <w:bookmarkEnd w:id="250"/>
    </w:p>
    <w:p w:rsidR="00415BFD" w:rsidRPr="00DE649A" w:rsidRDefault="00415BFD" w:rsidP="002442D3">
      <w:pPr>
        <w:pStyle w:val="EndNoteBibliography"/>
        <w:spacing w:beforeLines="60" w:before="144" w:afterLines="60" w:after="144"/>
        <w:ind w:left="567" w:hanging="567"/>
      </w:pPr>
      <w:bookmarkStart w:id="251" w:name="_ENREF_39"/>
      <w:r w:rsidRPr="00DE649A">
        <w:t>39.</w:t>
      </w:r>
      <w:r w:rsidRPr="00DE649A">
        <w:tab/>
        <w:t>Garber J, Clarke GN, Weersing VR, Beardslee WR, Brent DA, Gladstone TR, et al. Prevention of depression in at-risk adolescents: a randomized controlled trial. Journal of the American Medical Association 2009;301(21):2215-24.</w:t>
      </w:r>
      <w:bookmarkEnd w:id="251"/>
    </w:p>
    <w:p w:rsidR="00415BFD" w:rsidRPr="00DE649A" w:rsidRDefault="00415BFD" w:rsidP="002442D3">
      <w:pPr>
        <w:pStyle w:val="EndNoteBibliography"/>
        <w:spacing w:beforeLines="60" w:before="144" w:afterLines="60" w:after="144"/>
        <w:ind w:left="567" w:hanging="567"/>
      </w:pPr>
      <w:bookmarkStart w:id="252" w:name="_ENREF_40"/>
      <w:r w:rsidRPr="00DE649A">
        <w:t>40.</w:t>
      </w:r>
      <w:r w:rsidRPr="00DE649A">
        <w:tab/>
        <w:t>Seligman ME, Schulman P, DeRubeis R, Hollon SD. The prevention of depression and anxiety. Prevention and Treatment 1999;2(8):1-24.</w:t>
      </w:r>
      <w:bookmarkEnd w:id="252"/>
    </w:p>
    <w:p w:rsidR="00415BFD" w:rsidRPr="00DE649A" w:rsidRDefault="00415BFD" w:rsidP="002442D3">
      <w:pPr>
        <w:pStyle w:val="EndNoteBibliography"/>
        <w:spacing w:beforeLines="60" w:before="144" w:afterLines="60" w:after="144"/>
        <w:ind w:left="567" w:hanging="567"/>
      </w:pPr>
      <w:bookmarkStart w:id="253" w:name="_ENREF_41"/>
      <w:r w:rsidRPr="00DE649A">
        <w:t>41.</w:t>
      </w:r>
      <w:r w:rsidRPr="00DE649A">
        <w:tab/>
        <w:t>Seligman ME, Schulman P, Tryon AM. Group prevention of depression and anxiety symptoms. Behaviour Research and Therapy 2007;45(6):1111-26.</w:t>
      </w:r>
      <w:bookmarkEnd w:id="253"/>
    </w:p>
    <w:p w:rsidR="00415BFD" w:rsidRPr="00DE649A" w:rsidRDefault="00415BFD" w:rsidP="002442D3">
      <w:pPr>
        <w:pStyle w:val="EndNoteBibliography"/>
        <w:spacing w:beforeLines="60" w:before="144" w:afterLines="60" w:after="144"/>
        <w:ind w:left="567" w:hanging="567"/>
      </w:pPr>
      <w:bookmarkStart w:id="254" w:name="_ENREF_42"/>
      <w:r w:rsidRPr="00DE649A">
        <w:t>42.</w:t>
      </w:r>
      <w:r w:rsidRPr="00DE649A">
        <w:tab/>
        <w:t>Gillham J, Reivich K, Freres D, Lascher M, Litzinger S, Shatte A, et al. School–based prevention of depression and anxiety symptoms in early adolescence: a pilot of a parent intervention component. School Psychology Quarterly 2006;21(3):323-48.</w:t>
      </w:r>
      <w:bookmarkEnd w:id="254"/>
    </w:p>
    <w:p w:rsidR="00415BFD" w:rsidRPr="00DE649A" w:rsidRDefault="00415BFD" w:rsidP="002442D3">
      <w:pPr>
        <w:pStyle w:val="EndNoteBibliography"/>
        <w:spacing w:beforeLines="60" w:before="144" w:afterLines="60" w:after="144"/>
        <w:ind w:left="567" w:hanging="567"/>
      </w:pPr>
      <w:bookmarkStart w:id="255" w:name="_ENREF_43"/>
      <w:r w:rsidRPr="00DE649A">
        <w:t>43.</w:t>
      </w:r>
      <w:r w:rsidRPr="00DE649A">
        <w:tab/>
        <w:t>Doi SA, Barendregt JJ, Khan S, Thalib L, Williams GM. Advances in the meta-analysis of heterogeneous clinical trials II: The quality effects model. Contemporary Clinical Trials 2015.</w:t>
      </w:r>
      <w:bookmarkEnd w:id="255"/>
    </w:p>
    <w:p w:rsidR="00415BFD" w:rsidRPr="00DE649A" w:rsidRDefault="00415BFD" w:rsidP="002442D3">
      <w:pPr>
        <w:pStyle w:val="EndNoteBibliography"/>
        <w:spacing w:beforeLines="60" w:before="144" w:afterLines="60" w:after="144"/>
        <w:ind w:left="567" w:hanging="567"/>
      </w:pPr>
      <w:bookmarkStart w:id="256" w:name="_ENREF_44"/>
      <w:r w:rsidRPr="00DE649A">
        <w:t>44.</w:t>
      </w:r>
      <w:r w:rsidRPr="00DE649A">
        <w:tab/>
        <w:t>Bond L, Patton G, Glover S, Carlin JB, Butler H, Thomas L, et al. The Gatehouse Project: can a multilevel school intervention affect emotional wellbeing and health risk behaviours? Journal of Epidemiology &amp; Community Health 2004;58(12):997-1003.</w:t>
      </w:r>
      <w:bookmarkEnd w:id="256"/>
    </w:p>
    <w:p w:rsidR="00415BFD" w:rsidRPr="00DE649A" w:rsidRDefault="00415BFD" w:rsidP="002442D3">
      <w:pPr>
        <w:pStyle w:val="EndNoteBibliography"/>
        <w:spacing w:beforeLines="60" w:before="144" w:afterLines="60" w:after="144"/>
        <w:ind w:left="567" w:hanging="567"/>
      </w:pPr>
      <w:bookmarkStart w:id="257" w:name="_ENREF_45"/>
      <w:r w:rsidRPr="00DE649A">
        <w:t>45.</w:t>
      </w:r>
      <w:r w:rsidRPr="00DE649A">
        <w:tab/>
        <w:t>Cardemil E, Reivich K, Seligman M. The prevention of depressive symptoms in low-income minority middle school students. Prevention and Treatment 2002;5(8):1-31.</w:t>
      </w:r>
      <w:bookmarkEnd w:id="257"/>
    </w:p>
    <w:p w:rsidR="00415BFD" w:rsidRPr="00DE649A" w:rsidRDefault="00415BFD" w:rsidP="002442D3">
      <w:pPr>
        <w:pStyle w:val="EndNoteBibliography"/>
        <w:spacing w:beforeLines="60" w:before="144" w:afterLines="60" w:after="144"/>
        <w:ind w:left="567" w:hanging="567"/>
      </w:pPr>
      <w:bookmarkStart w:id="258" w:name="_ENREF_46"/>
      <w:r w:rsidRPr="00DE649A">
        <w:t>46.</w:t>
      </w:r>
      <w:r w:rsidRPr="00DE649A">
        <w:tab/>
        <w:t>Gillham JE, Reivich KJ, Brunwasser SM, Freres DR, Chajon ND, Kash-Macdonald VM, et al. Evaluation of a group cognitive-behavioral depression prevention program for young adolescents: a randomized effectiveness trial. Journal of Clinical Child &amp; Adolescent Psychology 2012;41(5):621-39.</w:t>
      </w:r>
      <w:bookmarkEnd w:id="258"/>
    </w:p>
    <w:p w:rsidR="00415BFD" w:rsidRPr="00DE649A" w:rsidRDefault="00415BFD" w:rsidP="002442D3">
      <w:pPr>
        <w:pStyle w:val="EndNoteBibliography"/>
        <w:spacing w:beforeLines="60" w:before="144" w:afterLines="60" w:after="144"/>
        <w:ind w:left="567" w:hanging="567"/>
      </w:pPr>
      <w:bookmarkStart w:id="259" w:name="_ENREF_47"/>
      <w:r w:rsidRPr="00DE649A">
        <w:t>47.</w:t>
      </w:r>
      <w:r w:rsidRPr="00DE649A">
        <w:tab/>
        <w:t>Lowry-Webster H, Barrett P, Dadds M. A universal prevention trial of anxiety and depressive symptomatology in childhood: preliminary data from an Australian study. Behaviour Change 2001;18(1):36-50.</w:t>
      </w:r>
      <w:bookmarkEnd w:id="259"/>
    </w:p>
    <w:p w:rsidR="00415BFD" w:rsidRPr="00DE649A" w:rsidRDefault="00415BFD" w:rsidP="002442D3">
      <w:pPr>
        <w:pStyle w:val="EndNoteBibliography"/>
        <w:spacing w:beforeLines="60" w:before="144" w:afterLines="60" w:after="144"/>
        <w:ind w:left="567" w:hanging="567"/>
      </w:pPr>
      <w:bookmarkStart w:id="260" w:name="_ENREF_48"/>
      <w:r w:rsidRPr="00DE649A">
        <w:lastRenderedPageBreak/>
        <w:t>48.</w:t>
      </w:r>
      <w:r w:rsidRPr="00DE649A">
        <w:tab/>
        <w:t>Quayle D, Dziurawiec S, Roberts C, Kane R, Ebsworthy G. The effect of an optimism and lifeskills program on depressive symptoms in preadolescence. Behaviour Change 2001;18(4):194-203.</w:t>
      </w:r>
      <w:bookmarkEnd w:id="260"/>
    </w:p>
    <w:p w:rsidR="00415BFD" w:rsidRPr="00DE649A" w:rsidRDefault="00415BFD" w:rsidP="002442D3">
      <w:pPr>
        <w:pStyle w:val="EndNoteBibliography"/>
        <w:spacing w:beforeLines="60" w:before="144" w:afterLines="60" w:after="144"/>
        <w:ind w:left="567" w:hanging="567"/>
      </w:pPr>
      <w:bookmarkStart w:id="261" w:name="_ENREF_49"/>
      <w:r w:rsidRPr="00DE649A">
        <w:t>49.</w:t>
      </w:r>
      <w:r w:rsidRPr="00DE649A">
        <w:tab/>
        <w:t>Rivet-Duval E, Heriot S, Hunt C. Preventing adolescent depression in Mauritius: a universal school-based program. Child and Adolescent Mental Health 2011;16(2):86-91.</w:t>
      </w:r>
      <w:bookmarkEnd w:id="261"/>
    </w:p>
    <w:p w:rsidR="00415BFD" w:rsidRPr="00DE649A" w:rsidRDefault="00415BFD" w:rsidP="002442D3">
      <w:pPr>
        <w:pStyle w:val="EndNoteBibliography"/>
        <w:spacing w:beforeLines="60" w:before="144" w:afterLines="60" w:after="144"/>
        <w:ind w:left="567" w:hanging="567"/>
      </w:pPr>
      <w:bookmarkStart w:id="262" w:name="_ENREF_50"/>
      <w:r w:rsidRPr="00DE649A">
        <w:t>50.</w:t>
      </w:r>
      <w:r w:rsidRPr="00DE649A">
        <w:tab/>
        <w:t>Rooney R, Roberts C, Kane R, Pike L, Winsor A, White J, et al. The prevention of depression in 8- to 9-year-old children: a pilot study. Australian Journal of Guidance and Counselling 2006;16(1):76-90.</w:t>
      </w:r>
      <w:bookmarkEnd w:id="262"/>
    </w:p>
    <w:p w:rsidR="00415BFD" w:rsidRPr="00DE649A" w:rsidRDefault="00415BFD" w:rsidP="002442D3">
      <w:pPr>
        <w:pStyle w:val="EndNoteBibliography"/>
        <w:spacing w:beforeLines="60" w:before="144" w:afterLines="60" w:after="144"/>
        <w:ind w:left="567" w:hanging="567"/>
      </w:pPr>
      <w:bookmarkStart w:id="263" w:name="_ENREF_51"/>
      <w:r w:rsidRPr="00DE649A">
        <w:t>51.</w:t>
      </w:r>
      <w:r w:rsidRPr="00DE649A">
        <w:tab/>
        <w:t>Rooney R, Hassan S, Kane R, Roberts CM, Nesa M. Reducing depression in 9-10 year old children in low SES schools: a longitudinal universal randomized controlled trial. Behaviour Research and Therapy 2013;51(12):845-54.</w:t>
      </w:r>
      <w:bookmarkEnd w:id="263"/>
    </w:p>
    <w:p w:rsidR="00415BFD" w:rsidRPr="00DE649A" w:rsidRDefault="00415BFD" w:rsidP="002442D3">
      <w:pPr>
        <w:pStyle w:val="EndNoteBibliography"/>
        <w:spacing w:beforeLines="60" w:before="144" w:afterLines="60" w:after="144"/>
        <w:ind w:left="567" w:hanging="567"/>
      </w:pPr>
      <w:bookmarkStart w:id="264" w:name="_ENREF_52"/>
      <w:r w:rsidRPr="00DE649A">
        <w:t>52.</w:t>
      </w:r>
      <w:r w:rsidRPr="00DE649A">
        <w:tab/>
        <w:t>Shatte A. Prevention of depressive symptoms in adolescents: issues of dissemination and mechanisms of change [PhD thesis]. PhD. Philadelphia: University of Pennsylvania; 1997.</w:t>
      </w:r>
      <w:bookmarkEnd w:id="264"/>
    </w:p>
    <w:p w:rsidR="00415BFD" w:rsidRPr="00DE649A" w:rsidRDefault="00415BFD" w:rsidP="002442D3">
      <w:pPr>
        <w:pStyle w:val="EndNoteBibliography"/>
        <w:spacing w:beforeLines="60" w:before="144" w:afterLines="60" w:after="144"/>
        <w:ind w:left="567" w:hanging="567"/>
      </w:pPr>
      <w:bookmarkStart w:id="265" w:name="_ENREF_53"/>
      <w:r w:rsidRPr="00DE649A">
        <w:t>53.</w:t>
      </w:r>
      <w:r w:rsidRPr="00DE649A">
        <w:tab/>
        <w:t>Arnarson EO, Craighead WE. Prevention of depression among Icelandic adolescents. Behaviour Research and Therapy 2009;47(7):577-85.</w:t>
      </w:r>
      <w:bookmarkEnd w:id="265"/>
    </w:p>
    <w:p w:rsidR="00415BFD" w:rsidRPr="00DE649A" w:rsidRDefault="00415BFD" w:rsidP="002442D3">
      <w:pPr>
        <w:pStyle w:val="EndNoteBibliography"/>
        <w:spacing w:beforeLines="60" w:before="144" w:afterLines="60" w:after="144"/>
        <w:ind w:left="567" w:hanging="567"/>
      </w:pPr>
      <w:bookmarkStart w:id="266" w:name="_ENREF_54"/>
      <w:r w:rsidRPr="00DE649A">
        <w:t>54.</w:t>
      </w:r>
      <w:r w:rsidRPr="00DE649A">
        <w:tab/>
        <w:t>Clarke GN, Hawkins W, Murphy M, Sheeber LB, Lewinsohn PM, Seeley JR. Targeted prevention of unipolar depressive disorder in an at-risk sample of high school adolescents: a randomized trial of a group cognitive intervention. Journal of the American Academy of Child and Adolescent Psychiatry 1995;34(3):312-21.</w:t>
      </w:r>
      <w:bookmarkEnd w:id="266"/>
    </w:p>
    <w:p w:rsidR="00415BFD" w:rsidRPr="00DE649A" w:rsidRDefault="00415BFD" w:rsidP="002442D3">
      <w:pPr>
        <w:pStyle w:val="EndNoteBibliography"/>
        <w:spacing w:beforeLines="60" w:before="144" w:afterLines="60" w:after="144"/>
        <w:ind w:left="567" w:hanging="567"/>
      </w:pPr>
      <w:bookmarkStart w:id="267" w:name="_ENREF_55"/>
      <w:r w:rsidRPr="00DE649A">
        <w:t>55.</w:t>
      </w:r>
      <w:r w:rsidRPr="00DE649A">
        <w:tab/>
        <w:t>Gillham J. Preventing depressive symptoms in school children [PhD thesis]. PhD. Philadelphia: University of Pennsylvania; 1995.</w:t>
      </w:r>
      <w:bookmarkEnd w:id="267"/>
    </w:p>
    <w:p w:rsidR="00415BFD" w:rsidRPr="00DE649A" w:rsidRDefault="00415BFD" w:rsidP="002442D3">
      <w:pPr>
        <w:pStyle w:val="EndNoteBibliography"/>
        <w:spacing w:beforeLines="60" w:before="144" w:afterLines="60" w:after="144"/>
        <w:ind w:left="567" w:hanging="567"/>
      </w:pPr>
      <w:bookmarkStart w:id="268" w:name="_ENREF_56"/>
      <w:r w:rsidRPr="00DE649A">
        <w:t>56.</w:t>
      </w:r>
      <w:r w:rsidRPr="00DE649A">
        <w:tab/>
        <w:t>Manassis K, Wilansky-Traynor P, Farzan N, Kleiman V, Parker K, Sanford M. The feelings club: randomized controlled evaluation of school-based CBT for anxious or depressive symptoms. Depression and Anxiety 2010;27(10):945-52.</w:t>
      </w:r>
      <w:bookmarkEnd w:id="268"/>
    </w:p>
    <w:p w:rsidR="00415BFD" w:rsidRPr="00DE649A" w:rsidRDefault="00415BFD" w:rsidP="002442D3">
      <w:pPr>
        <w:pStyle w:val="EndNoteBibliography"/>
        <w:spacing w:beforeLines="60" w:before="144" w:afterLines="60" w:after="144"/>
        <w:ind w:left="567" w:hanging="567"/>
      </w:pPr>
      <w:bookmarkStart w:id="269" w:name="_ENREF_57"/>
      <w:r w:rsidRPr="00DE649A">
        <w:t>57.</w:t>
      </w:r>
      <w:r w:rsidRPr="00DE649A">
        <w:tab/>
        <w:t>Rohde P, Stice E, Shaw H, Briere FN. Indicated cognitive behavioral group depression prevention compared to bibliotherapy and brochure control: acute effects of an effectiveness trial with adolescents. Journal of Consulting and Clinical Psychology 2014;82(1):65-74.</w:t>
      </w:r>
      <w:bookmarkEnd w:id="269"/>
    </w:p>
    <w:p w:rsidR="00415BFD" w:rsidRPr="00DE649A" w:rsidRDefault="00415BFD" w:rsidP="002442D3">
      <w:pPr>
        <w:pStyle w:val="EndNoteBibliography"/>
        <w:spacing w:beforeLines="60" w:before="144" w:afterLines="60" w:after="144"/>
        <w:ind w:left="567" w:hanging="567"/>
      </w:pPr>
      <w:bookmarkStart w:id="270" w:name="_ENREF_58"/>
      <w:r w:rsidRPr="00DE649A">
        <w:t>58.</w:t>
      </w:r>
      <w:r w:rsidRPr="00DE649A">
        <w:tab/>
        <w:t>Sheffield JK, Spence SH, Rapee RM, Kowalenko N, Wignall A, Davis A, et al. Evaluation of universal, indicated, and combined cognitive-behavioral approaches to the prevention of depression among adolescents. Journal of Consulting and Clinical Psychology 2006;74(1):66-79.</w:t>
      </w:r>
      <w:bookmarkEnd w:id="270"/>
    </w:p>
    <w:p w:rsidR="00415BFD" w:rsidRPr="00DE649A" w:rsidRDefault="00415BFD" w:rsidP="002442D3">
      <w:pPr>
        <w:pStyle w:val="EndNoteBibliography"/>
        <w:spacing w:beforeLines="60" w:before="144" w:afterLines="60" w:after="144"/>
        <w:ind w:left="567" w:hanging="567"/>
      </w:pPr>
      <w:bookmarkStart w:id="271" w:name="_ENREF_59"/>
      <w:r w:rsidRPr="00DE649A">
        <w:t>59.</w:t>
      </w:r>
      <w:r w:rsidRPr="00DE649A">
        <w:tab/>
        <w:t>Stice E, Rohde P, Seeley JR, Gau JM. Brief cognitive-behavioral depression prevention program for high-risk adolescents outperforms two alternative interventions: a randomized efficacy trial. Journal of Consulting and Clinical Psychology 2008;76(4):595-606.</w:t>
      </w:r>
      <w:bookmarkEnd w:id="271"/>
    </w:p>
    <w:p w:rsidR="00415BFD" w:rsidRPr="00DE649A" w:rsidRDefault="00415BFD" w:rsidP="002442D3">
      <w:pPr>
        <w:pStyle w:val="EndNoteBibliography"/>
        <w:spacing w:beforeLines="60" w:before="144" w:afterLines="60" w:after="144"/>
        <w:ind w:left="567" w:hanging="567"/>
      </w:pPr>
      <w:bookmarkStart w:id="272" w:name="_ENREF_60"/>
      <w:r w:rsidRPr="00DE649A">
        <w:t>60.</w:t>
      </w:r>
      <w:r w:rsidRPr="00DE649A">
        <w:tab/>
        <w:t>Young JF, Mufson L, Davies M. Efficacy of Interpersonal Psychotherapy-Adolescent Skills Training: an indicated preventive intervention for depression. Journal of Child Psychology and Psychiatry 2006;47(12):1254-62.</w:t>
      </w:r>
      <w:bookmarkEnd w:id="272"/>
    </w:p>
    <w:p w:rsidR="00415BFD" w:rsidRPr="00DE649A" w:rsidRDefault="00415BFD" w:rsidP="002442D3">
      <w:pPr>
        <w:pStyle w:val="EndNoteBibliography"/>
        <w:spacing w:beforeLines="60" w:before="144" w:afterLines="60" w:after="144"/>
        <w:ind w:left="567" w:hanging="567"/>
      </w:pPr>
      <w:bookmarkStart w:id="273" w:name="_ENREF_61"/>
      <w:r w:rsidRPr="00DE649A">
        <w:t>61.</w:t>
      </w:r>
      <w:r w:rsidRPr="00DE649A">
        <w:tab/>
        <w:t>Andersson G, Cuijpers P, Carlbring P, Riper H, Hedman E. Guided Internet-based vs. face-to-face cognitive behavior therapy for psychiatric and somatic disorders: a systematic review and meta-analysis. World Psychiatry 2014;13(3):288-95.</w:t>
      </w:r>
      <w:bookmarkEnd w:id="273"/>
    </w:p>
    <w:p w:rsidR="00415BFD" w:rsidRPr="00DE649A" w:rsidRDefault="00415BFD" w:rsidP="002442D3">
      <w:pPr>
        <w:pStyle w:val="EndNoteBibliography"/>
        <w:spacing w:beforeLines="60" w:before="144" w:afterLines="60" w:after="144"/>
        <w:ind w:left="567" w:hanging="567"/>
      </w:pPr>
      <w:bookmarkStart w:id="274" w:name="_ENREF_62"/>
      <w:r w:rsidRPr="00DE649A">
        <w:t>62.</w:t>
      </w:r>
      <w:r w:rsidRPr="00DE649A">
        <w:tab/>
        <w:t>Cuijpers P, Donker T, van Straten A, Li J, Andersson G. Is guided self-help as effective as face-to-face psychotherapy for depression and anxiety disorders? A systematic review and meta-analysis of comparative outcome studies. Psychological Medicine 2010;40(12):1943-57.</w:t>
      </w:r>
      <w:bookmarkEnd w:id="274"/>
    </w:p>
    <w:p w:rsidR="00415BFD" w:rsidRPr="00DE649A" w:rsidRDefault="00415BFD" w:rsidP="002442D3">
      <w:pPr>
        <w:pStyle w:val="EndNoteBibliography"/>
        <w:spacing w:beforeLines="60" w:before="144" w:afterLines="60" w:after="144"/>
        <w:ind w:left="567" w:hanging="567"/>
      </w:pPr>
      <w:bookmarkStart w:id="275" w:name="_ENREF_63"/>
      <w:r w:rsidRPr="00DE649A">
        <w:t>63.</w:t>
      </w:r>
      <w:r w:rsidRPr="00DE649A">
        <w:tab/>
        <w:t>Doi SA, Barendregt JJ, Khan S, Thalib L, Williams GM. Advances in the Meta-analysis of heterogeneous clinical trials I: The inverse variance heterogeneity model. Contemporary Clinical Trials 2015.</w:t>
      </w:r>
      <w:bookmarkEnd w:id="275"/>
    </w:p>
    <w:p w:rsidR="00415BFD" w:rsidRPr="00DE649A" w:rsidRDefault="00415BFD" w:rsidP="002442D3">
      <w:pPr>
        <w:pStyle w:val="EndNoteBibliography"/>
        <w:spacing w:beforeLines="60" w:before="144" w:afterLines="60" w:after="144"/>
        <w:ind w:left="567" w:hanging="567"/>
        <w:rPr>
          <w:u w:val="single"/>
        </w:rPr>
      </w:pPr>
      <w:bookmarkStart w:id="276" w:name="_ENREF_64"/>
      <w:r w:rsidRPr="00DE649A">
        <w:lastRenderedPageBreak/>
        <w:t>64.</w:t>
      </w:r>
      <w:r w:rsidRPr="00DE649A">
        <w:tab/>
        <w:t xml:space="preserve">EpiGear. MetaXL (Version 3.0). EpiGear International. 2015 [cited 15 September 2015]; Available from: </w:t>
      </w:r>
      <w:r w:rsidRPr="00415BFD">
        <w:t>http://www.epigear.com/index_files/metaxl.html</w:t>
      </w:r>
      <w:bookmarkEnd w:id="276"/>
    </w:p>
    <w:p w:rsidR="00415BFD" w:rsidRPr="00DE649A" w:rsidRDefault="00415BFD" w:rsidP="002442D3">
      <w:pPr>
        <w:pStyle w:val="EndNoteBibliography"/>
        <w:spacing w:beforeLines="60" w:before="144" w:afterLines="60" w:after="144"/>
        <w:ind w:left="567" w:hanging="567"/>
      </w:pPr>
      <w:bookmarkStart w:id="277" w:name="_ENREF_65"/>
      <w:r w:rsidRPr="00DE649A">
        <w:t>65.</w:t>
      </w:r>
      <w:r w:rsidRPr="00DE649A">
        <w:tab/>
        <w:t>Tan-Torres Edejer T, Baltussen R, Adam T, Hutubessy R, Acharya A, Evans DB, et al. Making choices in health: WHO guide to cost-effectiveness analysis.  Geneva: World Health Organization; 2003.</w:t>
      </w:r>
      <w:bookmarkEnd w:id="277"/>
    </w:p>
    <w:p w:rsidR="00415BFD" w:rsidRPr="00DE649A" w:rsidRDefault="00415BFD" w:rsidP="002442D3">
      <w:pPr>
        <w:pStyle w:val="EndNoteBibliography"/>
        <w:spacing w:beforeLines="60" w:before="144" w:afterLines="60" w:after="144"/>
        <w:ind w:left="567" w:hanging="567"/>
      </w:pPr>
      <w:bookmarkStart w:id="278" w:name="_ENREF_66"/>
      <w:r w:rsidRPr="00DE649A">
        <w:t>66.</w:t>
      </w:r>
      <w:r w:rsidRPr="00DE649A">
        <w:tab/>
        <w:t>Barendregt JJ, Van Oortmarssen GJ, Vos T, Murray CJ. A generic model for the assessment of disease epidemiology: the computational basis of DisMod II. Population Health Metrics 2003;1(1):4.</w:t>
      </w:r>
      <w:bookmarkEnd w:id="278"/>
    </w:p>
    <w:p w:rsidR="00415BFD" w:rsidRPr="00DE649A" w:rsidRDefault="00415BFD" w:rsidP="002442D3">
      <w:pPr>
        <w:pStyle w:val="EndNoteBibliography"/>
        <w:spacing w:beforeLines="60" w:before="144" w:afterLines="60" w:after="144"/>
        <w:ind w:left="567" w:hanging="567"/>
      </w:pPr>
      <w:bookmarkStart w:id="279" w:name="_ENREF_67"/>
      <w:r w:rsidRPr="00DE649A">
        <w:t>67.</w:t>
      </w:r>
      <w:r w:rsidRPr="00DE649A">
        <w:tab/>
        <w:t>Vos T, Carter R, Barendregt JJ, Mihalopoulos C, Veerman JL, Magnus A, et al. Assessing Cost-Effectiveness in Prevention (ACE–Prevention): Final Report.  Brisbane: University of Queensland; 2010.</w:t>
      </w:r>
      <w:bookmarkEnd w:id="279"/>
    </w:p>
    <w:p w:rsidR="00415BFD" w:rsidRPr="00DE649A" w:rsidRDefault="00415BFD" w:rsidP="002442D3">
      <w:pPr>
        <w:pStyle w:val="EndNoteBibliography"/>
        <w:spacing w:beforeLines="60" w:before="144" w:afterLines="60" w:after="144"/>
        <w:ind w:left="567" w:hanging="567"/>
      </w:pPr>
      <w:bookmarkStart w:id="280" w:name="_ENREF_68"/>
      <w:r w:rsidRPr="00DE649A">
        <w:t>68.</w:t>
      </w:r>
      <w:r w:rsidRPr="00DE649A">
        <w:tab/>
        <w:t>Carter R, Moodie M, Markwick A, Magnus A, Vos T, Swinburn B, et al. Assessing cost-effectiveness in obesity (ACE-obesity): an overview of the ACE approach, economic methods and cost results. BMC Public Health 2009;9:419.</w:t>
      </w:r>
      <w:bookmarkEnd w:id="280"/>
    </w:p>
    <w:p w:rsidR="00415BFD" w:rsidRPr="00DE649A" w:rsidRDefault="00415BFD" w:rsidP="002442D3">
      <w:pPr>
        <w:pStyle w:val="EndNoteBibliography"/>
        <w:spacing w:beforeLines="60" w:before="144" w:afterLines="60" w:after="144"/>
        <w:ind w:left="567" w:hanging="567"/>
      </w:pPr>
      <w:bookmarkStart w:id="281" w:name="_ENREF_69"/>
      <w:r w:rsidRPr="00DE649A">
        <w:t>69.</w:t>
      </w:r>
      <w:r w:rsidRPr="00DE649A">
        <w:tab/>
        <w:t>Vos T, Haby MM, Barendregt JJ, Kruijshaar M, Corry J, Andrews G. The burden of major depression avoidable by longer-term treatment strategies. Archives of General Psychiatry 2004;61(11):1097-103.</w:t>
      </w:r>
      <w:bookmarkEnd w:id="281"/>
    </w:p>
    <w:p w:rsidR="00415BFD" w:rsidRPr="00DE649A" w:rsidRDefault="00415BFD" w:rsidP="002442D3">
      <w:pPr>
        <w:pStyle w:val="EndNoteBibliography"/>
        <w:spacing w:beforeLines="60" w:before="144" w:afterLines="60" w:after="144"/>
        <w:ind w:left="567" w:hanging="567"/>
      </w:pPr>
      <w:bookmarkStart w:id="282" w:name="_ENREF_70"/>
      <w:r w:rsidRPr="00DE649A">
        <w:t>70.</w:t>
      </w:r>
      <w:r w:rsidRPr="00DE649A">
        <w:tab/>
        <w:t>Eaton WW, Anthony JC, Gallo J, Cai G, Tien A, Romanoski A, et al. Natural history of Diagnostic Interview Schedule/DSM-IV major depression. The Baltimore Epidemiologic Catchment Area follow-up. Archives of General Psychiatry 1997;54(11):993-9.</w:t>
      </w:r>
      <w:bookmarkEnd w:id="282"/>
    </w:p>
    <w:p w:rsidR="00415BFD" w:rsidRPr="00DE649A" w:rsidRDefault="00415BFD" w:rsidP="002442D3">
      <w:pPr>
        <w:pStyle w:val="EndNoteBibliography"/>
        <w:spacing w:beforeLines="60" w:before="144" w:afterLines="60" w:after="144"/>
        <w:ind w:left="567" w:hanging="567"/>
      </w:pPr>
      <w:bookmarkStart w:id="283" w:name="_ENREF_71"/>
      <w:r w:rsidRPr="002B138C">
        <w:rPr>
          <w:lang w:val="nl-NL"/>
        </w:rPr>
        <w:t>71.</w:t>
      </w:r>
      <w:r w:rsidRPr="002B138C">
        <w:rPr>
          <w:lang w:val="nl-NL"/>
        </w:rPr>
        <w:tab/>
        <w:t xml:space="preserve">Kendler KS, Walters EE, Kessler RC. </w:t>
      </w:r>
      <w:r w:rsidRPr="00DE649A">
        <w:t>The prediction of length of major depressive episodes: results from an epidemiological sample of female twins. Psychological Medicine 1997;27(1):107-17.</w:t>
      </w:r>
      <w:bookmarkEnd w:id="283"/>
    </w:p>
    <w:p w:rsidR="00415BFD" w:rsidRPr="00DE649A" w:rsidRDefault="00415BFD" w:rsidP="002442D3">
      <w:pPr>
        <w:pStyle w:val="EndNoteBibliography"/>
        <w:spacing w:beforeLines="60" w:before="144" w:afterLines="60" w:after="144"/>
        <w:ind w:left="567" w:hanging="567"/>
      </w:pPr>
      <w:bookmarkStart w:id="284" w:name="_ENREF_72"/>
      <w:r w:rsidRPr="00DE649A">
        <w:t>72.</w:t>
      </w:r>
      <w:r w:rsidRPr="00DE649A">
        <w:tab/>
        <w:t>Lewinsohn PM, Clarke GN, Seeley JR, Rohde P. Major depression in community adolescents: age at onset, episode duration, and time to recurrence. Journal of the American Academy of Child and Adolescent Psychiatry 1994;33(6):809-18.</w:t>
      </w:r>
      <w:bookmarkEnd w:id="284"/>
    </w:p>
    <w:p w:rsidR="00415BFD" w:rsidRPr="00DE649A" w:rsidRDefault="00415BFD" w:rsidP="002442D3">
      <w:pPr>
        <w:pStyle w:val="EndNoteBibliography"/>
        <w:spacing w:beforeLines="60" w:before="144" w:afterLines="60" w:after="144"/>
        <w:ind w:left="567" w:hanging="567"/>
      </w:pPr>
      <w:bookmarkStart w:id="285" w:name="_ENREF_73"/>
      <w:r w:rsidRPr="00DE649A">
        <w:t>73.</w:t>
      </w:r>
      <w:r w:rsidRPr="00DE649A">
        <w:tab/>
        <w:t>McLeod JD, Kessler RC, Landis KR. Speed of recovery from major depressive episodes in a community sample of married men and women. Journal of Abnormal Psychology 1992;101(2):277-86.</w:t>
      </w:r>
      <w:bookmarkEnd w:id="285"/>
    </w:p>
    <w:p w:rsidR="00415BFD" w:rsidRPr="002B138C" w:rsidRDefault="00415BFD" w:rsidP="002442D3">
      <w:pPr>
        <w:pStyle w:val="EndNoteBibliography"/>
        <w:spacing w:beforeLines="60" w:before="144" w:afterLines="60" w:after="144"/>
        <w:ind w:left="567" w:hanging="567"/>
        <w:rPr>
          <w:lang w:val="nl-NL"/>
        </w:rPr>
      </w:pPr>
      <w:bookmarkStart w:id="286" w:name="_ENREF_74"/>
      <w:r w:rsidRPr="00DE649A">
        <w:t>74.</w:t>
      </w:r>
      <w:r w:rsidRPr="00DE649A">
        <w:tab/>
        <w:t xml:space="preserve">Ferrari AJ, Charlson FJ, Norman RE, Flaxman AD, Patten SB, Vos T, et al. The epidemiological modelling of major depressive disorder: application for the Global Burden of Disease Study 2010. </w:t>
      </w:r>
      <w:r w:rsidRPr="002B138C">
        <w:rPr>
          <w:lang w:val="nl-NL"/>
        </w:rPr>
        <w:t>PLoS One 2013;8(7):e69637.</w:t>
      </w:r>
      <w:bookmarkEnd w:id="286"/>
    </w:p>
    <w:p w:rsidR="00415BFD" w:rsidRPr="00DE649A" w:rsidRDefault="00415BFD" w:rsidP="002442D3">
      <w:pPr>
        <w:pStyle w:val="EndNoteBibliography"/>
        <w:spacing w:beforeLines="60" w:before="144" w:afterLines="60" w:after="144"/>
        <w:ind w:left="567" w:hanging="567"/>
      </w:pPr>
      <w:bookmarkStart w:id="287" w:name="_ENREF_75"/>
      <w:r w:rsidRPr="002B138C">
        <w:rPr>
          <w:lang w:val="nl-NL"/>
        </w:rPr>
        <w:t>75.</w:t>
      </w:r>
      <w:r w:rsidRPr="002B138C">
        <w:rPr>
          <w:lang w:val="nl-NL"/>
        </w:rPr>
        <w:tab/>
        <w:t xml:space="preserve">Spijker J, de Graaf R, Bijl RV, Beekman AT, Ormel J, Nolen WA. </w:t>
      </w:r>
      <w:r w:rsidRPr="00DE649A">
        <w:t>Duration of major depressive episodes in the general population: results from The Netherlands Mental Health Survey and Incidence Study (NEMESIS). British Journal of Psychiatry 2002;181:208-13.</w:t>
      </w:r>
      <w:bookmarkEnd w:id="287"/>
    </w:p>
    <w:p w:rsidR="00415BFD" w:rsidRPr="00DE649A" w:rsidRDefault="00415BFD" w:rsidP="002442D3">
      <w:pPr>
        <w:pStyle w:val="EndNoteBibliography"/>
        <w:spacing w:beforeLines="60" w:before="144" w:afterLines="60" w:after="144"/>
        <w:ind w:left="567" w:hanging="567"/>
      </w:pPr>
      <w:bookmarkStart w:id="288" w:name="_ENREF_76"/>
      <w:r w:rsidRPr="00DE649A">
        <w:t>76.</w:t>
      </w:r>
      <w:r w:rsidRPr="00DE649A">
        <w:tab/>
        <w:t>Bertha EA, Balazs J. Subthreshold depression in adolescence: a systematic review. Eur Child Adolesc Psychiatry 2013;22(10):589-603.</w:t>
      </w:r>
      <w:bookmarkEnd w:id="288"/>
    </w:p>
    <w:p w:rsidR="00415BFD" w:rsidRPr="00DE649A" w:rsidRDefault="00415BFD" w:rsidP="002442D3">
      <w:pPr>
        <w:pStyle w:val="EndNoteBibliography"/>
        <w:spacing w:beforeLines="60" w:before="144" w:afterLines="60" w:after="144"/>
        <w:ind w:left="567" w:hanging="567"/>
      </w:pPr>
      <w:bookmarkStart w:id="289" w:name="_ENREF_77"/>
      <w:r w:rsidRPr="00DE649A">
        <w:t>77.</w:t>
      </w:r>
      <w:r w:rsidRPr="00DE649A">
        <w:tab/>
        <w:t>Cuijpers P, Smit F. Subthreshold depression as a risk indicator for major depressive disorder: a systematic review of prospective studies. Acta Psychiatr Scand 2004;109(5):325-31.</w:t>
      </w:r>
      <w:bookmarkEnd w:id="289"/>
    </w:p>
    <w:p w:rsidR="00415BFD" w:rsidRPr="00DE649A" w:rsidRDefault="00415BFD" w:rsidP="002442D3">
      <w:pPr>
        <w:pStyle w:val="EndNoteBibliography"/>
        <w:spacing w:beforeLines="60" w:before="144" w:afterLines="60" w:after="144"/>
        <w:ind w:left="567" w:hanging="567"/>
      </w:pPr>
      <w:bookmarkStart w:id="290" w:name="_ENREF_78"/>
      <w:r w:rsidRPr="00DE649A">
        <w:t>78.</w:t>
      </w:r>
      <w:r w:rsidRPr="00DE649A">
        <w:tab/>
        <w:t>Wesselhoeft R, Sorensen MJ, Heiervang ER, Bilenberg N. Subthreshold depression in children and adolescents - a systematic review. J Affect Disord 2013;151(1):7-22.</w:t>
      </w:r>
      <w:bookmarkEnd w:id="290"/>
    </w:p>
    <w:p w:rsidR="00415BFD" w:rsidRPr="00DE649A" w:rsidRDefault="00415BFD" w:rsidP="002442D3">
      <w:pPr>
        <w:pStyle w:val="EndNoteBibliography"/>
        <w:spacing w:beforeLines="60" w:before="144" w:afterLines="60" w:after="144"/>
        <w:ind w:left="567" w:hanging="567"/>
      </w:pPr>
      <w:bookmarkStart w:id="291" w:name="_ENREF_79"/>
      <w:r w:rsidRPr="00DE649A">
        <w:t>79.</w:t>
      </w:r>
      <w:r w:rsidRPr="00DE649A">
        <w:tab/>
        <w:t>Fergusson DM, Horwood LJ, Ridder EM, Beautrais AL. Subthreshold depression in adolescence and mental health outcomes in adulthood. Archives of General Psychiatry 2005;62(1):66-72.</w:t>
      </w:r>
      <w:bookmarkEnd w:id="291"/>
    </w:p>
    <w:p w:rsidR="00415BFD" w:rsidRPr="00DE649A" w:rsidRDefault="00415BFD" w:rsidP="002442D3">
      <w:pPr>
        <w:pStyle w:val="EndNoteBibliography"/>
        <w:spacing w:beforeLines="60" w:before="144" w:afterLines="60" w:after="144"/>
        <w:ind w:left="567" w:hanging="567"/>
      </w:pPr>
      <w:bookmarkStart w:id="292" w:name="_ENREF_80"/>
      <w:r w:rsidRPr="00DE649A">
        <w:t>80.</w:t>
      </w:r>
      <w:r w:rsidRPr="00DE649A">
        <w:tab/>
        <w:t>Johnson JG, Cohen P, Kasen S. Minor depression during adolescence and mental health outcomes during adulthood. British Journal of Psychiatry 2009;195(3):264-5.</w:t>
      </w:r>
      <w:bookmarkEnd w:id="292"/>
    </w:p>
    <w:p w:rsidR="00415BFD" w:rsidRPr="00DE649A" w:rsidRDefault="00415BFD" w:rsidP="002442D3">
      <w:pPr>
        <w:pStyle w:val="EndNoteBibliography"/>
        <w:spacing w:beforeLines="60" w:before="144" w:afterLines="60" w:after="144"/>
        <w:ind w:left="567" w:hanging="567"/>
      </w:pPr>
      <w:bookmarkStart w:id="293" w:name="_ENREF_81"/>
      <w:r w:rsidRPr="00DE649A">
        <w:lastRenderedPageBreak/>
        <w:t>81.</w:t>
      </w:r>
      <w:r w:rsidRPr="00DE649A">
        <w:tab/>
        <w:t>Shankman SA, Lewinsohn PM, Klein DN, Small JW, Seeley JR, Altman SE. Subthreshold conditions as precursors for full syndrome disorders: a 15-year longitudinal study of multiple diagnostic classes. Journal of Child Psychology and Psychiatry 2009;50(12):1485-94.</w:t>
      </w:r>
      <w:bookmarkEnd w:id="293"/>
    </w:p>
    <w:p w:rsidR="00415BFD" w:rsidRPr="00DE649A" w:rsidRDefault="00415BFD" w:rsidP="002442D3">
      <w:pPr>
        <w:pStyle w:val="EndNoteBibliography"/>
        <w:spacing w:beforeLines="60" w:before="144" w:afterLines="60" w:after="144"/>
        <w:ind w:left="567" w:hanging="567"/>
      </w:pPr>
      <w:bookmarkStart w:id="294" w:name="_ENREF_82"/>
      <w:r w:rsidRPr="00DE649A">
        <w:t>82.</w:t>
      </w:r>
      <w:r w:rsidRPr="00DE649A">
        <w:tab/>
        <w:t>Oldehinkel AJ, Wittchen HU, Schuster P. Prevalence, 20-month incidence and outcome of unipolar depressive disorders in a community sample of adolescents. Psychological Medicine 1999;29(3):655-68.</w:t>
      </w:r>
      <w:bookmarkEnd w:id="294"/>
    </w:p>
    <w:p w:rsidR="00415BFD" w:rsidRPr="00DE649A" w:rsidRDefault="00415BFD" w:rsidP="002442D3">
      <w:pPr>
        <w:pStyle w:val="EndNoteBibliography"/>
        <w:spacing w:beforeLines="60" w:before="144" w:afterLines="60" w:after="144"/>
        <w:ind w:left="567" w:hanging="567"/>
      </w:pPr>
      <w:bookmarkStart w:id="295" w:name="_ENREF_83"/>
      <w:r w:rsidRPr="00DE649A">
        <w:t>83.</w:t>
      </w:r>
      <w:r w:rsidRPr="00DE649A">
        <w:tab/>
        <w:t>Jonsson U, Bohman H, von Knorring L, Olsson G, Paaren A, von Knorring AL. Mental health outcome of long-term and episodic adolescent depression: 15-year follow-up of a community sample. Journal of Affective Disorders 2011;130(3):395-404.</w:t>
      </w:r>
      <w:bookmarkEnd w:id="295"/>
    </w:p>
    <w:p w:rsidR="00415BFD" w:rsidRPr="00DE649A" w:rsidRDefault="00415BFD" w:rsidP="002442D3">
      <w:pPr>
        <w:pStyle w:val="EndNoteBibliography"/>
        <w:spacing w:beforeLines="60" w:before="144" w:afterLines="60" w:after="144"/>
        <w:ind w:left="567" w:hanging="567"/>
      </w:pPr>
      <w:bookmarkStart w:id="296" w:name="_ENREF_84"/>
      <w:r w:rsidRPr="00DE649A">
        <w:t>84.</w:t>
      </w:r>
      <w:r w:rsidRPr="00DE649A">
        <w:tab/>
        <w:t>Salomon JA, Vos T, Hogan DR, Gagnon M, Naghavi M, Mokdad A, et al. Common values in assessing health outcomes from disease and injury: disability weights measurement study for the Global Burden of Disease Study 2010. Lancet 2012;380(9859):2129-43.</w:t>
      </w:r>
      <w:bookmarkEnd w:id="296"/>
    </w:p>
    <w:p w:rsidR="00415BFD" w:rsidRPr="00DE649A" w:rsidRDefault="00415BFD" w:rsidP="002442D3">
      <w:pPr>
        <w:pStyle w:val="EndNoteBibliography"/>
        <w:spacing w:beforeLines="60" w:before="144" w:afterLines="60" w:after="144"/>
        <w:ind w:left="567" w:hanging="567"/>
      </w:pPr>
      <w:bookmarkStart w:id="297" w:name="_ENREF_85"/>
      <w:r w:rsidRPr="00DE649A">
        <w:t>85.</w:t>
      </w:r>
      <w:r w:rsidRPr="00DE649A">
        <w:tab/>
        <w:t>Stouthard M, Essink-Bot M, Bonsel G, Barendregt JJ, Kramers P. Disability weights for diseases in the Netherlands.  Rotterdam: Department of Public Health, Erasmus University; 1997.</w:t>
      </w:r>
      <w:bookmarkEnd w:id="297"/>
    </w:p>
    <w:p w:rsidR="00415BFD" w:rsidRPr="00DE649A" w:rsidRDefault="00415BFD" w:rsidP="00F50556">
      <w:pPr>
        <w:pStyle w:val="EndNoteBibliography"/>
        <w:spacing w:beforeLines="60" w:before="144" w:afterLines="60" w:after="144"/>
        <w:ind w:left="567" w:hanging="567"/>
        <w:jc w:val="left"/>
        <w:rPr>
          <w:u w:val="single"/>
        </w:rPr>
      </w:pPr>
      <w:bookmarkStart w:id="298" w:name="_ENREF_86"/>
      <w:r w:rsidRPr="00DE649A">
        <w:t>86.</w:t>
      </w:r>
      <w:r w:rsidRPr="00DE649A">
        <w:tab/>
        <w:t xml:space="preserve">Department of Human Services. Medicare Item Reports [Online]. Australian Government,. 2015 [cited 6 July 2015]; Available from: </w:t>
      </w:r>
      <w:r w:rsidRPr="00415BFD">
        <w:t>http://medicarestatistics.humanservices.gov.au/statistics/mbs_item.jsp</w:t>
      </w:r>
      <w:bookmarkEnd w:id="298"/>
    </w:p>
    <w:p w:rsidR="00415BFD" w:rsidRPr="00DE649A" w:rsidRDefault="00415BFD" w:rsidP="002442D3">
      <w:pPr>
        <w:pStyle w:val="EndNoteBibliography"/>
        <w:spacing w:beforeLines="60" w:before="144" w:afterLines="60" w:after="144"/>
        <w:ind w:left="567" w:hanging="567"/>
      </w:pPr>
      <w:bookmarkStart w:id="299" w:name="_ENREF_87"/>
      <w:r w:rsidRPr="00DE649A">
        <w:t>87.</w:t>
      </w:r>
      <w:r w:rsidRPr="00DE649A">
        <w:tab/>
        <w:t>AIHW. Health expenditure Australia 2012-13.  Canberra: Australian Institute of Health and Welfare; 2014.</w:t>
      </w:r>
      <w:bookmarkEnd w:id="299"/>
    </w:p>
    <w:p w:rsidR="00415BFD" w:rsidRPr="00DE649A" w:rsidRDefault="00415BFD" w:rsidP="002442D3">
      <w:pPr>
        <w:pStyle w:val="EndNoteBibliography"/>
        <w:spacing w:beforeLines="60" w:before="144" w:afterLines="60" w:after="144"/>
        <w:ind w:left="567" w:hanging="567"/>
      </w:pPr>
      <w:bookmarkStart w:id="300" w:name="_ENREF_88"/>
      <w:r w:rsidRPr="00DE649A">
        <w:t>88.</w:t>
      </w:r>
      <w:r w:rsidRPr="00DE649A">
        <w:tab/>
        <w:t>Stockings E, Degenhardt L, Lee YY, Mihalopoulos C, Liu A, Hobbs M, et al. Symptom screening scales for detecting major depressive disorder in children and adolescents: a systematic review and meta-analysis of reliability, validity and diagnostic utility. J Affect Disord 2015;174:447-63.</w:t>
      </w:r>
      <w:bookmarkEnd w:id="300"/>
    </w:p>
    <w:p w:rsidR="00415BFD" w:rsidRPr="00DE649A" w:rsidRDefault="00415BFD" w:rsidP="002442D3">
      <w:pPr>
        <w:pStyle w:val="EndNoteBibliography"/>
        <w:spacing w:beforeLines="60" w:before="144" w:afterLines="60" w:after="144"/>
        <w:ind w:left="567" w:hanging="567"/>
        <w:rPr>
          <w:u w:val="single"/>
        </w:rPr>
      </w:pPr>
      <w:bookmarkStart w:id="301" w:name="_ENREF_89"/>
      <w:r w:rsidRPr="00DE649A">
        <w:t>89.</w:t>
      </w:r>
      <w:r w:rsidRPr="00DE649A">
        <w:tab/>
        <w:t xml:space="preserve">MindSpot Clinic. MindSpot: online assessment and treatment for anxiety and depression [Online]. Access Macquarie Ltd. 2015 [cited 10 September 2015]; Available from: </w:t>
      </w:r>
      <w:r w:rsidRPr="00415BFD">
        <w:t>https://mindspot.org.au/</w:t>
      </w:r>
      <w:bookmarkEnd w:id="301"/>
    </w:p>
    <w:p w:rsidR="00415BFD" w:rsidRPr="00CD4BEB" w:rsidRDefault="00415BFD" w:rsidP="002442D3">
      <w:pPr>
        <w:spacing w:beforeLines="60" w:before="144" w:afterLines="60" w:after="144" w:line="240" w:lineRule="auto"/>
        <w:ind w:left="567" w:hanging="567"/>
        <w:jc w:val="left"/>
        <w:rPr>
          <w:lang w:bidi="ar-SA"/>
        </w:rPr>
      </w:pPr>
    </w:p>
    <w:p w:rsidR="00415BFD" w:rsidRPr="00CD4BEB" w:rsidRDefault="00415BFD">
      <w:pPr>
        <w:spacing w:beforeLines="60" w:before="144" w:afterLines="60" w:after="144" w:line="271" w:lineRule="auto"/>
        <w:ind w:left="720" w:hanging="720"/>
        <w:rPr>
          <w:lang w:bidi="ar-SA"/>
        </w:rPr>
      </w:pPr>
    </w:p>
    <w:p w:rsidR="00415BFD" w:rsidRPr="00CD4BEB" w:rsidRDefault="00415BFD">
      <w:pPr>
        <w:spacing w:beforeLines="60" w:before="144" w:afterLines="60" w:after="144" w:line="271" w:lineRule="auto"/>
        <w:ind w:left="720" w:hanging="720"/>
        <w:rPr>
          <w:lang w:bidi="ar-SA"/>
        </w:rPr>
      </w:pPr>
    </w:p>
    <w:p w:rsidR="00DA3B88" w:rsidRDefault="00DA3B88"/>
    <w:sectPr w:rsidR="00DA3B88" w:rsidSect="00366EE5">
      <w:footnotePr>
        <w:numFmt w:val="chicago"/>
        <w:numStart w:val="2"/>
      </w:footnotePr>
      <w:pgSz w:w="11906" w:h="16838"/>
      <w:pgMar w:top="1440" w:right="1440" w:bottom="1440" w:left="1440" w:header="51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54F" w:rsidRDefault="00A9454F" w:rsidP="00415BFD">
      <w:pPr>
        <w:spacing w:line="240" w:lineRule="auto"/>
      </w:pPr>
      <w:r>
        <w:separator/>
      </w:r>
    </w:p>
  </w:endnote>
  <w:endnote w:type="continuationSeparator" w:id="0">
    <w:p w:rsidR="00A9454F" w:rsidRDefault="00A9454F" w:rsidP="00415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PMincho">
    <w:altName w:val="MS 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22"/>
      </w:rPr>
      <w:id w:val="-1919469148"/>
      <w:docPartObj>
        <w:docPartGallery w:val="Page Numbers (Bottom of Page)"/>
        <w:docPartUnique/>
      </w:docPartObj>
    </w:sdtPr>
    <w:sdtEndPr>
      <w:rPr>
        <w:noProof/>
      </w:rPr>
    </w:sdtEndPr>
    <w:sdtContent>
      <w:p w:rsidR="00415BFD" w:rsidRPr="00C13F2F" w:rsidRDefault="00415BFD">
        <w:pPr>
          <w:pStyle w:val="Footer"/>
          <w:jc w:val="right"/>
          <w:rPr>
            <w:rFonts w:ascii="Georgia" w:hAnsi="Georgia"/>
            <w:sz w:val="22"/>
          </w:rPr>
        </w:pPr>
        <w:r w:rsidRPr="00C13F2F">
          <w:rPr>
            <w:rFonts w:ascii="Georgia" w:hAnsi="Georgia"/>
            <w:sz w:val="22"/>
          </w:rPr>
          <w:fldChar w:fldCharType="begin"/>
        </w:r>
        <w:r w:rsidRPr="00C13F2F">
          <w:rPr>
            <w:rFonts w:ascii="Georgia" w:hAnsi="Georgia"/>
            <w:sz w:val="22"/>
          </w:rPr>
          <w:instrText xml:space="preserve"> PAGE   \* MERGEFORMAT </w:instrText>
        </w:r>
        <w:r w:rsidRPr="00C13F2F">
          <w:rPr>
            <w:rFonts w:ascii="Georgia" w:hAnsi="Georgia"/>
            <w:sz w:val="22"/>
          </w:rPr>
          <w:fldChar w:fldCharType="separate"/>
        </w:r>
        <w:r w:rsidR="00C20253">
          <w:rPr>
            <w:rFonts w:ascii="Georgia" w:hAnsi="Georgia"/>
            <w:noProof/>
            <w:sz w:val="22"/>
          </w:rPr>
          <w:t>32</w:t>
        </w:r>
        <w:r w:rsidRPr="00C13F2F">
          <w:rPr>
            <w:rFonts w:ascii="Georgia" w:hAnsi="Georgia"/>
            <w:noProof/>
            <w:sz w:val="22"/>
          </w:rPr>
          <w:fldChar w:fldCharType="end"/>
        </w:r>
      </w:p>
    </w:sdtContent>
  </w:sdt>
  <w:p w:rsidR="00415BFD" w:rsidRPr="00C13F2F" w:rsidRDefault="00415BFD">
    <w:pPr>
      <w:pStyle w:val="Footer"/>
      <w:rPr>
        <w:rFonts w:ascii="Georgia" w:hAnsi="Georgia"/>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22"/>
      </w:rPr>
      <w:id w:val="1149863460"/>
      <w:docPartObj>
        <w:docPartGallery w:val="Page Numbers (Bottom of Page)"/>
        <w:docPartUnique/>
      </w:docPartObj>
    </w:sdtPr>
    <w:sdtEndPr>
      <w:rPr>
        <w:noProof/>
      </w:rPr>
    </w:sdtEndPr>
    <w:sdtContent>
      <w:p w:rsidR="00415BFD" w:rsidRPr="00C13F2F" w:rsidRDefault="00415BFD">
        <w:pPr>
          <w:pStyle w:val="Footer"/>
          <w:jc w:val="right"/>
          <w:rPr>
            <w:rFonts w:ascii="Georgia" w:hAnsi="Georgia"/>
            <w:sz w:val="22"/>
          </w:rPr>
        </w:pPr>
        <w:r w:rsidRPr="00C13F2F">
          <w:rPr>
            <w:rFonts w:ascii="Georgia" w:hAnsi="Georgia"/>
            <w:sz w:val="22"/>
          </w:rPr>
          <w:fldChar w:fldCharType="begin"/>
        </w:r>
        <w:r w:rsidRPr="00C13F2F">
          <w:rPr>
            <w:rFonts w:ascii="Georgia" w:hAnsi="Georgia"/>
            <w:sz w:val="22"/>
          </w:rPr>
          <w:instrText xml:space="preserve"> PAGE   \* MERGEFORMAT </w:instrText>
        </w:r>
        <w:r w:rsidRPr="00C13F2F">
          <w:rPr>
            <w:rFonts w:ascii="Georgia" w:hAnsi="Georgia"/>
            <w:sz w:val="22"/>
          </w:rPr>
          <w:fldChar w:fldCharType="separate"/>
        </w:r>
        <w:r w:rsidR="00C20253">
          <w:rPr>
            <w:rFonts w:ascii="Georgia" w:hAnsi="Georgia"/>
            <w:noProof/>
            <w:sz w:val="22"/>
          </w:rPr>
          <w:t>78</w:t>
        </w:r>
        <w:r w:rsidRPr="00C13F2F">
          <w:rPr>
            <w:rFonts w:ascii="Georgia" w:hAnsi="Georgia"/>
            <w:noProof/>
            <w:sz w:val="22"/>
          </w:rPr>
          <w:fldChar w:fldCharType="end"/>
        </w:r>
      </w:p>
    </w:sdtContent>
  </w:sdt>
  <w:p w:rsidR="00415BFD" w:rsidRPr="00C13F2F" w:rsidRDefault="00415BFD">
    <w:pPr>
      <w:pStyle w:val="Footer"/>
      <w:rPr>
        <w:rFonts w:ascii="Georgia" w:hAnsi="Georgia"/>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54F" w:rsidRDefault="00A9454F" w:rsidP="00415BFD">
      <w:pPr>
        <w:spacing w:line="240" w:lineRule="auto"/>
      </w:pPr>
      <w:r>
        <w:separator/>
      </w:r>
    </w:p>
  </w:footnote>
  <w:footnote w:type="continuationSeparator" w:id="0">
    <w:p w:rsidR="00A9454F" w:rsidRDefault="00A9454F" w:rsidP="00415BFD">
      <w:pPr>
        <w:spacing w:line="240" w:lineRule="auto"/>
      </w:pPr>
      <w:r>
        <w:continuationSeparator/>
      </w:r>
    </w:p>
  </w:footnote>
  <w:footnote w:id="1">
    <w:p w:rsidR="00415BFD" w:rsidRDefault="00415BFD" w:rsidP="00D90BE2">
      <w:pPr>
        <w:pStyle w:val="Myfootnotes"/>
      </w:pPr>
      <w:r>
        <w:rPr>
          <w:rStyle w:val="FootnoteReference"/>
        </w:rPr>
        <w:footnoteRef/>
      </w:r>
      <w:r>
        <w:t xml:space="preserve"> Refer to </w:t>
      </w:r>
      <w:r>
        <w:fldChar w:fldCharType="begin"/>
      </w:r>
      <w:r>
        <w:instrText xml:space="preserve"> REF _Ref432841276 \n \h </w:instrText>
      </w:r>
      <w:r>
        <w:fldChar w:fldCharType="separate"/>
      </w:r>
      <w:r>
        <w:t>Figure 11</w:t>
      </w:r>
      <w:r>
        <w:fldChar w:fldCharType="end"/>
      </w:r>
      <w:r>
        <w:t xml:space="preserve"> and </w:t>
      </w:r>
      <w:r>
        <w:fldChar w:fldCharType="begin"/>
      </w:r>
      <w:r>
        <w:instrText xml:space="preserve"> REF _Ref432843840 \n \h </w:instrText>
      </w:r>
      <w:r>
        <w:fldChar w:fldCharType="separate"/>
      </w:r>
      <w:r>
        <w:t>Figure 14</w:t>
      </w:r>
      <w:r>
        <w:fldChar w:fldCharType="end"/>
      </w:r>
      <w:r>
        <w:t xml:space="preserve"> for flow charts mapping how the eligible population is calculated for intervention pathways relating to universal and indicated prevention, respectively.</w:t>
      </w:r>
    </w:p>
  </w:footnote>
  <w:footnote w:id="2">
    <w:p w:rsidR="00415BFD" w:rsidRPr="00571D48" w:rsidRDefault="00415BFD" w:rsidP="00571D48">
      <w:pPr>
        <w:pStyle w:val="Myfootnotes"/>
      </w:pPr>
      <w:r>
        <w:rPr>
          <w:rStyle w:val="FootnoteReference"/>
        </w:rPr>
        <w:footnoteRef/>
      </w:r>
      <w:r>
        <w:t xml:space="preserve"> Refer to </w:t>
      </w:r>
      <w:r>
        <w:fldChar w:fldCharType="begin"/>
      </w:r>
      <w:r>
        <w:instrText xml:space="preserve"> REF _Ref432923804 \n \h </w:instrText>
      </w:r>
      <w:r>
        <w:fldChar w:fldCharType="separate"/>
      </w:r>
      <w:r>
        <w:t>Figure 15</w:t>
      </w:r>
      <w:r>
        <w:fldChar w:fldCharType="end"/>
      </w:r>
      <w:r>
        <w:t xml:space="preserve"> and </w:t>
      </w:r>
      <w:r>
        <w:fldChar w:fldCharType="begin"/>
      </w:r>
      <w:r>
        <w:instrText xml:space="preserve"> REF _Ref432923810 \n \h </w:instrText>
      </w:r>
      <w:r>
        <w:fldChar w:fldCharType="separate"/>
      </w:r>
      <w:r>
        <w:t>Figure 16</w:t>
      </w:r>
      <w:r>
        <w:fldChar w:fldCharType="end"/>
      </w:r>
      <w:r>
        <w:t xml:space="preserve"> for state transition diagrams outlining how the health benefit model simulates the movement of population cohorts between three health states over time for intervention pathways relating to universal and indicated prevention, respectively.</w:t>
      </w:r>
    </w:p>
  </w:footnote>
  <w:footnote w:id="3">
    <w:p w:rsidR="00415BFD" w:rsidRDefault="00415BFD" w:rsidP="00DD2703">
      <w:pPr>
        <w:pStyle w:val="Myfootnotes"/>
      </w:pPr>
      <w:r>
        <w:rPr>
          <w:rStyle w:val="FootnoteReference"/>
        </w:rPr>
        <w:footnoteRef/>
      </w:r>
      <w:r>
        <w:t xml:space="preserve"> Refer to </w:t>
      </w:r>
      <w:r>
        <w:fldChar w:fldCharType="begin"/>
      </w:r>
      <w:r>
        <w:instrText xml:space="preserve"> REF _Ref432841276 \n \h </w:instrText>
      </w:r>
      <w:r>
        <w:fldChar w:fldCharType="separate"/>
      </w:r>
      <w:r>
        <w:t>Figure 11</w:t>
      </w:r>
      <w:r>
        <w:fldChar w:fldCharType="end"/>
      </w:r>
      <w:r>
        <w:t xml:space="preserve"> for a flow chart mapping how the eligible population is calculated for the intervention pathway of universal prevention. Further detailed methods on the derivation of costs are presented in section </w:t>
      </w:r>
      <w:r>
        <w:fldChar w:fldCharType="begin"/>
      </w:r>
      <w:r>
        <w:instrText xml:space="preserve"> REF _Ref451179133 \n \h </w:instrText>
      </w:r>
      <w:r>
        <w:fldChar w:fldCharType="separate"/>
      </w:r>
      <w:r>
        <w:t>5.2</w:t>
      </w:r>
      <w:r>
        <w:fldChar w:fldCharType="end"/>
      </w:r>
      <w:r>
        <w:t>.</w:t>
      </w:r>
    </w:p>
  </w:footnote>
  <w:footnote w:id="4">
    <w:p w:rsidR="00415BFD" w:rsidRDefault="00415BFD" w:rsidP="00F359BB">
      <w:pPr>
        <w:pStyle w:val="Myfootnotes"/>
      </w:pPr>
      <w:r>
        <w:rPr>
          <w:rStyle w:val="FootnoteReference"/>
        </w:rPr>
        <w:footnoteRef/>
      </w:r>
      <w:r>
        <w:t xml:space="preserve"> Refer to </w:t>
      </w:r>
      <w:r>
        <w:fldChar w:fldCharType="begin"/>
      </w:r>
      <w:r>
        <w:instrText xml:space="preserve"> REF _Ref432843840 \n \h </w:instrText>
      </w:r>
      <w:r>
        <w:fldChar w:fldCharType="separate"/>
      </w:r>
      <w:r>
        <w:t>Figure 14</w:t>
      </w:r>
      <w:r>
        <w:fldChar w:fldCharType="end"/>
      </w:r>
      <w:r>
        <w:t xml:space="preserve"> for a flow chart mapping how the eligible population is calculated for the intervention pathway of indicated prevention. Further detailed methods on the derivation of costs are presented in section </w:t>
      </w:r>
      <w:r>
        <w:fldChar w:fldCharType="begin"/>
      </w:r>
      <w:r>
        <w:instrText xml:space="preserve"> REF _Ref451292463 \n \h </w:instrText>
      </w:r>
      <w:r>
        <w:fldChar w:fldCharType="separate"/>
      </w:r>
      <w:r>
        <w:t>5.5</w:t>
      </w:r>
      <w:r>
        <w:fldChar w:fldCharType="end"/>
      </w:r>
      <w:r>
        <w:t>.</w:t>
      </w:r>
    </w:p>
  </w:footnote>
  <w:footnote w:id="5">
    <w:p w:rsidR="00415BFD" w:rsidRDefault="00415BFD" w:rsidP="0035385E">
      <w:pPr>
        <w:pStyle w:val="Myfootnotes"/>
      </w:pPr>
      <w:r>
        <w:rPr>
          <w:rStyle w:val="FootnoteReference"/>
        </w:rPr>
        <w:footnoteRef/>
      </w:r>
      <w:r>
        <w:t xml:space="preserve"> A description of the 7 sources of bias evaluated by the Risk of Bias tool are provided in: </w:t>
      </w:r>
      <w:hyperlink r:id="rId1" w:history="1">
        <w:r w:rsidRPr="008F04F7">
          <w:rPr>
            <w:rStyle w:val="Hyperlink"/>
          </w:rPr>
          <w:t>http://handbook.cochrane.org/chapter_8/table_8_5_a_the_cochrane_collaborations_tool_for_assessing.htm</w:t>
        </w:r>
      </w:hyperlink>
    </w:p>
  </w:footnote>
  <w:footnote w:id="6">
    <w:p w:rsidR="00415BFD" w:rsidRDefault="00415BFD" w:rsidP="00197C1E">
      <w:pPr>
        <w:pStyle w:val="Myfootnotes"/>
      </w:pPr>
      <w:r w:rsidRPr="001D6884">
        <w:footnoteRef/>
      </w:r>
      <w:r w:rsidRPr="001D6884">
        <w:t xml:space="preserve"> The</w:t>
      </w:r>
      <w:r>
        <w:t xml:space="preserve"> concept of DALYs averted, as used in economic evaluation studies, holds a different qualitative interpretation to DALYs, as used in conventional burden of disease studies. In the former, DALYs averted are a measure of health gain with a similar interpretation to quality-adjusted life years (QALYs) – i.e., a greater number of DALYs averted denotes a greater health gain. By contrast, DALYs used in burden of disease studies denote a measure of health loss where a larger number of DALYs denotes a greater disease burden.   </w:t>
      </w:r>
    </w:p>
  </w:footnote>
  <w:footnote w:id="7">
    <w:p w:rsidR="00415BFD" w:rsidRPr="006A124F" w:rsidRDefault="00415BFD" w:rsidP="001D6884">
      <w:pPr>
        <w:pStyle w:val="Myfootnotes"/>
      </w:pPr>
      <w:r w:rsidRPr="00A51748">
        <w:footnoteRef/>
      </w:r>
      <w:r w:rsidRPr="006A124F">
        <w:t xml:space="preserve"> </w:t>
      </w:r>
      <w:r>
        <w:t>We modelled age-sex cohorts between the ages 11-17 years over a 10-year time horizon, which meant that a 17-year cohort would be aged 27 years by the end of the 10-year period. Hence, we required age-specific incidence data between 11-27 years.</w:t>
      </w:r>
    </w:p>
  </w:footnote>
  <w:footnote w:id="8">
    <w:p w:rsidR="00415BFD" w:rsidRDefault="00415BFD" w:rsidP="00850978">
      <w:pPr>
        <w:pStyle w:val="Myfootnotes"/>
      </w:pPr>
      <w:r>
        <w:rPr>
          <w:rStyle w:val="FootnoteReference"/>
        </w:rPr>
        <w:footnoteRef/>
      </w:r>
      <w:r>
        <w:t xml:space="preserve"> Please refer to the following website for a schedule of annual subscription fees:                                  .    </w:t>
      </w:r>
      <w:hyperlink r:id="rId2" w:history="1">
        <w:r w:rsidRPr="007D3156">
          <w:rPr>
            <w:rStyle w:val="Hyperlink"/>
          </w:rPr>
          <w:t>https://schools.thiswayup.org.au/index.php/homepage/payOnline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D596B"/>
    <w:multiLevelType w:val="hybridMultilevel"/>
    <w:tmpl w:val="37DAE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35864"/>
    <w:multiLevelType w:val="multilevel"/>
    <w:tmpl w:val="8EFA8632"/>
    <w:lvl w:ilvl="0">
      <w:start w:val="1"/>
      <w:numFmt w:val="none"/>
      <w:pStyle w:val="Titl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Restart w:val="1"/>
      <w:pStyle w:val="MyTable"/>
      <w:lvlText w:val="Table %4"/>
      <w:lvlJc w:val="left"/>
      <w:pPr>
        <w:tabs>
          <w:tab w:val="num" w:pos="1134"/>
        </w:tabs>
        <w:ind w:left="1134" w:hanging="1134"/>
      </w:pPr>
      <w:rPr>
        <w:rFonts w:hint="default"/>
      </w:rPr>
    </w:lvl>
    <w:lvl w:ilvl="4">
      <w:start w:val="1"/>
      <w:numFmt w:val="decimal"/>
      <w:lvlRestart w:val="1"/>
      <w:pStyle w:val="MyFigure"/>
      <w:lvlText w:val="Figure %5"/>
      <w:lvlJc w:val="left"/>
      <w:pPr>
        <w:tabs>
          <w:tab w:val="num" w:pos="1134"/>
        </w:tabs>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20AA46BC"/>
    <w:multiLevelType w:val="hybridMultilevel"/>
    <w:tmpl w:val="729A1586"/>
    <w:lvl w:ilvl="0" w:tplc="16CE4E6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B7A6BB6"/>
    <w:multiLevelType w:val="hybridMultilevel"/>
    <w:tmpl w:val="262CE048"/>
    <w:lvl w:ilvl="0" w:tplc="A7561D8E">
      <w:start w:val="1"/>
      <w:numFmt w:val="lowerRoman"/>
      <w:pStyle w:val="Letterfornumbereditems"/>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45533EDB"/>
    <w:multiLevelType w:val="multilevel"/>
    <w:tmpl w:val="ED2428E0"/>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20"/>
        </w:tabs>
        <w:ind w:left="720" w:hanging="360"/>
      </w:pPr>
      <w:rPr>
        <w:rFonts w:hint="default"/>
      </w:rPr>
    </w:lvl>
    <w:lvl w:ilvl="2">
      <w:start w:val="1"/>
      <w:numFmt w:val="none"/>
      <w:lvlText w:val="%1.%2.1"/>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461D1AE6"/>
    <w:multiLevelType w:val="hybridMultilevel"/>
    <w:tmpl w:val="5A04A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B777B9"/>
    <w:multiLevelType w:val="hybridMultilevel"/>
    <w:tmpl w:val="C58E8860"/>
    <w:lvl w:ilvl="0" w:tplc="0C090001">
      <w:start w:val="1"/>
      <w:numFmt w:val="bullet"/>
      <w:lvlText w:val=""/>
      <w:lvlJc w:val="left"/>
      <w:pPr>
        <w:ind w:left="720" w:hanging="360"/>
      </w:pPr>
      <w:rPr>
        <w:rFonts w:ascii="Symbol" w:hAnsi="Symbol" w:hint="default"/>
        <w:b w:val="0"/>
      </w:rPr>
    </w:lvl>
    <w:lvl w:ilvl="1" w:tplc="45B478DC">
      <w:start w:val="1"/>
      <w:numFmt w:val="bullet"/>
      <w:pStyle w:val="Bulletfornumbereditem"/>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74C2B2F"/>
    <w:multiLevelType w:val="hybridMultilevel"/>
    <w:tmpl w:val="E3DAC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4941D4"/>
    <w:multiLevelType w:val="hybridMultilevel"/>
    <w:tmpl w:val="27A66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A71ACC"/>
    <w:multiLevelType w:val="hybridMultilevel"/>
    <w:tmpl w:val="93DCF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360BC9"/>
    <w:multiLevelType w:val="multilevel"/>
    <w:tmpl w:val="EFE0EB9E"/>
    <w:lvl w:ilvl="0">
      <w:start w:val="1"/>
      <w:numFmt w:val="decimal"/>
      <w:pStyle w:val="Heading1"/>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lvlText w:val="%1.%2.%3"/>
      <w:lvlJc w:val="left"/>
      <w:pPr>
        <w:ind w:left="862"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2"/>
  </w:num>
  <w:num w:numId="12">
    <w:abstractNumId w:val="7"/>
  </w:num>
  <w:num w:numId="13">
    <w:abstractNumId w:val="5"/>
  </w:num>
  <w:num w:numId="14">
    <w:abstractNumId w:val="9"/>
  </w:num>
  <w:num w:numId="15">
    <w:abstractNumId w:val="6"/>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3"/>
  </w:num>
  <w:num w:numId="20">
    <w:abstractNumId w:val="3"/>
    <w:lvlOverride w:ilvl="0">
      <w:startOverride w:val="1"/>
    </w:lvlOverride>
  </w:num>
  <w:num w:numId="21">
    <w:abstractNumId w:val="6"/>
    <w:lvlOverride w:ilvl="0">
      <w:startOverride w:val="1"/>
    </w:lvlOverride>
  </w:num>
  <w:num w:numId="22">
    <w:abstractNumId w:val="3"/>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10"/>
  </w:num>
  <w:num w:numId="28">
    <w:abstractNumId w:val="8"/>
  </w:num>
  <w:num w:numId="29">
    <w:abstractNumId w:val="6"/>
    <w:lvlOverride w:ilvl="0">
      <w:startOverride w:val="1"/>
    </w:lvlOverride>
  </w:num>
  <w:num w:numId="30">
    <w:abstractNumId w:val="0"/>
  </w:num>
  <w:num w:numId="31">
    <w:abstractNumId w:val="3"/>
    <w:lvlOverride w:ilvl="0">
      <w:startOverride w:val="1"/>
    </w:lvlOverride>
  </w:num>
  <w:num w:numId="3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formatting="1" w:enforcement="1" w:cryptProviderType="rsaAES" w:cryptAlgorithmClass="hash" w:cryptAlgorithmType="typeAny" w:cryptAlgorithmSid="14" w:cryptSpinCount="100000" w:hash="VpU9TCRxLSgBM6dBFwJZL7h8amVb18j0Mr80UQkrbFtxgPcGLPq60nEzJTG+h1Q15fPh8qrkOUvFV8Sk0MRDGw==" w:salt="5YIB4O+NyMEYMZFOU115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415BFD"/>
    <w:rsid w:val="00214AB1"/>
    <w:rsid w:val="003861FA"/>
    <w:rsid w:val="00415BFD"/>
    <w:rsid w:val="00A9454F"/>
    <w:rsid w:val="00B75A6A"/>
    <w:rsid w:val="00C20253"/>
    <w:rsid w:val="00D508EC"/>
    <w:rsid w:val="00DA3B88"/>
    <w:rsid w:val="00DC6724"/>
    <w:rsid w:val="00E13E44"/>
    <w:rsid w:val="00EE1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D6E95-9E1F-43DF-865D-A5EF05F0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FD"/>
    <w:pPr>
      <w:spacing w:line="360" w:lineRule="auto"/>
      <w:jc w:val="both"/>
    </w:pPr>
    <w:rPr>
      <w:rFonts w:ascii="Georgia" w:eastAsia="MS PMincho" w:hAnsi="Georgia"/>
      <w:szCs w:val="22"/>
      <w:lang w:bidi="en-US"/>
    </w:rPr>
  </w:style>
  <w:style w:type="paragraph" w:styleId="Heading1">
    <w:name w:val="heading 1"/>
    <w:basedOn w:val="Normal"/>
    <w:next w:val="Normal"/>
    <w:link w:val="Heading1Char"/>
    <w:qFormat/>
    <w:rsid w:val="00415BFD"/>
    <w:pPr>
      <w:numPr>
        <w:numId w:val="27"/>
      </w:numPr>
      <w:spacing w:before="240" w:after="120"/>
      <w:contextualSpacing/>
      <w:outlineLvl w:val="0"/>
    </w:pPr>
    <w:rPr>
      <w:rFonts w:ascii="Arial" w:eastAsia="MS PGothic" w:hAnsi="Arial"/>
      <w:b/>
      <w:bCs/>
      <w:sz w:val="32"/>
      <w:szCs w:val="28"/>
      <w:lang w:bidi="ar-SA"/>
    </w:rPr>
  </w:style>
  <w:style w:type="paragraph" w:styleId="Heading2">
    <w:name w:val="heading 2"/>
    <w:basedOn w:val="Normal"/>
    <w:next w:val="Normal"/>
    <w:link w:val="Heading2Char"/>
    <w:qFormat/>
    <w:rsid w:val="00415BFD"/>
    <w:pPr>
      <w:spacing w:before="180" w:after="60"/>
      <w:outlineLvl w:val="1"/>
    </w:pPr>
    <w:rPr>
      <w:rFonts w:ascii="Arial" w:eastAsia="MS PGothic" w:hAnsi="Arial"/>
      <w:b/>
      <w:bCs/>
      <w:sz w:val="24"/>
      <w:szCs w:val="26"/>
      <w:lang w:bidi="ar-SA"/>
    </w:rPr>
  </w:style>
  <w:style w:type="paragraph" w:styleId="Heading3">
    <w:name w:val="heading 3"/>
    <w:basedOn w:val="Normal"/>
    <w:next w:val="Normal"/>
    <w:link w:val="Heading3Char"/>
    <w:uiPriority w:val="9"/>
    <w:qFormat/>
    <w:rsid w:val="00415BFD"/>
    <w:pPr>
      <w:numPr>
        <w:ilvl w:val="1"/>
        <w:numId w:val="27"/>
      </w:numPr>
      <w:spacing w:before="120" w:after="60"/>
      <w:outlineLvl w:val="2"/>
    </w:pPr>
    <w:rPr>
      <w:rFonts w:eastAsia="MS PGothic"/>
      <w:bCs/>
      <w:i/>
      <w:szCs w:val="20"/>
      <w:lang w:bidi="ar-SA"/>
    </w:rPr>
  </w:style>
  <w:style w:type="paragraph" w:styleId="Heading4">
    <w:name w:val="heading 4"/>
    <w:basedOn w:val="Normal"/>
    <w:next w:val="Normal"/>
    <w:link w:val="Heading4Char"/>
    <w:uiPriority w:val="9"/>
    <w:semiHidden/>
    <w:unhideWhenUsed/>
    <w:rsid w:val="00415BFD"/>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415BFD"/>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415BFD"/>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415BFD"/>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415BFD"/>
    <w:pPr>
      <w:keepNext/>
      <w:keepLines/>
      <w:numPr>
        <w:ilvl w:val="7"/>
        <w:numId w:val="2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rsid w:val="00415BFD"/>
    <w:pPr>
      <w:keepNext/>
      <w:keepLines/>
      <w:numPr>
        <w:ilvl w:val="8"/>
        <w:numId w:val="2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rsid w:val="00415B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5BFD"/>
  </w:style>
  <w:style w:type="paragraph" w:customStyle="1" w:styleId="TOCHeading1">
    <w:name w:val="TOC Heading1"/>
    <w:basedOn w:val="Heading1"/>
    <w:next w:val="Normal"/>
    <w:uiPriority w:val="39"/>
    <w:semiHidden/>
    <w:unhideWhenUsed/>
    <w:qFormat/>
    <w:rsid w:val="00415BFD"/>
    <w:pPr>
      <w:outlineLvl w:val="9"/>
    </w:pPr>
    <w:rPr>
      <w:lang w:bidi="en-US"/>
    </w:rPr>
  </w:style>
  <w:style w:type="character" w:customStyle="1" w:styleId="Heading1Char">
    <w:name w:val="Heading 1 Char"/>
    <w:link w:val="Heading1"/>
    <w:rsid w:val="00415BFD"/>
    <w:rPr>
      <w:rFonts w:ascii="Arial" w:eastAsia="MS PGothic" w:hAnsi="Arial"/>
      <w:b/>
      <w:bCs/>
      <w:sz w:val="32"/>
      <w:szCs w:val="28"/>
    </w:rPr>
  </w:style>
  <w:style w:type="paragraph" w:customStyle="1" w:styleId="MyTable">
    <w:name w:val="My Table"/>
    <w:basedOn w:val="Normal"/>
    <w:next w:val="Normal"/>
    <w:qFormat/>
    <w:rsid w:val="00415BFD"/>
    <w:pPr>
      <w:numPr>
        <w:ilvl w:val="3"/>
        <w:numId w:val="1"/>
      </w:numPr>
      <w:spacing w:after="120"/>
      <w:jc w:val="left"/>
    </w:pPr>
    <w:rPr>
      <w:b/>
    </w:rPr>
  </w:style>
  <w:style w:type="paragraph" w:customStyle="1" w:styleId="MyFigure">
    <w:name w:val="My Figure"/>
    <w:basedOn w:val="MyTable"/>
    <w:next w:val="Normal"/>
    <w:qFormat/>
    <w:rsid w:val="00415BFD"/>
    <w:pPr>
      <w:numPr>
        <w:ilvl w:val="4"/>
      </w:numPr>
    </w:pPr>
    <w:rPr>
      <w:lang w:eastAsia="en-AU" w:bidi="ar-SA"/>
    </w:rPr>
  </w:style>
  <w:style w:type="paragraph" w:customStyle="1" w:styleId="Tabletext">
    <w:name w:val="Table text"/>
    <w:basedOn w:val="Normal"/>
    <w:qFormat/>
    <w:rsid w:val="00415BFD"/>
    <w:pPr>
      <w:spacing w:before="120" w:after="120" w:line="271" w:lineRule="auto"/>
      <w:jc w:val="left"/>
    </w:pPr>
    <w:rPr>
      <w:rFonts w:ascii="Arial" w:hAnsi="Arial"/>
      <w:sz w:val="18"/>
      <w:lang w:eastAsia="en-AU" w:bidi="ar-SA"/>
    </w:rPr>
  </w:style>
  <w:style w:type="paragraph" w:customStyle="1" w:styleId="TOCHeading2">
    <w:name w:val="TOC Heading2"/>
    <w:basedOn w:val="Heading1"/>
    <w:next w:val="Normal"/>
    <w:uiPriority w:val="39"/>
    <w:semiHidden/>
    <w:unhideWhenUsed/>
    <w:qFormat/>
    <w:rsid w:val="00415BFD"/>
    <w:pPr>
      <w:outlineLvl w:val="9"/>
    </w:pPr>
    <w:rPr>
      <w:lang w:bidi="en-US"/>
    </w:rPr>
  </w:style>
  <w:style w:type="character" w:customStyle="1" w:styleId="Heading2Char">
    <w:name w:val="Heading 2 Char"/>
    <w:link w:val="Heading2"/>
    <w:rsid w:val="00415BFD"/>
    <w:rPr>
      <w:rFonts w:ascii="Arial" w:eastAsia="MS PGothic" w:hAnsi="Arial"/>
      <w:b/>
      <w:bCs/>
      <w:sz w:val="24"/>
      <w:szCs w:val="26"/>
    </w:rPr>
  </w:style>
  <w:style w:type="character" w:customStyle="1" w:styleId="Heading3Char">
    <w:name w:val="Heading 3 Char"/>
    <w:link w:val="Heading3"/>
    <w:uiPriority w:val="9"/>
    <w:rsid w:val="00415BFD"/>
    <w:rPr>
      <w:rFonts w:ascii="Georgia" w:eastAsia="MS PGothic" w:hAnsi="Georgia"/>
      <w:bCs/>
      <w:i/>
    </w:rPr>
  </w:style>
  <w:style w:type="paragraph" w:styleId="Title">
    <w:name w:val="Title"/>
    <w:basedOn w:val="Normal"/>
    <w:next w:val="Normal"/>
    <w:link w:val="TitleChar"/>
    <w:uiPriority w:val="10"/>
    <w:qFormat/>
    <w:rsid w:val="00415BFD"/>
    <w:pPr>
      <w:numPr>
        <w:numId w:val="1"/>
      </w:numPr>
      <w:pBdr>
        <w:bottom w:val="single" w:sz="4" w:space="1" w:color="auto"/>
      </w:pBdr>
      <w:spacing w:after="240" w:line="240" w:lineRule="auto"/>
      <w:contextualSpacing/>
      <w:jc w:val="left"/>
    </w:pPr>
    <w:rPr>
      <w:rFonts w:ascii="Arial" w:hAnsi="Arial"/>
      <w:spacing w:val="5"/>
      <w:sz w:val="52"/>
      <w:szCs w:val="52"/>
      <w:lang w:eastAsia="en-AU" w:bidi="ar-SA"/>
    </w:rPr>
  </w:style>
  <w:style w:type="character" w:customStyle="1" w:styleId="TitleChar">
    <w:name w:val="Title Char"/>
    <w:link w:val="Title"/>
    <w:uiPriority w:val="10"/>
    <w:rsid w:val="00415BFD"/>
    <w:rPr>
      <w:rFonts w:ascii="Arial" w:eastAsia="MS PMincho" w:hAnsi="Arial"/>
      <w:spacing w:val="5"/>
      <w:sz w:val="52"/>
      <w:szCs w:val="52"/>
      <w:lang w:eastAsia="en-AU"/>
    </w:rPr>
  </w:style>
  <w:style w:type="character" w:customStyle="1" w:styleId="Heading4Char">
    <w:name w:val="Heading 4 Char"/>
    <w:basedOn w:val="DefaultParagraphFont"/>
    <w:link w:val="Heading4"/>
    <w:uiPriority w:val="9"/>
    <w:semiHidden/>
    <w:rsid w:val="00415BFD"/>
    <w:rPr>
      <w:rFonts w:asciiTheme="majorHAnsi" w:eastAsiaTheme="majorEastAsia" w:hAnsiTheme="majorHAnsi" w:cstheme="majorBidi"/>
      <w:b/>
      <w:bCs/>
      <w:i/>
      <w:iCs/>
      <w:color w:val="4F81BD" w:themeColor="accent1"/>
      <w:szCs w:val="22"/>
      <w:lang w:bidi="en-US"/>
    </w:rPr>
  </w:style>
  <w:style w:type="character" w:customStyle="1" w:styleId="Heading5Char">
    <w:name w:val="Heading 5 Char"/>
    <w:basedOn w:val="DefaultParagraphFont"/>
    <w:link w:val="Heading5"/>
    <w:uiPriority w:val="9"/>
    <w:semiHidden/>
    <w:rsid w:val="00415BFD"/>
    <w:rPr>
      <w:rFonts w:asciiTheme="majorHAnsi" w:eastAsiaTheme="majorEastAsia" w:hAnsiTheme="majorHAnsi" w:cstheme="majorBidi"/>
      <w:color w:val="243F60" w:themeColor="accent1" w:themeShade="7F"/>
      <w:szCs w:val="22"/>
      <w:lang w:bidi="en-US"/>
    </w:rPr>
  </w:style>
  <w:style w:type="character" w:customStyle="1" w:styleId="Heading6Char">
    <w:name w:val="Heading 6 Char"/>
    <w:basedOn w:val="DefaultParagraphFont"/>
    <w:link w:val="Heading6"/>
    <w:uiPriority w:val="9"/>
    <w:semiHidden/>
    <w:rsid w:val="00415BFD"/>
    <w:rPr>
      <w:rFonts w:asciiTheme="majorHAnsi" w:eastAsiaTheme="majorEastAsia" w:hAnsiTheme="majorHAnsi" w:cstheme="majorBidi"/>
      <w:i/>
      <w:iCs/>
      <w:color w:val="243F60" w:themeColor="accent1" w:themeShade="7F"/>
      <w:szCs w:val="22"/>
      <w:lang w:bidi="en-US"/>
    </w:rPr>
  </w:style>
  <w:style w:type="character" w:customStyle="1" w:styleId="Heading7Char">
    <w:name w:val="Heading 7 Char"/>
    <w:basedOn w:val="DefaultParagraphFont"/>
    <w:link w:val="Heading7"/>
    <w:uiPriority w:val="9"/>
    <w:semiHidden/>
    <w:rsid w:val="00415BFD"/>
    <w:rPr>
      <w:rFonts w:asciiTheme="majorHAnsi" w:eastAsiaTheme="majorEastAsia" w:hAnsiTheme="majorHAnsi" w:cstheme="majorBidi"/>
      <w:i/>
      <w:iCs/>
      <w:color w:val="404040" w:themeColor="text1" w:themeTint="BF"/>
      <w:szCs w:val="22"/>
      <w:lang w:bidi="en-US"/>
    </w:rPr>
  </w:style>
  <w:style w:type="character" w:customStyle="1" w:styleId="Heading8Char">
    <w:name w:val="Heading 8 Char"/>
    <w:basedOn w:val="DefaultParagraphFont"/>
    <w:link w:val="Heading8"/>
    <w:uiPriority w:val="9"/>
    <w:semiHidden/>
    <w:rsid w:val="00415BFD"/>
    <w:rPr>
      <w:rFonts w:asciiTheme="majorHAnsi" w:eastAsiaTheme="majorEastAsia" w:hAnsiTheme="majorHAnsi" w:cstheme="majorBidi"/>
      <w:color w:val="404040" w:themeColor="text1" w:themeTint="BF"/>
      <w:lang w:bidi="en-US"/>
    </w:rPr>
  </w:style>
  <w:style w:type="character" w:customStyle="1" w:styleId="Heading9Char">
    <w:name w:val="Heading 9 Char"/>
    <w:basedOn w:val="DefaultParagraphFont"/>
    <w:link w:val="Heading9"/>
    <w:uiPriority w:val="9"/>
    <w:semiHidden/>
    <w:rsid w:val="00415BFD"/>
    <w:rPr>
      <w:rFonts w:asciiTheme="majorHAnsi" w:eastAsiaTheme="majorEastAsia" w:hAnsiTheme="majorHAnsi" w:cstheme="majorBidi"/>
      <w:i/>
      <w:iCs/>
      <w:color w:val="404040" w:themeColor="text1" w:themeTint="BF"/>
      <w:lang w:bidi="en-US"/>
    </w:rPr>
  </w:style>
  <w:style w:type="table" w:styleId="TableGrid">
    <w:name w:val="Table Grid"/>
    <w:basedOn w:val="TableNormal"/>
    <w:uiPriority w:val="59"/>
    <w:rsid w:val="0041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15BFD"/>
    <w:rPr>
      <w:color w:val="0000FF"/>
      <w:u w:val="single"/>
    </w:rPr>
  </w:style>
  <w:style w:type="paragraph" w:styleId="NormalWeb">
    <w:name w:val="Normal (Web)"/>
    <w:basedOn w:val="Normal"/>
    <w:uiPriority w:val="99"/>
    <w:unhideWhenUsed/>
    <w:rsid w:val="00415BFD"/>
    <w:pPr>
      <w:spacing w:before="100" w:beforeAutospacing="1" w:after="100" w:afterAutospacing="1" w:line="240" w:lineRule="auto"/>
      <w:jc w:val="left"/>
    </w:pPr>
    <w:rPr>
      <w:rFonts w:eastAsia="Times New Roman"/>
      <w:sz w:val="24"/>
      <w:szCs w:val="24"/>
      <w:lang w:eastAsia="en-AU" w:bidi="ar-SA"/>
    </w:rPr>
  </w:style>
  <w:style w:type="paragraph" w:customStyle="1" w:styleId="Figure">
    <w:name w:val="Figure"/>
    <w:basedOn w:val="Heading2"/>
    <w:link w:val="FigureChar"/>
    <w:autoRedefine/>
    <w:rsid w:val="00415BFD"/>
    <w:pPr>
      <w:keepNext/>
      <w:tabs>
        <w:tab w:val="left" w:pos="709"/>
        <w:tab w:val="left" w:pos="4536"/>
      </w:tabs>
      <w:spacing w:before="240" w:after="0"/>
      <w:jc w:val="center"/>
    </w:pPr>
    <w:rPr>
      <w:rFonts w:asciiTheme="minorHAnsi" w:eastAsia="Times New Roman" w:hAnsiTheme="minorHAnsi" w:cstheme="minorHAnsi"/>
      <w:iCs/>
      <w:szCs w:val="28"/>
      <w:u w:val="single"/>
      <w:lang w:val="en-NZ"/>
    </w:rPr>
  </w:style>
  <w:style w:type="character" w:customStyle="1" w:styleId="FigureChar">
    <w:name w:val="Figure Char"/>
    <w:basedOn w:val="Heading2Char"/>
    <w:link w:val="Figure"/>
    <w:rsid w:val="00415BFD"/>
    <w:rPr>
      <w:rFonts w:asciiTheme="minorHAnsi" w:eastAsia="Times New Roman" w:hAnsiTheme="minorHAnsi" w:cstheme="minorHAnsi"/>
      <w:b/>
      <w:bCs/>
      <w:iCs/>
      <w:sz w:val="24"/>
      <w:szCs w:val="28"/>
      <w:u w:val="single"/>
      <w:lang w:val="en-NZ"/>
    </w:rPr>
  </w:style>
  <w:style w:type="paragraph" w:customStyle="1" w:styleId="Table">
    <w:name w:val="Table"/>
    <w:basedOn w:val="Heading2"/>
    <w:autoRedefine/>
    <w:rsid w:val="00415BFD"/>
    <w:pPr>
      <w:keepNext/>
      <w:tabs>
        <w:tab w:val="left" w:pos="709"/>
        <w:tab w:val="left" w:pos="4536"/>
      </w:tabs>
      <w:spacing w:before="240" w:after="0" w:line="240" w:lineRule="auto"/>
      <w:contextualSpacing/>
      <w:jc w:val="left"/>
    </w:pPr>
    <w:rPr>
      <w:rFonts w:asciiTheme="minorHAnsi" w:eastAsia="Times New Roman" w:hAnsiTheme="minorHAnsi" w:cstheme="minorHAnsi"/>
      <w:iCs/>
      <w:szCs w:val="28"/>
      <w:lang w:val="en-NZ"/>
    </w:rPr>
  </w:style>
  <w:style w:type="paragraph" w:customStyle="1" w:styleId="Tablefigurelocation">
    <w:name w:val="Table/figure location"/>
    <w:basedOn w:val="Normal"/>
    <w:autoRedefine/>
    <w:qFormat/>
    <w:rsid w:val="00415BFD"/>
    <w:pPr>
      <w:spacing w:before="200"/>
      <w:contextualSpacing/>
      <w:jc w:val="left"/>
    </w:pPr>
    <w:rPr>
      <w:rFonts w:ascii="Calibri" w:eastAsia="Calibri" w:hAnsi="Calibri" w:cs="Consolas"/>
      <w:b/>
      <w:lang w:val="en-US" w:bidi="ar-SA"/>
    </w:rPr>
  </w:style>
  <w:style w:type="table" w:styleId="LightShading">
    <w:name w:val="Light Shading"/>
    <w:basedOn w:val="TableNormal"/>
    <w:uiPriority w:val="60"/>
    <w:rsid w:val="00415BFD"/>
    <w:rPr>
      <w:rFonts w:asciiTheme="minorHAnsi" w:hAnsiTheme="minorHAnsi" w:cstheme="minorBidi"/>
      <w:color w:val="000000" w:themeColor="text1" w:themeShade="BF"/>
      <w:sz w:val="22"/>
      <w:szCs w:val="22"/>
      <w:lang w:val="en-NZ"/>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15BFD"/>
    <w:pPr>
      <w:spacing w:line="240" w:lineRule="auto"/>
      <w:jc w:val="left"/>
    </w:pPr>
    <w:rPr>
      <w:rFonts w:ascii="Tahoma" w:eastAsia="PMingLiU" w:hAnsi="Tahoma" w:cs="Tahoma"/>
      <w:sz w:val="16"/>
      <w:szCs w:val="16"/>
      <w:lang w:val="en-US" w:bidi="ar-SA"/>
    </w:rPr>
  </w:style>
  <w:style w:type="character" w:customStyle="1" w:styleId="BalloonTextChar">
    <w:name w:val="Balloon Text Char"/>
    <w:basedOn w:val="DefaultParagraphFont"/>
    <w:link w:val="BalloonText"/>
    <w:uiPriority w:val="99"/>
    <w:semiHidden/>
    <w:rsid w:val="00415BFD"/>
    <w:rPr>
      <w:rFonts w:ascii="Tahoma" w:eastAsia="PMingLiU" w:hAnsi="Tahoma" w:cs="Tahoma"/>
      <w:sz w:val="16"/>
      <w:szCs w:val="16"/>
      <w:lang w:val="en-US"/>
    </w:rPr>
  </w:style>
  <w:style w:type="paragraph" w:styleId="Header">
    <w:name w:val="header"/>
    <w:basedOn w:val="Normal"/>
    <w:link w:val="HeaderChar"/>
    <w:uiPriority w:val="99"/>
    <w:unhideWhenUsed/>
    <w:rsid w:val="00415BFD"/>
    <w:pPr>
      <w:tabs>
        <w:tab w:val="center" w:pos="4513"/>
        <w:tab w:val="right" w:pos="9026"/>
      </w:tabs>
      <w:spacing w:line="240" w:lineRule="auto"/>
      <w:jc w:val="left"/>
    </w:pPr>
    <w:rPr>
      <w:rFonts w:ascii="Calibri" w:eastAsia="PMingLiU" w:hAnsi="Calibri"/>
      <w:lang w:val="en-US" w:bidi="ar-SA"/>
    </w:rPr>
  </w:style>
  <w:style w:type="character" w:customStyle="1" w:styleId="HeaderChar">
    <w:name w:val="Header Char"/>
    <w:basedOn w:val="DefaultParagraphFont"/>
    <w:link w:val="Header"/>
    <w:uiPriority w:val="99"/>
    <w:rsid w:val="00415BFD"/>
    <w:rPr>
      <w:rFonts w:ascii="Calibri" w:eastAsia="PMingLiU" w:hAnsi="Calibri"/>
      <w:szCs w:val="22"/>
      <w:lang w:val="en-US"/>
    </w:rPr>
  </w:style>
  <w:style w:type="paragraph" w:styleId="Footer">
    <w:name w:val="footer"/>
    <w:basedOn w:val="Normal"/>
    <w:link w:val="FooterChar"/>
    <w:uiPriority w:val="99"/>
    <w:unhideWhenUsed/>
    <w:rsid w:val="00415BFD"/>
    <w:pPr>
      <w:tabs>
        <w:tab w:val="center" w:pos="4513"/>
        <w:tab w:val="right" w:pos="9026"/>
      </w:tabs>
      <w:spacing w:line="240" w:lineRule="auto"/>
      <w:jc w:val="left"/>
    </w:pPr>
    <w:rPr>
      <w:rFonts w:ascii="Calibri" w:eastAsia="PMingLiU" w:hAnsi="Calibri"/>
      <w:lang w:val="en-US" w:bidi="ar-SA"/>
    </w:rPr>
  </w:style>
  <w:style w:type="character" w:customStyle="1" w:styleId="FooterChar">
    <w:name w:val="Footer Char"/>
    <w:basedOn w:val="DefaultParagraphFont"/>
    <w:link w:val="Footer"/>
    <w:uiPriority w:val="99"/>
    <w:rsid w:val="00415BFD"/>
    <w:rPr>
      <w:rFonts w:ascii="Calibri" w:eastAsia="PMingLiU" w:hAnsi="Calibri"/>
      <w:szCs w:val="22"/>
      <w:lang w:val="en-US"/>
    </w:rPr>
  </w:style>
  <w:style w:type="table" w:styleId="LightList">
    <w:name w:val="Light List"/>
    <w:basedOn w:val="TableNormal"/>
    <w:uiPriority w:val="61"/>
    <w:rsid w:val="00415BFD"/>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dytext">
    <w:name w:val="bodytext"/>
    <w:rsid w:val="00415BFD"/>
    <w:pPr>
      <w:spacing w:line="260" w:lineRule="atLeast"/>
      <w:jc w:val="both"/>
    </w:pPr>
    <w:rPr>
      <w:rFonts w:eastAsia="Times New Roman"/>
      <w:sz w:val="22"/>
      <w:lang w:val="en-GB"/>
    </w:rPr>
  </w:style>
  <w:style w:type="paragraph" w:customStyle="1" w:styleId="Figureheading">
    <w:name w:val="Figure heading"/>
    <w:basedOn w:val="Normal"/>
    <w:rsid w:val="00415BFD"/>
    <w:pPr>
      <w:spacing w:after="200" w:line="276" w:lineRule="auto"/>
      <w:jc w:val="left"/>
    </w:pPr>
    <w:rPr>
      <w:rFonts w:ascii="Calibri" w:eastAsia="Calibri" w:hAnsi="Calibri"/>
      <w:b/>
      <w:sz w:val="24"/>
      <w:lang w:bidi="ar-SA"/>
    </w:rPr>
  </w:style>
  <w:style w:type="table" w:styleId="LightGrid-Accent1">
    <w:name w:val="Light Grid Accent 1"/>
    <w:basedOn w:val="TableNormal"/>
    <w:uiPriority w:val="62"/>
    <w:rsid w:val="00415BFD"/>
    <w:rPr>
      <w:rFonts w:ascii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415BFD"/>
    <w:rPr>
      <w:sz w:val="18"/>
      <w:szCs w:val="18"/>
    </w:rPr>
  </w:style>
  <w:style w:type="paragraph" w:styleId="CommentText">
    <w:name w:val="annotation text"/>
    <w:basedOn w:val="Normal"/>
    <w:link w:val="CommentTextChar"/>
    <w:uiPriority w:val="99"/>
    <w:semiHidden/>
    <w:unhideWhenUsed/>
    <w:rsid w:val="00415BFD"/>
    <w:pPr>
      <w:spacing w:line="240" w:lineRule="auto"/>
    </w:pPr>
    <w:rPr>
      <w:rFonts w:ascii="Calibri" w:eastAsia="Times New Roman" w:hAnsi="Calibri"/>
      <w:sz w:val="24"/>
      <w:szCs w:val="24"/>
      <w:lang w:val="en-GB" w:bidi="ar-SA"/>
    </w:rPr>
  </w:style>
  <w:style w:type="character" w:customStyle="1" w:styleId="CommentTextChar">
    <w:name w:val="Comment Text Char"/>
    <w:basedOn w:val="DefaultParagraphFont"/>
    <w:link w:val="CommentText"/>
    <w:uiPriority w:val="99"/>
    <w:semiHidden/>
    <w:rsid w:val="00415BFD"/>
    <w:rPr>
      <w:rFonts w:ascii="Calibri" w:eastAsia="Times New Roman" w:hAnsi="Calibri"/>
      <w:sz w:val="24"/>
      <w:szCs w:val="24"/>
      <w:lang w:val="en-GB"/>
    </w:rPr>
  </w:style>
  <w:style w:type="paragraph" w:styleId="CommentSubject">
    <w:name w:val="annotation subject"/>
    <w:basedOn w:val="CommentText"/>
    <w:next w:val="CommentText"/>
    <w:link w:val="CommentSubjectChar"/>
    <w:uiPriority w:val="99"/>
    <w:semiHidden/>
    <w:unhideWhenUsed/>
    <w:rsid w:val="00415BFD"/>
    <w:rPr>
      <w:b/>
      <w:bCs/>
    </w:rPr>
  </w:style>
  <w:style w:type="character" w:customStyle="1" w:styleId="CommentSubjectChar">
    <w:name w:val="Comment Subject Char"/>
    <w:basedOn w:val="CommentTextChar"/>
    <w:link w:val="CommentSubject"/>
    <w:uiPriority w:val="99"/>
    <w:semiHidden/>
    <w:rsid w:val="00415BFD"/>
    <w:rPr>
      <w:rFonts w:ascii="Calibri" w:eastAsia="Times New Roman" w:hAnsi="Calibri"/>
      <w:b/>
      <w:bCs/>
      <w:sz w:val="24"/>
      <w:szCs w:val="24"/>
      <w:lang w:val="en-GB"/>
    </w:rPr>
  </w:style>
  <w:style w:type="table" w:customStyle="1" w:styleId="LightShading1">
    <w:name w:val="Light Shading1"/>
    <w:basedOn w:val="TableNormal"/>
    <w:uiPriority w:val="60"/>
    <w:rsid w:val="00415BFD"/>
    <w:rPr>
      <w:rFonts w:asciiTheme="minorHAnsi" w:hAnsiTheme="minorHAnsi" w:cstheme="minorBidi"/>
      <w:color w:val="000000" w:themeColor="text1" w:themeShade="BF"/>
      <w:sz w:val="22"/>
      <w:szCs w:val="22"/>
      <w:lang w:val="en-NZ"/>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shd w:val="clear" w:color="auto" w:fill="BFBFBF" w:themeFill="background1" w:themeFillShade="BF"/>
      </w:tcPr>
    </w:tblStylePr>
    <w:tblStylePr w:type="lastRow">
      <w:pPr>
        <w:spacing w:before="0" w:after="0" w:line="240" w:lineRule="auto"/>
      </w:pPr>
      <w:rPr>
        <w:b w:val="0"/>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bCs/>
      </w:rPr>
    </w:tblStylePr>
    <w:tblStylePr w:type="band2Vert">
      <w:rPr>
        <w:color w:val="auto"/>
      </w:rPr>
    </w:tblStylePr>
  </w:style>
  <w:style w:type="table" w:customStyle="1" w:styleId="LightList1">
    <w:name w:val="Light List1"/>
    <w:basedOn w:val="TableNormal"/>
    <w:uiPriority w:val="61"/>
    <w:rsid w:val="00415BFD"/>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Accent11">
    <w:name w:val="Light Grid - Accent 11"/>
    <w:basedOn w:val="TableNormal"/>
    <w:uiPriority w:val="62"/>
    <w:rsid w:val="00415BFD"/>
    <w:rPr>
      <w:rFonts w:ascii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rsid w:val="00415BFD"/>
    <w:pPr>
      <w:ind w:left="720"/>
    </w:pPr>
    <w:rPr>
      <w:rFonts w:eastAsiaTheme="minorHAnsi" w:cstheme="minorBidi"/>
      <w:lang w:bidi="ar-SA"/>
    </w:rPr>
  </w:style>
  <w:style w:type="character" w:customStyle="1" w:styleId="italic">
    <w:name w:val="italic"/>
    <w:basedOn w:val="DefaultParagraphFont"/>
    <w:rsid w:val="00415BFD"/>
  </w:style>
  <w:style w:type="table" w:styleId="LightShading-Accent6">
    <w:name w:val="Light Shading Accent 6"/>
    <w:basedOn w:val="TableNormal"/>
    <w:uiPriority w:val="60"/>
    <w:rsid w:val="00415BF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6">
    <w:name w:val="Medium Shading 1 Accent 6"/>
    <w:basedOn w:val="TableNormal"/>
    <w:uiPriority w:val="63"/>
    <w:rsid w:val="00415B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rsid w:val="00415BFD"/>
    <w:pPr>
      <w:keepNext/>
      <w:keepLines/>
      <w:spacing w:before="480" w:after="0" w:line="276" w:lineRule="auto"/>
      <w:contextualSpacing w:val="0"/>
      <w:jc w:val="left"/>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rsid w:val="00415BFD"/>
    <w:pPr>
      <w:spacing w:after="100"/>
    </w:pPr>
  </w:style>
  <w:style w:type="paragraph" w:styleId="TOC2">
    <w:name w:val="toc 2"/>
    <w:basedOn w:val="Normal"/>
    <w:next w:val="Normal"/>
    <w:autoRedefine/>
    <w:uiPriority w:val="39"/>
    <w:unhideWhenUsed/>
    <w:rsid w:val="00415BFD"/>
    <w:pPr>
      <w:spacing w:after="100"/>
      <w:ind w:left="220"/>
    </w:pPr>
  </w:style>
  <w:style w:type="paragraph" w:styleId="TOC3">
    <w:name w:val="toc 3"/>
    <w:basedOn w:val="Normal"/>
    <w:next w:val="Normal"/>
    <w:autoRedefine/>
    <w:uiPriority w:val="39"/>
    <w:unhideWhenUsed/>
    <w:rsid w:val="00415BFD"/>
    <w:pPr>
      <w:spacing w:after="100"/>
      <w:ind w:left="440"/>
    </w:pPr>
  </w:style>
  <w:style w:type="paragraph" w:customStyle="1" w:styleId="EndNoteBibliographyTitle">
    <w:name w:val="EndNote Bibliography Title"/>
    <w:basedOn w:val="Normal"/>
    <w:link w:val="EndNoteBibliographyTitleChar"/>
    <w:rsid w:val="00415BFD"/>
    <w:pPr>
      <w:jc w:val="center"/>
    </w:pPr>
    <w:rPr>
      <w:rFonts w:ascii="Times New Roman" w:hAnsi="Times New Roman"/>
      <w:noProof/>
      <w:sz w:val="22"/>
      <w:lang w:val="en-US"/>
    </w:rPr>
  </w:style>
  <w:style w:type="character" w:customStyle="1" w:styleId="EndNoteBibliographyTitleChar">
    <w:name w:val="EndNote Bibliography Title Char"/>
    <w:basedOn w:val="DefaultParagraphFont"/>
    <w:link w:val="EndNoteBibliographyTitle"/>
    <w:rsid w:val="00415BFD"/>
    <w:rPr>
      <w:rFonts w:eastAsia="MS PMincho"/>
      <w:noProof/>
      <w:sz w:val="22"/>
      <w:szCs w:val="22"/>
      <w:lang w:val="en-US" w:bidi="en-US"/>
    </w:rPr>
  </w:style>
  <w:style w:type="paragraph" w:customStyle="1" w:styleId="EndNoteBibliography">
    <w:name w:val="EndNote Bibliography"/>
    <w:basedOn w:val="Normal"/>
    <w:link w:val="EndNoteBibliographyChar"/>
    <w:rsid w:val="00415BFD"/>
    <w:pPr>
      <w:spacing w:line="240" w:lineRule="auto"/>
    </w:pPr>
    <w:rPr>
      <w:rFonts w:ascii="Times New Roman" w:hAnsi="Times New Roman"/>
      <w:noProof/>
      <w:sz w:val="22"/>
      <w:lang w:val="en-US"/>
    </w:rPr>
  </w:style>
  <w:style w:type="character" w:customStyle="1" w:styleId="EndNoteBibliographyChar">
    <w:name w:val="EndNote Bibliography Char"/>
    <w:basedOn w:val="DefaultParagraphFont"/>
    <w:link w:val="EndNoteBibliography"/>
    <w:rsid w:val="00415BFD"/>
    <w:rPr>
      <w:rFonts w:eastAsia="MS PMincho"/>
      <w:noProof/>
      <w:sz w:val="22"/>
      <w:szCs w:val="22"/>
      <w:lang w:val="en-US" w:bidi="en-US"/>
    </w:rPr>
  </w:style>
  <w:style w:type="character" w:styleId="PlaceholderText">
    <w:name w:val="Placeholder Text"/>
    <w:basedOn w:val="DefaultParagraphFont"/>
    <w:uiPriority w:val="99"/>
    <w:semiHidden/>
    <w:rsid w:val="00415BFD"/>
    <w:rPr>
      <w:color w:val="808080"/>
    </w:rPr>
  </w:style>
  <w:style w:type="paragraph" w:styleId="Caption">
    <w:name w:val="caption"/>
    <w:basedOn w:val="Normal"/>
    <w:next w:val="Normal"/>
    <w:uiPriority w:val="35"/>
    <w:unhideWhenUsed/>
    <w:rsid w:val="00415BFD"/>
    <w:pPr>
      <w:spacing w:after="200" w:line="240" w:lineRule="auto"/>
    </w:pPr>
    <w:rPr>
      <w:rFonts w:ascii="Cambria Math" w:hAnsi="Cambria Math"/>
      <w:bCs/>
      <w:szCs w:val="18"/>
    </w:rPr>
  </w:style>
  <w:style w:type="paragraph" w:customStyle="1" w:styleId="MyEquation">
    <w:name w:val="My Equation"/>
    <w:basedOn w:val="Normal"/>
    <w:qFormat/>
    <w:rsid w:val="00415BFD"/>
    <w:pPr>
      <w:tabs>
        <w:tab w:val="center" w:pos="1701"/>
        <w:tab w:val="right" w:pos="3402"/>
      </w:tabs>
      <w:spacing w:before="300" w:after="300"/>
      <w:jc w:val="center"/>
    </w:pPr>
    <w:rPr>
      <w:rFonts w:ascii="Cambria Math" w:hAnsi="Cambria Math"/>
      <w:lang w:bidi="ar-SA"/>
    </w:rPr>
  </w:style>
  <w:style w:type="paragraph" w:styleId="FootnoteText">
    <w:name w:val="footnote text"/>
    <w:basedOn w:val="Normal"/>
    <w:link w:val="FootnoteTextChar"/>
    <w:uiPriority w:val="99"/>
    <w:semiHidden/>
    <w:unhideWhenUsed/>
    <w:rsid w:val="00415BFD"/>
    <w:pPr>
      <w:spacing w:line="240" w:lineRule="auto"/>
    </w:pPr>
    <w:rPr>
      <w:szCs w:val="20"/>
    </w:rPr>
  </w:style>
  <w:style w:type="character" w:customStyle="1" w:styleId="FootnoteTextChar">
    <w:name w:val="Footnote Text Char"/>
    <w:basedOn w:val="DefaultParagraphFont"/>
    <w:link w:val="FootnoteText"/>
    <w:uiPriority w:val="99"/>
    <w:semiHidden/>
    <w:rsid w:val="00415BFD"/>
    <w:rPr>
      <w:rFonts w:ascii="Georgia" w:eastAsia="MS PMincho" w:hAnsi="Georgia"/>
      <w:lang w:bidi="en-US"/>
    </w:rPr>
  </w:style>
  <w:style w:type="character" w:styleId="FootnoteReference">
    <w:name w:val="footnote reference"/>
    <w:basedOn w:val="DefaultParagraphFont"/>
    <w:uiPriority w:val="99"/>
    <w:semiHidden/>
    <w:unhideWhenUsed/>
    <w:rsid w:val="00415BFD"/>
    <w:rPr>
      <w:vertAlign w:val="superscript"/>
    </w:rPr>
  </w:style>
  <w:style w:type="paragraph" w:customStyle="1" w:styleId="Footnotes">
    <w:name w:val="Footnotes"/>
    <w:basedOn w:val="Normal"/>
    <w:rsid w:val="00415BFD"/>
    <w:rPr>
      <w:sz w:val="16"/>
    </w:rPr>
  </w:style>
  <w:style w:type="table" w:styleId="MediumShading1-Accent4">
    <w:name w:val="Medium Shading 1 Accent 4"/>
    <w:basedOn w:val="TableNormal"/>
    <w:uiPriority w:val="63"/>
    <w:rsid w:val="00415B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15BFD"/>
    <w:pPr>
      <w:spacing w:before="60" w:after="60" w:line="271" w:lineRule="auto"/>
    </w:pPr>
    <w:rPr>
      <w:rFonts w:ascii="Arial" w:hAnsi="Arial"/>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val="0"/>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val="0"/>
        <w:bCs/>
      </w:rPr>
    </w:tblStylePr>
    <w:tblStylePr w:type="lastCol">
      <w:rPr>
        <w:b w:val="0"/>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Explanatorytextmargins">
    <w:name w:val="Explanatory text (margins)"/>
    <w:basedOn w:val="Normal"/>
    <w:qFormat/>
    <w:rsid w:val="00415BFD"/>
    <w:pPr>
      <w:spacing w:after="120"/>
      <w:ind w:left="284" w:right="284"/>
    </w:pPr>
    <w:rPr>
      <w:sz w:val="18"/>
    </w:rPr>
  </w:style>
  <w:style w:type="paragraph" w:customStyle="1" w:styleId="Bulletfornumbereditem">
    <w:name w:val="Bullet for numbered item"/>
    <w:basedOn w:val="ListParagraph"/>
    <w:qFormat/>
    <w:rsid w:val="00415BFD"/>
    <w:pPr>
      <w:spacing w:before="60" w:after="60"/>
      <w:ind w:left="1434" w:hanging="357"/>
    </w:pPr>
    <w:rPr>
      <w:i/>
      <w:color w:val="C00000"/>
      <w:sz w:val="18"/>
    </w:rPr>
  </w:style>
  <w:style w:type="paragraph" w:customStyle="1" w:styleId="Letterfornumbereditems">
    <w:name w:val="Letter for numbered items"/>
    <w:basedOn w:val="Bulletfornumbereditem"/>
    <w:qFormat/>
    <w:rsid w:val="00415BFD"/>
    <w:pPr>
      <w:spacing w:after="240"/>
      <w:ind w:left="1080" w:right="680" w:hanging="360"/>
    </w:pPr>
    <w:rPr>
      <w:i w:val="0"/>
      <w:color w:val="auto"/>
    </w:rPr>
  </w:style>
  <w:style w:type="table" w:styleId="LightGrid-Accent2">
    <w:name w:val="Light Grid Accent 2"/>
    <w:basedOn w:val="TableNormal"/>
    <w:uiPriority w:val="62"/>
    <w:rsid w:val="00415B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EndnoteText">
    <w:name w:val="endnote text"/>
    <w:basedOn w:val="Normal"/>
    <w:link w:val="EndnoteTextChar"/>
    <w:uiPriority w:val="99"/>
    <w:semiHidden/>
    <w:unhideWhenUsed/>
    <w:rsid w:val="00415BFD"/>
    <w:pPr>
      <w:spacing w:line="240" w:lineRule="auto"/>
    </w:pPr>
    <w:rPr>
      <w:szCs w:val="20"/>
    </w:rPr>
  </w:style>
  <w:style w:type="character" w:customStyle="1" w:styleId="EndnoteTextChar">
    <w:name w:val="Endnote Text Char"/>
    <w:basedOn w:val="DefaultParagraphFont"/>
    <w:link w:val="EndnoteText"/>
    <w:uiPriority w:val="99"/>
    <w:semiHidden/>
    <w:rsid w:val="00415BFD"/>
    <w:rPr>
      <w:rFonts w:ascii="Georgia" w:eastAsia="MS PMincho" w:hAnsi="Georgia"/>
      <w:lang w:bidi="en-US"/>
    </w:rPr>
  </w:style>
  <w:style w:type="character" w:styleId="EndnoteReference">
    <w:name w:val="endnote reference"/>
    <w:basedOn w:val="DefaultParagraphFont"/>
    <w:uiPriority w:val="99"/>
    <w:semiHidden/>
    <w:unhideWhenUsed/>
    <w:rsid w:val="00415BFD"/>
    <w:rPr>
      <w:vertAlign w:val="superscript"/>
    </w:rPr>
  </w:style>
  <w:style w:type="paragraph" w:customStyle="1" w:styleId="Myfootnotes">
    <w:name w:val="My footnotes"/>
    <w:basedOn w:val="Normal"/>
    <w:qFormat/>
    <w:rsid w:val="00415BFD"/>
    <w:pPr>
      <w:spacing w:before="180"/>
    </w:pPr>
    <w:rPr>
      <w:sz w:val="18"/>
    </w:rPr>
  </w:style>
  <w:style w:type="table" w:styleId="MediumShading1-Accent2">
    <w:name w:val="Medium Shading 1 Accent 2"/>
    <w:basedOn w:val="TableNormal"/>
    <w:uiPriority w:val="63"/>
    <w:rsid w:val="00415B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415BFD"/>
  </w:style>
  <w:style w:type="table" w:styleId="MediumShading1-Accent5">
    <w:name w:val="Medium Shading 1 Accent 5"/>
    <w:basedOn w:val="TableNormal"/>
    <w:uiPriority w:val="63"/>
    <w:rsid w:val="00415B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Heading1nonumber">
    <w:name w:val="Heading 1 (no number)"/>
    <w:basedOn w:val="Heading1"/>
    <w:qFormat/>
    <w:rsid w:val="00415BFD"/>
    <w:pPr>
      <w:numPr>
        <w:numId w:val="0"/>
      </w:numPr>
    </w:pPr>
  </w:style>
  <w:style w:type="table" w:customStyle="1" w:styleId="GridTable4-Accent11">
    <w:name w:val="Grid Table 4 - Accent 11"/>
    <w:basedOn w:val="TableNormal"/>
    <w:uiPriority w:val="49"/>
    <w:rsid w:val="00415B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1">
    <w:name w:val="List Table 21"/>
    <w:basedOn w:val="TableNormal"/>
    <w:uiPriority w:val="47"/>
    <w:rsid w:val="00415BF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Quotations">
    <w:name w:val="Quotations"/>
    <w:basedOn w:val="Normal"/>
    <w:next w:val="Normal"/>
    <w:qFormat/>
    <w:rsid w:val="00415BFD"/>
    <w:pPr>
      <w:spacing w:after="120"/>
      <w:ind w:left="284" w:right="284"/>
    </w:pPr>
    <w:rPr>
      <w:i/>
    </w:rPr>
  </w:style>
  <w:style w:type="table" w:styleId="PlainTable1">
    <w:name w:val="Plain Table 1"/>
    <w:basedOn w:val="TableNormal"/>
    <w:uiPriority w:val="41"/>
    <w:rsid w:val="00415B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gear.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yperlink" Target="http://www.epigear.com/" TargetMode="External"/><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footer" Target="footer2.xml"/><Relationship Id="rId28" Type="http://schemas.openxmlformats.org/officeDocument/2006/relationships/chart" Target="charts/chart1.xml"/><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image" Target="media/image17.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chools.thiswayup.org.au/index.php/homepage/payOnline" TargetMode="External"/><Relationship Id="rId1" Type="http://schemas.openxmlformats.org/officeDocument/2006/relationships/hyperlink" Target="http://handbook.cochrane.org/chapter_8/table_8_5_a_the_cochrane_collaborations_tool_for_assessing.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Yongz\Desktop\Dropbox\QCMHR%20(PhD)\Modelling\Prevention%20(Depression)\Sensitivity\Extrapolate%20health%20benefits\01a%20Childhood%20depression_group_indicated_psyc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ongz\Desktop\Dropbox\QCMHR%20(PhD)\Modelling\Prevention%20(Depression)\Sensitivity\Extrapolate%20health%20benefits\02%20Childhood%20depression_group_indicated_bibli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03822640956635"/>
          <c:y val="4.8938246015667652E-2"/>
          <c:w val="0.61602838891705236"/>
          <c:h val="0.74716917086945367"/>
        </c:manualLayout>
      </c:layout>
      <c:scatterChart>
        <c:scatterStyle val="lineMarker"/>
        <c:varyColors val="0"/>
        <c:ser>
          <c:idx val="0"/>
          <c:order val="0"/>
          <c:tx>
            <c:v>extrapolation</c:v>
          </c:tx>
          <c:spPr>
            <a:ln w="28575">
              <a:noFill/>
            </a:ln>
          </c:spPr>
          <c:xVal>
            <c:numRef>
              <c:f>RCT_studies!$A$77:$A$88</c:f>
              <c:numCache>
                <c:formatCode>General</c:formatCode>
                <c:ptCount val="12"/>
                <c:pt idx="0">
                  <c:v>0</c:v>
                </c:pt>
                <c:pt idx="1">
                  <c:v>0.5</c:v>
                </c:pt>
                <c:pt idx="2">
                  <c:v>1</c:v>
                </c:pt>
                <c:pt idx="3">
                  <c:v>2</c:v>
                </c:pt>
                <c:pt idx="4">
                  <c:v>3</c:v>
                </c:pt>
                <c:pt idx="5">
                  <c:v>4</c:v>
                </c:pt>
                <c:pt idx="6">
                  <c:v>5</c:v>
                </c:pt>
                <c:pt idx="7">
                  <c:v>6</c:v>
                </c:pt>
                <c:pt idx="8">
                  <c:v>7</c:v>
                </c:pt>
                <c:pt idx="9">
                  <c:v>8</c:v>
                </c:pt>
                <c:pt idx="10">
                  <c:v>9</c:v>
                </c:pt>
                <c:pt idx="11">
                  <c:v>10</c:v>
                </c:pt>
              </c:numCache>
            </c:numRef>
          </c:xVal>
          <c:yVal>
            <c:numRef>
              <c:f>RCT_studies!$C$77:$C$88</c:f>
              <c:numCache>
                <c:formatCode>0.00</c:formatCode>
                <c:ptCount val="12"/>
                <c:pt idx="0">
                  <c:v>0.27038495463581858</c:v>
                </c:pt>
                <c:pt idx="1">
                  <c:v>0.47237575156401068</c:v>
                </c:pt>
                <c:pt idx="2">
                  <c:v>0.58677525141898967</c:v>
                </c:pt>
                <c:pt idx="3">
                  <c:v>0.71176534044979656</c:v>
                </c:pt>
                <c:pt idx="4">
                  <c:v>0.77870232033463571</c:v>
                </c:pt>
                <c:pt idx="5">
                  <c:v>0.82040891142362171</c:v>
                </c:pt>
                <c:pt idx="6">
                  <c:v>0.84888803867504481</c:v>
                </c:pt>
                <c:pt idx="7">
                  <c:v>0.86957113720822032</c:v>
                </c:pt>
                <c:pt idx="8">
                  <c:v>0.88527399282537345</c:v>
                </c:pt>
                <c:pt idx="9">
                  <c:v>0.89760208932495944</c:v>
                </c:pt>
                <c:pt idx="10">
                  <c:v>0.90753778827251019</c:v>
                </c:pt>
                <c:pt idx="11">
                  <c:v>0.91571589901635186</c:v>
                </c:pt>
              </c:numCache>
            </c:numRef>
          </c:yVal>
          <c:smooth val="0"/>
        </c:ser>
        <c:ser>
          <c:idx val="1"/>
          <c:order val="1"/>
          <c:tx>
            <c:v>original</c:v>
          </c:tx>
          <c:spPr>
            <a:ln w="28575">
              <a:noFill/>
            </a:ln>
          </c:spPr>
          <c:xVal>
            <c:numRef>
              <c:f>RCT_studies!$A$77:$A$80</c:f>
              <c:numCache>
                <c:formatCode>General</c:formatCode>
                <c:ptCount val="4"/>
                <c:pt idx="0">
                  <c:v>0</c:v>
                </c:pt>
                <c:pt idx="1">
                  <c:v>0.5</c:v>
                </c:pt>
                <c:pt idx="2">
                  <c:v>1</c:v>
                </c:pt>
                <c:pt idx="3">
                  <c:v>2</c:v>
                </c:pt>
              </c:numCache>
            </c:numRef>
          </c:xVal>
          <c:yVal>
            <c:numRef>
              <c:f>RCT_studies!$B$77:$B$80</c:f>
              <c:numCache>
                <c:formatCode>0.000</c:formatCode>
                <c:ptCount val="4"/>
                <c:pt idx="0">
                  <c:v>0.32148572136788078</c:v>
                </c:pt>
                <c:pt idx="1">
                  <c:v>0.33967210912336732</c:v>
                </c:pt>
                <c:pt idx="2">
                  <c:v>0.7073767755488205</c:v>
                </c:pt>
                <c:pt idx="3">
                  <c:v>0.74178327888290629</c:v>
                </c:pt>
              </c:numCache>
            </c:numRef>
          </c:yVal>
          <c:smooth val="0"/>
        </c:ser>
        <c:dLbls>
          <c:showLegendKey val="0"/>
          <c:showVal val="0"/>
          <c:showCatName val="0"/>
          <c:showSerName val="0"/>
          <c:showPercent val="0"/>
          <c:showBubbleSize val="0"/>
        </c:dLbls>
        <c:axId val="-173967472"/>
        <c:axId val="-173965296"/>
      </c:scatterChart>
      <c:valAx>
        <c:axId val="-173967472"/>
        <c:scaling>
          <c:orientation val="minMax"/>
          <c:max val="10"/>
        </c:scaling>
        <c:delete val="0"/>
        <c:axPos val="b"/>
        <c:title>
          <c:tx>
            <c:rich>
              <a:bodyPr/>
              <a:lstStyle/>
              <a:p>
                <a:pPr>
                  <a:defRPr/>
                </a:pPr>
                <a:r>
                  <a:rPr lang="en-AU"/>
                  <a:t>Time period (years)</a:t>
                </a:r>
              </a:p>
            </c:rich>
          </c:tx>
          <c:overlay val="0"/>
        </c:title>
        <c:numFmt formatCode="General" sourceLinked="1"/>
        <c:majorTickMark val="out"/>
        <c:minorTickMark val="none"/>
        <c:tickLblPos val="nextTo"/>
        <c:crossAx val="-173965296"/>
        <c:crosses val="autoZero"/>
        <c:crossBetween val="midCat"/>
      </c:valAx>
      <c:valAx>
        <c:axId val="-173965296"/>
        <c:scaling>
          <c:orientation val="minMax"/>
        </c:scaling>
        <c:delete val="0"/>
        <c:axPos val="l"/>
        <c:majorGridlines/>
        <c:title>
          <c:tx>
            <c:rich>
              <a:bodyPr rot="-5400000" vert="horz"/>
              <a:lstStyle/>
              <a:p>
                <a:pPr>
                  <a:defRPr/>
                </a:pPr>
                <a:r>
                  <a:rPr lang="en-AU" sz="1050"/>
                  <a:t>Risk Ratio (RR)</a:t>
                </a:r>
              </a:p>
            </c:rich>
          </c:tx>
          <c:layout>
            <c:manualLayout>
              <c:xMode val="edge"/>
              <c:yMode val="edge"/>
              <c:x val="2.2678593927176516E-2"/>
              <c:y val="0.27971525058816382"/>
            </c:manualLayout>
          </c:layout>
          <c:overlay val="0"/>
        </c:title>
        <c:numFmt formatCode="0.00" sourceLinked="1"/>
        <c:majorTickMark val="out"/>
        <c:minorTickMark val="none"/>
        <c:tickLblPos val="nextTo"/>
        <c:crossAx val="-173967472"/>
        <c:crosses val="autoZero"/>
        <c:crossBetween val="midCat"/>
      </c:valAx>
    </c:plotArea>
    <c:legend>
      <c:legendPos val="r"/>
      <c:layout>
        <c:manualLayout>
          <c:xMode val="edge"/>
          <c:yMode val="edge"/>
          <c:x val="0.79906987656977435"/>
          <c:y val="0.33247931660141156"/>
          <c:w val="0.1807626940668455"/>
          <c:h val="0.15941355459122741"/>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53407791079157"/>
          <c:y val="4.8938246015667652E-2"/>
          <c:w val="0.61279587663408774"/>
          <c:h val="0.74716917086945367"/>
        </c:manualLayout>
      </c:layout>
      <c:scatterChart>
        <c:scatterStyle val="lineMarker"/>
        <c:varyColors val="0"/>
        <c:ser>
          <c:idx val="0"/>
          <c:order val="0"/>
          <c:tx>
            <c:v>extrapolation</c:v>
          </c:tx>
          <c:spPr>
            <a:ln w="28575">
              <a:noFill/>
            </a:ln>
          </c:spPr>
          <c:xVal>
            <c:numRef>
              <c:f>RCT_studies!$A$38:$A$48</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RCT_studies!$B$38:$B$48</c:f>
              <c:numCache>
                <c:formatCode>0.00</c:formatCode>
                <c:ptCount val="11"/>
                <c:pt idx="0">
                  <c:v>0.53905820481872246</c:v>
                </c:pt>
                <c:pt idx="1">
                  <c:v>0.74449409191612437</c:v>
                </c:pt>
                <c:pt idx="2">
                  <c:v>0.82326336087835661</c:v>
                </c:pt>
                <c:pt idx="3">
                  <c:v>0.86490993477436995</c:v>
                </c:pt>
                <c:pt idx="4">
                  <c:v>0.89067216395991455</c:v>
                </c:pt>
                <c:pt idx="5">
                  <c:v>0.9081821956242726</c:v>
                </c:pt>
                <c:pt idx="6">
                  <c:v>0.92085768986797234</c:v>
                </c:pt>
                <c:pt idx="7">
                  <c:v>0.93045799830655684</c:v>
                </c:pt>
                <c:pt idx="8">
                  <c:v>0.93798115545976157</c:v>
                </c:pt>
                <c:pt idx="9">
                  <c:v>0.94403548040918306</c:v>
                </c:pt>
                <c:pt idx="10">
                  <c:v>0.94901288031256981</c:v>
                </c:pt>
              </c:numCache>
            </c:numRef>
          </c:yVal>
          <c:smooth val="0"/>
        </c:ser>
        <c:ser>
          <c:idx val="1"/>
          <c:order val="1"/>
          <c:tx>
            <c:v>original</c:v>
          </c:tx>
          <c:spPr>
            <a:ln w="28575">
              <a:noFill/>
            </a:ln>
          </c:spPr>
          <c:xVal>
            <c:numRef>
              <c:f>RCT_studies!$A$38</c:f>
              <c:numCache>
                <c:formatCode>General</c:formatCode>
                <c:ptCount val="1"/>
                <c:pt idx="0">
                  <c:v>0</c:v>
                </c:pt>
              </c:numCache>
            </c:numRef>
          </c:xVal>
          <c:yVal>
            <c:numRef>
              <c:f>RCT_studies!$B$38</c:f>
              <c:numCache>
                <c:formatCode>0.00</c:formatCode>
                <c:ptCount val="1"/>
                <c:pt idx="0">
                  <c:v>0.53905820481872246</c:v>
                </c:pt>
              </c:numCache>
            </c:numRef>
          </c:yVal>
          <c:smooth val="0"/>
        </c:ser>
        <c:dLbls>
          <c:showLegendKey val="0"/>
          <c:showVal val="0"/>
          <c:showCatName val="0"/>
          <c:showSerName val="0"/>
          <c:showPercent val="0"/>
          <c:showBubbleSize val="0"/>
        </c:dLbls>
        <c:axId val="-767208224"/>
        <c:axId val="-767204416"/>
      </c:scatterChart>
      <c:valAx>
        <c:axId val="-767208224"/>
        <c:scaling>
          <c:orientation val="minMax"/>
        </c:scaling>
        <c:delete val="0"/>
        <c:axPos val="b"/>
        <c:title>
          <c:tx>
            <c:rich>
              <a:bodyPr/>
              <a:lstStyle/>
              <a:p>
                <a:pPr>
                  <a:defRPr/>
                </a:pPr>
                <a:r>
                  <a:rPr lang="en-AU" sz="1000"/>
                  <a:t>Time period (years)</a:t>
                </a:r>
              </a:p>
            </c:rich>
          </c:tx>
          <c:overlay val="0"/>
        </c:title>
        <c:numFmt formatCode="General" sourceLinked="1"/>
        <c:majorTickMark val="out"/>
        <c:minorTickMark val="none"/>
        <c:tickLblPos val="nextTo"/>
        <c:crossAx val="-767204416"/>
        <c:crossesAt val="0"/>
        <c:crossBetween val="midCat"/>
      </c:valAx>
      <c:valAx>
        <c:axId val="-767204416"/>
        <c:scaling>
          <c:orientation val="minMax"/>
          <c:max val="1"/>
          <c:min val="0"/>
        </c:scaling>
        <c:delete val="0"/>
        <c:axPos val="l"/>
        <c:majorGridlines/>
        <c:title>
          <c:tx>
            <c:rich>
              <a:bodyPr rot="-5400000" vert="horz"/>
              <a:lstStyle/>
              <a:p>
                <a:pPr>
                  <a:defRPr/>
                </a:pPr>
                <a:r>
                  <a:rPr lang="en-AU" sz="1000"/>
                  <a:t>Risk</a:t>
                </a:r>
                <a:r>
                  <a:rPr lang="en-AU" sz="1000" baseline="0"/>
                  <a:t> Ratio (RR)</a:t>
                </a:r>
                <a:endParaRPr lang="en-AU" sz="1000"/>
              </a:p>
            </c:rich>
          </c:tx>
          <c:layout>
            <c:manualLayout>
              <c:xMode val="edge"/>
              <c:yMode val="edge"/>
              <c:x val="2.7725848411596591E-2"/>
              <c:y val="0.27997499761261924"/>
            </c:manualLayout>
          </c:layout>
          <c:overlay val="0"/>
        </c:title>
        <c:numFmt formatCode="0.00" sourceLinked="1"/>
        <c:majorTickMark val="out"/>
        <c:minorTickMark val="none"/>
        <c:tickLblPos val="nextTo"/>
        <c:crossAx val="-767208224"/>
        <c:crosses val="autoZero"/>
        <c:crossBetween val="midCat"/>
      </c:valAx>
    </c:plotArea>
    <c:legend>
      <c:legendPos val="r"/>
      <c:layout>
        <c:manualLayout>
          <c:xMode val="edge"/>
          <c:yMode val="edge"/>
          <c:x val="0.8135084841884419"/>
          <c:y val="0.36485654509227544"/>
          <c:w val="0.17209151671864459"/>
          <c:h val="0.1546924445869465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28714</Words>
  <Characters>163676</Characters>
  <Application>Microsoft Office Word</Application>
  <DocSecurity>8</DocSecurity>
  <Lines>1363</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Yi Lee</dc:creator>
  <cp:keywords/>
  <dc:description/>
  <cp:lastModifiedBy>Yong Yi Lee</cp:lastModifiedBy>
  <cp:revision>2</cp:revision>
  <dcterms:created xsi:type="dcterms:W3CDTF">2016-05-26T13:20:00Z</dcterms:created>
  <dcterms:modified xsi:type="dcterms:W3CDTF">2016-05-26T13:21:00Z</dcterms:modified>
</cp:coreProperties>
</file>