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19" w:rsidRDefault="00B44519" w:rsidP="00B44519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Supporting information</w:t>
      </w:r>
    </w:p>
    <w:p w:rsidR="00B44519" w:rsidRDefault="00B44519" w:rsidP="00B44519">
      <w:pPr>
        <w:rPr>
          <w:rFonts w:asciiTheme="minorHAnsi" w:hAnsiTheme="minorHAnsi"/>
          <w:b/>
          <w:lang w:val="en-US"/>
        </w:rPr>
      </w:pPr>
    </w:p>
    <w:p w:rsidR="00B44519" w:rsidRPr="00FF1C21" w:rsidRDefault="00B44519" w:rsidP="00B44519">
      <w:pPr>
        <w:pStyle w:val="Descripcin"/>
        <w:jc w:val="both"/>
        <w:rPr>
          <w:color w:val="auto"/>
          <w:sz w:val="22"/>
          <w:szCs w:val="22"/>
          <w:lang w:val="en-US"/>
        </w:rPr>
      </w:pPr>
      <w:r w:rsidRPr="00FF1C21">
        <w:rPr>
          <w:color w:val="auto"/>
          <w:sz w:val="22"/>
          <w:szCs w:val="22"/>
          <w:lang w:val="en-US"/>
        </w:rPr>
        <w:t xml:space="preserve">Table </w:t>
      </w:r>
      <w:r w:rsidRPr="00362A1A">
        <w:rPr>
          <w:color w:val="auto"/>
          <w:sz w:val="22"/>
          <w:szCs w:val="22"/>
        </w:rPr>
        <w:fldChar w:fldCharType="begin"/>
      </w:r>
      <w:r w:rsidRPr="00FF1C21">
        <w:rPr>
          <w:color w:val="auto"/>
          <w:sz w:val="22"/>
          <w:szCs w:val="22"/>
          <w:lang w:val="en-US"/>
        </w:rPr>
        <w:instrText xml:space="preserve"> SEQ Table \* ARABIC </w:instrText>
      </w:r>
      <w:r w:rsidRPr="00362A1A">
        <w:rPr>
          <w:color w:val="auto"/>
          <w:sz w:val="22"/>
          <w:szCs w:val="22"/>
        </w:rPr>
        <w:fldChar w:fldCharType="separate"/>
      </w:r>
      <w:r w:rsidRPr="00FF1C21">
        <w:rPr>
          <w:noProof/>
          <w:color w:val="auto"/>
          <w:sz w:val="22"/>
          <w:szCs w:val="22"/>
          <w:lang w:val="en-US"/>
        </w:rPr>
        <w:t>3</w:t>
      </w:r>
      <w:r w:rsidRPr="00362A1A">
        <w:rPr>
          <w:color w:val="auto"/>
          <w:sz w:val="22"/>
          <w:szCs w:val="22"/>
        </w:rPr>
        <w:fldChar w:fldCharType="end"/>
      </w:r>
      <w:r w:rsidRPr="00FF1C21">
        <w:rPr>
          <w:color w:val="auto"/>
          <w:sz w:val="22"/>
          <w:szCs w:val="22"/>
          <w:lang w:val="en-US"/>
        </w:rPr>
        <w:t xml:space="preserve">. Glossary of terms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44519" w:rsidRPr="00C5514E" w:rsidTr="000B0A32">
        <w:tc>
          <w:tcPr>
            <w:tcW w:w="1980" w:type="dxa"/>
          </w:tcPr>
          <w:p w:rsidR="00B44519" w:rsidRDefault="00B44519" w:rsidP="000B0A32">
            <w:pPr>
              <w:spacing w:after="0"/>
              <w:jc w:val="center"/>
            </w:pPr>
            <w:r>
              <w:t>TERM</w:t>
            </w:r>
          </w:p>
        </w:tc>
        <w:tc>
          <w:tcPr>
            <w:tcW w:w="6514" w:type="dxa"/>
          </w:tcPr>
          <w:p w:rsidR="00B44519" w:rsidRPr="00C5514E" w:rsidRDefault="00B44519" w:rsidP="000B0A3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OPERATIONAL DEFINITION </w:t>
            </w:r>
          </w:p>
        </w:tc>
      </w:tr>
      <w:tr w:rsidR="00B44519" w:rsidRPr="00B14F80" w:rsidTr="000B0A32">
        <w:tc>
          <w:tcPr>
            <w:tcW w:w="1980" w:type="dxa"/>
          </w:tcPr>
          <w:p w:rsidR="00B44519" w:rsidRPr="00C5514E" w:rsidRDefault="00B44519" w:rsidP="000B0A32">
            <w:pPr>
              <w:rPr>
                <w:lang w:val="en-US"/>
              </w:rPr>
            </w:pPr>
            <w:r>
              <w:rPr>
                <w:lang w:val="en-US"/>
              </w:rPr>
              <w:t>Hospital</w:t>
            </w:r>
          </w:p>
        </w:tc>
        <w:tc>
          <w:tcPr>
            <w:tcW w:w="6514" w:type="dxa"/>
          </w:tcPr>
          <w:p w:rsidR="00B44519" w:rsidRPr="00B40612" w:rsidRDefault="00B44519" w:rsidP="000B0A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0612">
              <w:rPr>
                <w:rFonts w:ascii="Arial" w:hAnsi="Arial" w:cs="Arial"/>
                <w:sz w:val="20"/>
                <w:szCs w:val="20"/>
                <w:lang w:val="en-GB"/>
              </w:rPr>
              <w:t xml:space="preserve">Hospitals are </w:t>
            </w:r>
            <w:proofErr w:type="spellStart"/>
            <w:r w:rsidRPr="00B40612">
              <w:rPr>
                <w:rFonts w:ascii="Arial" w:hAnsi="Arial" w:cs="Arial"/>
                <w:sz w:val="20"/>
                <w:szCs w:val="20"/>
                <w:lang w:val="en-GB"/>
              </w:rPr>
              <w:t>meso</w:t>
            </w:r>
            <w:proofErr w:type="spellEnd"/>
            <w:r w:rsidRPr="00B40612">
              <w:rPr>
                <w:rFonts w:ascii="Arial" w:hAnsi="Arial" w:cs="Arial"/>
                <w:sz w:val="20"/>
                <w:szCs w:val="20"/>
                <w:lang w:val="en-GB"/>
              </w:rPr>
              <w:t>-organisations with a legal recognition in most countries. In those countries where there is no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40612">
              <w:rPr>
                <w:rFonts w:ascii="Arial" w:hAnsi="Arial" w:cs="Arial"/>
                <w:sz w:val="20"/>
                <w:szCs w:val="20"/>
                <w:lang w:val="en-GB"/>
              </w:rPr>
              <w:t>legal basis for deciding what are hospital services and in those cases where doubt exists, services should be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40612">
              <w:rPr>
                <w:rFonts w:ascii="Arial" w:hAnsi="Arial" w:cs="Arial"/>
                <w:sz w:val="20"/>
                <w:szCs w:val="20"/>
                <w:lang w:val="en-GB"/>
              </w:rPr>
              <w:t>classified as hospital if they have more than 20 beds and 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 hours’ resident physician cover.</w:t>
            </w:r>
          </w:p>
        </w:tc>
      </w:tr>
      <w:tr w:rsidR="00B44519" w:rsidRPr="00B14F80" w:rsidTr="000B0A32">
        <w:tc>
          <w:tcPr>
            <w:tcW w:w="1980" w:type="dxa"/>
          </w:tcPr>
          <w:p w:rsidR="00B44519" w:rsidRPr="00C5514E" w:rsidRDefault="00B44519" w:rsidP="000B0A32">
            <w:pPr>
              <w:rPr>
                <w:lang w:val="en-US"/>
              </w:rPr>
            </w:pPr>
            <w:r>
              <w:rPr>
                <w:lang w:val="en-US"/>
              </w:rPr>
              <w:t>Acute care</w:t>
            </w:r>
          </w:p>
        </w:tc>
        <w:tc>
          <w:tcPr>
            <w:tcW w:w="6514" w:type="dxa"/>
          </w:tcPr>
          <w:p w:rsidR="00B44519" w:rsidRPr="00C5514E" w:rsidRDefault="00B44519" w:rsidP="000B0A32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proofErr w:type="spellStart"/>
            <w:r w:rsidRPr="00B220C5">
              <w:rPr>
                <w:rFonts w:ascii="Arial" w:hAnsi="Arial" w:cs="Arial"/>
                <w:sz w:val="20"/>
                <w:szCs w:val="20"/>
                <w:lang w:val="en-GB"/>
              </w:rPr>
              <w:t>mergency</w:t>
            </w:r>
            <w:proofErr w:type="spellEnd"/>
            <w:r w:rsidRPr="005715A2">
              <w:rPr>
                <w:rFonts w:ascii="Arial" w:hAnsi="Arial" w:cs="Arial"/>
                <w:sz w:val="20"/>
                <w:szCs w:val="20"/>
                <w:lang w:val="en-GB"/>
              </w:rPr>
              <w:t xml:space="preserve"> facilities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that</w:t>
            </w:r>
            <w:r w:rsidRPr="005715A2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715A2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5715A2">
              <w:rPr>
                <w:rFonts w:ascii="Arial" w:hAnsi="Arial" w:cs="Arial"/>
                <w:sz w:val="20"/>
                <w:szCs w:val="20"/>
                <w:lang w:val="en-GB"/>
              </w:rPr>
              <w:t xml:space="preserve">) provide assessment and initial treatment in response to a crisis, deterioration in physical or mental state, behaviour or social functioning </w:t>
            </w:r>
            <w:proofErr w:type="gramStart"/>
            <w:r w:rsidRPr="005715A2">
              <w:rPr>
                <w:rFonts w:ascii="Arial" w:hAnsi="Arial" w:cs="Arial"/>
                <w:sz w:val="20"/>
                <w:szCs w:val="20"/>
                <w:lang w:val="en-GB"/>
              </w:rPr>
              <w:t>which</w:t>
            </w:r>
            <w:proofErr w:type="gramEnd"/>
            <w:r w:rsidRPr="005715A2">
              <w:rPr>
                <w:rFonts w:ascii="Arial" w:hAnsi="Arial" w:cs="Arial"/>
                <w:sz w:val="20"/>
                <w:szCs w:val="20"/>
                <w:lang w:val="en-GB"/>
              </w:rPr>
              <w:t xml:space="preserve"> is related to the condition; and (ii) can usually provide a same day response during working hours. </w:t>
            </w:r>
            <w:r w:rsidRPr="00875078">
              <w:rPr>
                <w:rFonts w:ascii="Arial" w:hAnsi="Arial" w:cs="Arial"/>
                <w:sz w:val="20"/>
                <w:szCs w:val="20"/>
                <w:lang w:val="en-GB"/>
              </w:rPr>
              <w:t xml:space="preserve">At least 20% of the users in the last twelve months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 </w:t>
            </w:r>
            <w:r w:rsidRPr="00875078">
              <w:rPr>
                <w:rFonts w:ascii="Arial" w:hAnsi="Arial" w:cs="Arial"/>
                <w:sz w:val="20"/>
                <w:szCs w:val="20"/>
                <w:lang w:val="en-GB"/>
              </w:rPr>
              <w:t>meet the criteria for acute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care.</w:t>
            </w:r>
          </w:p>
        </w:tc>
      </w:tr>
      <w:tr w:rsidR="00B44519" w:rsidRPr="00B14F80" w:rsidTr="000B0A32">
        <w:tc>
          <w:tcPr>
            <w:tcW w:w="1980" w:type="dxa"/>
          </w:tcPr>
          <w:p w:rsidR="00B44519" w:rsidRPr="00C5514E" w:rsidRDefault="00B44519" w:rsidP="000B0A32">
            <w:pPr>
              <w:rPr>
                <w:lang w:val="en-US"/>
              </w:rPr>
            </w:pPr>
            <w:r>
              <w:rPr>
                <w:lang w:val="en-US"/>
              </w:rPr>
              <w:t>Residential care</w:t>
            </w:r>
          </w:p>
        </w:tc>
        <w:tc>
          <w:tcPr>
            <w:tcW w:w="6514" w:type="dxa"/>
          </w:tcPr>
          <w:p w:rsidR="00B44519" w:rsidRPr="00C5514E" w:rsidRDefault="00B44519" w:rsidP="000B0A32">
            <w:pPr>
              <w:spacing w:after="0"/>
              <w:jc w:val="both"/>
              <w:rPr>
                <w:lang w:val="en-US"/>
              </w:rPr>
            </w:pPr>
            <w:r w:rsidRPr="005715A2">
              <w:rPr>
                <w:rFonts w:ascii="Arial" w:hAnsi="Arial" w:cs="Arial"/>
                <w:sz w:val="20"/>
                <w:szCs w:val="20"/>
                <w:lang w:val="en-GB"/>
              </w:rPr>
              <w:t xml:space="preserve">Facilities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that</w:t>
            </w:r>
            <w:r w:rsidRPr="005715A2">
              <w:rPr>
                <w:rFonts w:ascii="Arial" w:hAnsi="Arial" w:cs="Arial"/>
                <w:sz w:val="20"/>
                <w:szCs w:val="20"/>
                <w:lang w:val="en-GB"/>
              </w:rPr>
              <w:t xml:space="preserve"> provide beds overnight for users for a purpose related to the clinical and social management of their health condition - users do not make use of such services simply because they are homeless or unable to reach home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B44519" w:rsidRPr="00B14F80" w:rsidTr="000B0A32">
        <w:tc>
          <w:tcPr>
            <w:tcW w:w="1980" w:type="dxa"/>
          </w:tcPr>
          <w:p w:rsidR="00B44519" w:rsidRPr="00C5514E" w:rsidRDefault="00B44519" w:rsidP="000B0A32">
            <w:pPr>
              <w:rPr>
                <w:lang w:val="en-US"/>
              </w:rPr>
            </w:pPr>
            <w:r>
              <w:rPr>
                <w:lang w:val="en-US"/>
              </w:rPr>
              <w:t>Mobile care</w:t>
            </w:r>
          </w:p>
        </w:tc>
        <w:tc>
          <w:tcPr>
            <w:tcW w:w="6514" w:type="dxa"/>
          </w:tcPr>
          <w:p w:rsidR="00B44519" w:rsidRPr="00B40612" w:rsidRDefault="00B44519" w:rsidP="000B0A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 these</w:t>
            </w:r>
            <w:r w:rsidRPr="00B406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40612">
              <w:rPr>
                <w:rFonts w:ascii="Arial" w:hAnsi="Arial" w:cs="Arial"/>
                <w:sz w:val="20"/>
                <w:szCs w:val="20"/>
                <w:lang w:val="en-GB"/>
              </w:rPr>
              <w:t>facilities</w:t>
            </w:r>
            <w:proofErr w:type="gramEnd"/>
            <w:r w:rsidRPr="00B40612">
              <w:rPr>
                <w:rFonts w:ascii="Arial" w:hAnsi="Arial" w:cs="Arial"/>
                <w:sz w:val="20"/>
                <w:szCs w:val="20"/>
                <w:lang w:val="en-GB"/>
              </w:rPr>
              <w:t xml:space="preserve"> contact with users occurs in a range of settings including users’ homes, as judged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40612">
              <w:rPr>
                <w:rFonts w:ascii="Arial" w:hAnsi="Arial" w:cs="Arial"/>
                <w:sz w:val="20"/>
                <w:szCs w:val="20"/>
                <w:lang w:val="en-GB"/>
              </w:rPr>
              <w:t>most appropriate by professionals and users. For a service to be classified as ‘home &amp; mobile’, at least 50%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40612">
              <w:rPr>
                <w:rFonts w:ascii="Arial" w:hAnsi="Arial" w:cs="Arial"/>
                <w:sz w:val="20"/>
                <w:szCs w:val="20"/>
                <w:lang w:val="en-GB"/>
              </w:rPr>
              <w:t>of contacts should take place away from the premises at which the service is based.</w:t>
            </w:r>
          </w:p>
        </w:tc>
      </w:tr>
      <w:tr w:rsidR="00B44519" w:rsidRPr="00B14F80" w:rsidTr="000B0A32">
        <w:tc>
          <w:tcPr>
            <w:tcW w:w="1980" w:type="dxa"/>
          </w:tcPr>
          <w:p w:rsidR="00B44519" w:rsidRPr="00C5514E" w:rsidRDefault="00B44519" w:rsidP="000B0A32">
            <w:pPr>
              <w:rPr>
                <w:lang w:val="en-US"/>
              </w:rPr>
            </w:pPr>
            <w:r>
              <w:rPr>
                <w:lang w:val="en-US"/>
              </w:rPr>
              <w:t>Outpatient care</w:t>
            </w:r>
          </w:p>
        </w:tc>
        <w:tc>
          <w:tcPr>
            <w:tcW w:w="6514" w:type="dxa"/>
          </w:tcPr>
          <w:p w:rsidR="00B44519" w:rsidRPr="00C5514E" w:rsidRDefault="00B44519" w:rsidP="000B0A32">
            <w:pPr>
              <w:spacing w:after="0"/>
              <w:jc w:val="both"/>
              <w:rPr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F</w:t>
            </w:r>
            <w:proofErr w:type="spellStart"/>
            <w:r w:rsidRPr="005715A2">
              <w:rPr>
                <w:rFonts w:ascii="Arial" w:hAnsi="Arial" w:cs="Arial"/>
                <w:iCs/>
                <w:sz w:val="20"/>
                <w:szCs w:val="20"/>
                <w:lang w:val="en-GB"/>
              </w:rPr>
              <w:t>acilities</w:t>
            </w:r>
            <w:proofErr w:type="spellEnd"/>
            <w:r w:rsidRPr="005715A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that</w:t>
            </w:r>
            <w:r w:rsidRPr="005715A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715A2">
              <w:rPr>
                <w:rFonts w:ascii="Arial" w:hAnsi="Arial" w:cs="Arial"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5715A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) involve contact between staff and users for some purpose related to management of their condition and its associated clinical and social difficulties and </w:t>
            </w:r>
            <w:proofErr w:type="gramStart"/>
            <w:r w:rsidRPr="005715A2">
              <w:rPr>
                <w:rFonts w:ascii="Arial" w:hAnsi="Arial" w:cs="Arial"/>
                <w:iCs/>
                <w:sz w:val="20"/>
                <w:szCs w:val="20"/>
                <w:lang w:val="en-GB"/>
              </w:rPr>
              <w:t>(ii) are not provided</w:t>
            </w:r>
            <w:proofErr w:type="gramEnd"/>
            <w:r w:rsidRPr="005715A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as a part of delivery of residential or day services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B44519" w:rsidRPr="00B14F80" w:rsidTr="000B0A32">
        <w:tc>
          <w:tcPr>
            <w:tcW w:w="1980" w:type="dxa"/>
          </w:tcPr>
          <w:p w:rsidR="00B44519" w:rsidRDefault="00B44519" w:rsidP="000B0A32">
            <w:pPr>
              <w:rPr>
                <w:lang w:val="en-US"/>
              </w:rPr>
            </w:pPr>
            <w:r>
              <w:rPr>
                <w:lang w:val="en-US"/>
              </w:rPr>
              <w:t>Day care</w:t>
            </w:r>
          </w:p>
        </w:tc>
        <w:tc>
          <w:tcPr>
            <w:tcW w:w="6514" w:type="dxa"/>
          </w:tcPr>
          <w:p w:rsidR="00B44519" w:rsidRPr="00C5514E" w:rsidRDefault="00B44519" w:rsidP="000B0A32">
            <w:pPr>
              <w:spacing w:after="0"/>
              <w:jc w:val="both"/>
              <w:rPr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F</w:t>
            </w:r>
            <w:proofErr w:type="spellStart"/>
            <w:r w:rsidRPr="00393C72">
              <w:rPr>
                <w:rFonts w:ascii="Arial" w:hAnsi="Arial" w:cs="Arial"/>
                <w:iCs/>
                <w:sz w:val="20"/>
                <w:szCs w:val="20"/>
                <w:lang w:val="en-GB"/>
              </w:rPr>
              <w:t>acilities</w:t>
            </w:r>
            <w:proofErr w:type="spellEnd"/>
            <w:r w:rsidRPr="00393C7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that</w:t>
            </w:r>
            <w:r w:rsidRPr="00393C7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393C72">
              <w:rPr>
                <w:rFonts w:ascii="Arial" w:hAnsi="Arial" w:cs="Arial"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393C72">
              <w:rPr>
                <w:rFonts w:ascii="Arial" w:hAnsi="Arial" w:cs="Arial"/>
                <w:iCs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r w:rsidRPr="00393C72">
              <w:rPr>
                <w:rFonts w:ascii="Arial" w:hAnsi="Arial" w:cs="Arial"/>
                <w:iCs/>
                <w:sz w:val="20"/>
                <w:szCs w:val="20"/>
                <w:lang w:val="en-GB"/>
              </w:rPr>
              <w:t>are normally available to several users</w:t>
            </w:r>
            <w:r w:rsidRPr="00875078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; (ii) provide some combination of treatment for 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needs</w:t>
            </w:r>
            <w:r w:rsidRPr="00875078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r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elated to MH problems; </w:t>
            </w:r>
            <w:r w:rsidRPr="00875078">
              <w:rPr>
                <w:rFonts w:ascii="Arial" w:hAnsi="Arial" w:cs="Arial"/>
                <w:iCs/>
                <w:sz w:val="20"/>
                <w:szCs w:val="20"/>
                <w:lang w:val="en-GB"/>
              </w:rPr>
              <w:t>(iii) have regular opening hours during wh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ich they are normally available;</w:t>
            </w:r>
            <w:r w:rsidRPr="00875078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and (iv) expect service users to stay at the facilities beyond the periods during which they have face-to-face contact with staff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B44519" w:rsidRPr="00B14F80" w:rsidTr="000B0A32">
        <w:tc>
          <w:tcPr>
            <w:tcW w:w="1980" w:type="dxa"/>
          </w:tcPr>
          <w:p w:rsidR="00B44519" w:rsidRPr="00C5514E" w:rsidRDefault="00B44519" w:rsidP="000B0A32">
            <w:pPr>
              <w:rPr>
                <w:lang w:val="en-US"/>
              </w:rPr>
            </w:pPr>
            <w:r>
              <w:rPr>
                <w:lang w:val="en-US"/>
              </w:rPr>
              <w:t>Health related</w:t>
            </w:r>
          </w:p>
        </w:tc>
        <w:tc>
          <w:tcPr>
            <w:tcW w:w="6514" w:type="dxa"/>
          </w:tcPr>
          <w:p w:rsidR="00B44519" w:rsidRPr="000302DA" w:rsidRDefault="00B44519" w:rsidP="000B0A3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Services</w:t>
            </w:r>
            <w:r w:rsidRPr="000302D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0302DA">
              <w:rPr>
                <w:rFonts w:ascii="Arial" w:hAnsi="Arial" w:cs="Arial"/>
                <w:sz w:val="20"/>
                <w:szCs w:val="20"/>
                <w:lang w:val="en-GB"/>
              </w:rPr>
              <w:t>wh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ose</w:t>
            </w:r>
            <w:r w:rsidRPr="000302DA">
              <w:rPr>
                <w:rFonts w:ascii="Arial" w:hAnsi="Arial" w:cs="Arial"/>
                <w:sz w:val="20"/>
                <w:szCs w:val="20"/>
                <w:lang w:val="en-GB"/>
              </w:rPr>
              <w:t xml:space="preserve"> main goal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 the specific clinical care </w:t>
            </w:r>
            <w:r w:rsidRPr="000302DA">
              <w:rPr>
                <w:rFonts w:ascii="Arial" w:hAnsi="Arial" w:cs="Arial"/>
                <w:sz w:val="20"/>
                <w:szCs w:val="20"/>
                <w:lang w:val="en-GB"/>
              </w:rPr>
              <w:t xml:space="preserve">and where some of the staff is qualified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 </w:t>
            </w:r>
            <w:r w:rsidRPr="000302DA">
              <w:rPr>
                <w:rFonts w:ascii="Arial" w:hAnsi="Arial" w:cs="Arial"/>
                <w:sz w:val="20"/>
                <w:szCs w:val="20"/>
                <w:lang w:val="en-GB"/>
              </w:rPr>
              <w:t>health care professionals (Medicine, Nursing, Physiotherapy, Rehabilitation Medicine and Psychology)</w:t>
            </w:r>
            <w:proofErr w:type="gramEnd"/>
            <w:r w:rsidRPr="000302D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B44519" w:rsidRPr="00B14F80" w:rsidTr="000B0A32">
        <w:tc>
          <w:tcPr>
            <w:tcW w:w="1980" w:type="dxa"/>
          </w:tcPr>
          <w:p w:rsidR="00B44519" w:rsidRPr="00C5514E" w:rsidRDefault="00B44519" w:rsidP="000B0A32">
            <w:pPr>
              <w:rPr>
                <w:lang w:val="en-US"/>
              </w:rPr>
            </w:pPr>
            <w:r>
              <w:rPr>
                <w:lang w:val="en-US"/>
              </w:rPr>
              <w:t>High intensity</w:t>
            </w:r>
          </w:p>
        </w:tc>
        <w:tc>
          <w:tcPr>
            <w:tcW w:w="6514" w:type="dxa"/>
          </w:tcPr>
          <w:p w:rsidR="00B44519" w:rsidRDefault="00B44519" w:rsidP="000B0A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Outpatient care: </w:t>
            </w:r>
            <w:r w:rsidRPr="005715A2">
              <w:rPr>
                <w:rFonts w:ascii="Arial" w:hAnsi="Arial" w:cs="Arial"/>
                <w:sz w:val="20"/>
                <w:szCs w:val="20"/>
                <w:lang w:val="en-GB"/>
              </w:rPr>
              <w:t>facilities which have the capacity to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make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face to face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contact with </w:t>
            </w:r>
            <w:r w:rsidRPr="005715A2">
              <w:rPr>
                <w:rFonts w:ascii="Arial" w:hAnsi="Arial" w:cs="Arial"/>
                <w:sz w:val="20"/>
                <w:szCs w:val="20"/>
                <w:lang w:val="en-GB"/>
              </w:rPr>
              <w:t>users at least three times per week when clinically indicated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for outpatient care</w:t>
            </w:r>
            <w:r w:rsidRPr="005715A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B44519" w:rsidRDefault="00B44519" w:rsidP="000B0A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Day care: admission is usually available within 72 hours. </w:t>
            </w:r>
          </w:p>
          <w:p w:rsidR="00B44519" w:rsidRPr="000302DA" w:rsidRDefault="00B44519" w:rsidP="000B0A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Residential care: </w:t>
            </w:r>
            <w:r w:rsidRPr="00C80202">
              <w:rPr>
                <w:rFonts w:ascii="Arial" w:hAnsi="Arial" w:cs="Arial"/>
                <w:sz w:val="20"/>
                <w:szCs w:val="20"/>
                <w:lang w:val="en-GB"/>
              </w:rPr>
              <w:t xml:space="preserve">continuous surveillance during 24-hours a day, and/or special isolation measures. </w:t>
            </w:r>
          </w:p>
        </w:tc>
      </w:tr>
    </w:tbl>
    <w:p w:rsidR="00B44519" w:rsidRPr="00774753" w:rsidRDefault="00B44519" w:rsidP="00B44519">
      <w:pPr>
        <w:rPr>
          <w:sz w:val="18"/>
          <w:szCs w:val="18"/>
          <w:lang w:val="en-US"/>
        </w:rPr>
      </w:pPr>
      <w:r w:rsidRPr="00774753">
        <w:rPr>
          <w:sz w:val="18"/>
          <w:szCs w:val="18"/>
          <w:lang w:val="en-US"/>
        </w:rPr>
        <w:t xml:space="preserve">Source: DESDE-LTC classification system </w:t>
      </w:r>
      <w:r w:rsidR="00774753" w:rsidRPr="00774753">
        <w:rPr>
          <w:sz w:val="18"/>
          <w:szCs w:val="18"/>
          <w:lang w:val="en-US"/>
        </w:rPr>
        <w:t>(Salvador-Carulla et al, 2011)</w:t>
      </w:r>
    </w:p>
    <w:p w:rsidR="00B44519" w:rsidRDefault="00B44519" w:rsidP="00B44519">
      <w:pPr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2062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B44519" w:rsidRPr="00B14F80" w:rsidTr="000B0A32"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480" w:lineRule="auto"/>
              <w:jc w:val="both"/>
              <w:rPr>
                <w:b/>
                <w:smallCaps/>
                <w:lang w:val="en-US"/>
              </w:rPr>
            </w:pPr>
            <w:r w:rsidRPr="00512456">
              <w:rPr>
                <w:rFonts w:eastAsia="Times New Roman"/>
                <w:b/>
                <w:color w:val="000000"/>
                <w:lang w:val="en-US" w:eastAsia="es-ES"/>
              </w:rPr>
              <w:lastRenderedPageBreak/>
              <w:t xml:space="preserve">Table 4. </w:t>
            </w:r>
            <w:r>
              <w:rPr>
                <w:rFonts w:eastAsia="Times New Roman"/>
                <w:b/>
                <w:color w:val="000000"/>
                <w:lang w:val="en-US" w:eastAsia="es-ES"/>
              </w:rPr>
              <w:t>List of disaggregated MTCs for Residential care (R), Day care (D) and Outpatient care (O) of the DESDE-LTC classification system</w:t>
            </w:r>
          </w:p>
        </w:tc>
      </w:tr>
      <w:tr w:rsidR="00B44519" w:rsidTr="000B0A3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44519" w:rsidRPr="003C45A3" w:rsidRDefault="00B44519" w:rsidP="000B0A32">
            <w:pPr>
              <w:spacing w:after="0" w:line="240" w:lineRule="auto"/>
              <w:jc w:val="center"/>
              <w:rPr>
                <w:b/>
                <w:smallCaps/>
                <w:lang w:val="en-US"/>
              </w:rPr>
            </w:pPr>
            <w:r w:rsidRPr="003C45A3">
              <w:rPr>
                <w:b/>
                <w:smallCaps/>
                <w:lang w:val="en-US"/>
              </w:rPr>
              <w:t>Residential care</w:t>
            </w:r>
          </w:p>
        </w:tc>
      </w:tr>
      <w:tr w:rsidR="00B44519" w:rsidTr="000B0A32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44519" w:rsidRPr="003C45A3" w:rsidRDefault="00B44519" w:rsidP="000B0A32">
            <w:pPr>
              <w:spacing w:after="0" w:line="240" w:lineRule="auto"/>
              <w:rPr>
                <w:smallCaps/>
                <w:lang w:val="en-US"/>
              </w:rPr>
            </w:pPr>
            <w:r w:rsidRPr="003C45A3">
              <w:rPr>
                <w:rFonts w:eastAsia="Times New Roman"/>
                <w:b/>
                <w:bCs/>
                <w:smallCaps/>
                <w:color w:val="000000"/>
                <w:sz w:val="20"/>
                <w:szCs w:val="20"/>
                <w:highlight w:val="lightGray"/>
                <w:lang w:eastAsia="es-ES"/>
              </w:rPr>
              <w:t xml:space="preserve">DESDE-LTC </w:t>
            </w:r>
            <w:proofErr w:type="spellStart"/>
            <w:r w:rsidRPr="003C45A3">
              <w:rPr>
                <w:rFonts w:eastAsia="Times New Roman"/>
                <w:b/>
                <w:bCs/>
                <w:smallCaps/>
                <w:color w:val="000000"/>
                <w:sz w:val="20"/>
                <w:szCs w:val="20"/>
                <w:highlight w:val="lightGray"/>
                <w:lang w:eastAsia="es-ES"/>
              </w:rPr>
              <w:t>code</w:t>
            </w:r>
            <w:proofErr w:type="spellEnd"/>
            <w:r w:rsidRPr="003C45A3">
              <w:rPr>
                <w:rFonts w:eastAsia="Times New Roman"/>
                <w:i/>
                <w:iCs/>
                <w:smallCaps/>
                <w:color w:val="000000"/>
                <w:sz w:val="20"/>
                <w:szCs w:val="20"/>
                <w:highlight w:val="lightGray"/>
                <w:u w:val="single"/>
                <w:lang w:eastAsia="es-E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519" w:rsidRPr="003C45A3" w:rsidRDefault="00B44519" w:rsidP="000B0A32">
            <w:pPr>
              <w:spacing w:after="0" w:line="240" w:lineRule="auto"/>
              <w:rPr>
                <w:b/>
                <w:smallCaps/>
                <w:lang w:val="en-US"/>
              </w:rPr>
            </w:pPr>
            <w:r w:rsidRPr="003C45A3">
              <w:rPr>
                <w:b/>
                <w:smallCaps/>
                <w:lang w:val="en-US"/>
              </w:rPr>
              <w:t>Description</w:t>
            </w:r>
          </w:p>
        </w:tc>
      </w:tr>
      <w:tr w:rsidR="00B44519" w:rsidRPr="00B14F80" w:rsidTr="000B0A32">
        <w:tc>
          <w:tcPr>
            <w:tcW w:w="1134" w:type="dxa"/>
            <w:tcBorders>
              <w:top w:val="single" w:sz="4" w:space="0" w:color="auto"/>
            </w:tcBorders>
          </w:tcPr>
          <w:p w:rsidR="00B44519" w:rsidRDefault="00B44519" w:rsidP="000B0A32">
            <w:pPr>
              <w:spacing w:after="0" w:line="240" w:lineRule="auto"/>
              <w:rPr>
                <w:lang w:val="en-US"/>
              </w:rPr>
            </w:pPr>
            <w:r w:rsidRPr="00512456">
              <w:rPr>
                <w:rFonts w:eastAsia="Times New Roman"/>
                <w:iCs/>
                <w:color w:val="000000"/>
                <w:sz w:val="20"/>
                <w:szCs w:val="20"/>
                <w:lang w:eastAsia="es-ES"/>
              </w:rPr>
              <w:t>R0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B44519" w:rsidRDefault="00B44519" w:rsidP="000B0A32">
            <w:pPr>
              <w:spacing w:after="0" w:line="240" w:lineRule="auto"/>
              <w:rPr>
                <w:lang w:val="en-US"/>
              </w:rPr>
            </w:pPr>
            <w:r w:rsidRPr="00512456">
              <w:rPr>
                <w:rFonts w:eastAsia="Times New Roman"/>
                <w:iCs/>
                <w:color w:val="000000"/>
                <w:sz w:val="20"/>
                <w:szCs w:val="20"/>
                <w:lang w:val="en-US" w:eastAsia="es-ES"/>
              </w:rPr>
              <w:t>Acute, 24 hours physician cover, non-hospital</w:t>
            </w:r>
          </w:p>
        </w:tc>
      </w:tr>
      <w:tr w:rsidR="00B44519" w:rsidRPr="00B14F80" w:rsidTr="000B0A32">
        <w:tc>
          <w:tcPr>
            <w:tcW w:w="1134" w:type="dxa"/>
          </w:tcPr>
          <w:p w:rsidR="00B44519" w:rsidRDefault="00B44519" w:rsidP="000B0A32">
            <w:pPr>
              <w:spacing w:after="0" w:line="240" w:lineRule="auto"/>
              <w:rPr>
                <w:lang w:val="en-U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R1</w:t>
            </w:r>
          </w:p>
        </w:tc>
        <w:tc>
          <w:tcPr>
            <w:tcW w:w="8505" w:type="dxa"/>
            <w:vAlign w:val="center"/>
          </w:tcPr>
          <w:p w:rsidR="00B44519" w:rsidRDefault="00B44519" w:rsidP="000B0A32">
            <w:pPr>
              <w:spacing w:after="0" w:line="240" w:lineRule="auto"/>
              <w:rPr>
                <w:lang w:val="en-U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Acute, 24 hours physician cover, hospital, high intensity</w:t>
            </w:r>
          </w:p>
        </w:tc>
      </w:tr>
      <w:tr w:rsidR="00B44519" w:rsidRPr="00B14F80" w:rsidTr="000B0A32">
        <w:tc>
          <w:tcPr>
            <w:tcW w:w="1134" w:type="dxa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R2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Acute, 24 hours physician cover, hospital, medium intensity </w:t>
            </w:r>
          </w:p>
        </w:tc>
      </w:tr>
      <w:tr w:rsidR="00B44519" w:rsidRPr="00B14F80" w:rsidTr="000B0A32">
        <w:tc>
          <w:tcPr>
            <w:tcW w:w="1134" w:type="dxa"/>
          </w:tcPr>
          <w:p w:rsidR="00B44519" w:rsidRPr="005513A1" w:rsidRDefault="00B44519" w:rsidP="000B0A32">
            <w:pPr>
              <w:spacing w:after="0" w:line="240" w:lineRule="auto"/>
              <w:rPr>
                <w:lang w:val="en-US"/>
              </w:rPr>
            </w:pPr>
            <w:r w:rsidRPr="005513A1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R3.0</w:t>
            </w:r>
          </w:p>
        </w:tc>
        <w:tc>
          <w:tcPr>
            <w:tcW w:w="8505" w:type="dxa"/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lang w:val="en-U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Acute, non-24 hours physician cover, hospital</w:t>
            </w:r>
          </w:p>
        </w:tc>
      </w:tr>
      <w:tr w:rsidR="00B44519" w:rsidRPr="00B14F80" w:rsidTr="000B0A32">
        <w:tc>
          <w:tcPr>
            <w:tcW w:w="1134" w:type="dxa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R3.1.1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Acute, non-24 hours physician cover, non-hospital, Health related care</w:t>
            </w:r>
          </w:p>
        </w:tc>
      </w:tr>
      <w:tr w:rsidR="00B44519" w:rsidRPr="00B14F80" w:rsidTr="000B0A32">
        <w:tc>
          <w:tcPr>
            <w:tcW w:w="1134" w:type="dxa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R3.1.2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Acute, non-24 hours physician cover, non-hospital, other care</w:t>
            </w:r>
          </w:p>
        </w:tc>
      </w:tr>
      <w:tr w:rsidR="00B44519" w:rsidRPr="00B14F80" w:rsidTr="000B0A32">
        <w:tc>
          <w:tcPr>
            <w:tcW w:w="1134" w:type="dxa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R4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Non-acute, 24 hours physician cover, hospital, time limited</w:t>
            </w:r>
          </w:p>
        </w:tc>
      </w:tr>
      <w:tr w:rsidR="00B44519" w:rsidRPr="00B14F80" w:rsidTr="000B0A32">
        <w:tc>
          <w:tcPr>
            <w:tcW w:w="1134" w:type="dxa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R5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Non-acute, 24 hours physician cover, non-hospital, time limited </w:t>
            </w:r>
          </w:p>
        </w:tc>
      </w:tr>
      <w:tr w:rsidR="00B44519" w:rsidRPr="00B14F80" w:rsidTr="000B0A32">
        <w:tc>
          <w:tcPr>
            <w:tcW w:w="1134" w:type="dxa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R6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Non-acute, 24 hours </w:t>
            </w:r>
            <w:proofErr w:type="spellStart"/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psyhician</w:t>
            </w:r>
            <w:proofErr w:type="spellEnd"/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cover, hospital, indefinite stay </w:t>
            </w:r>
          </w:p>
        </w:tc>
      </w:tr>
      <w:tr w:rsidR="00B44519" w:rsidRPr="00B14F80" w:rsidTr="000B0A32">
        <w:tc>
          <w:tcPr>
            <w:tcW w:w="1134" w:type="dxa"/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R7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Non-acute, 24 hours physician cover,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non-hospital, indefinite stay</w:t>
            </w:r>
          </w:p>
        </w:tc>
      </w:tr>
      <w:tr w:rsidR="00B44519" w:rsidRPr="00B14F80" w:rsidTr="000B0A32">
        <w:tc>
          <w:tcPr>
            <w:tcW w:w="1134" w:type="dxa"/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R8.1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Non-acute, non-24 hours physician cover, time limited, 24-hours support, Less than 4 weeks</w:t>
            </w:r>
          </w:p>
        </w:tc>
      </w:tr>
      <w:tr w:rsidR="00B44519" w:rsidRPr="00B14F80" w:rsidTr="000B0A32">
        <w:tc>
          <w:tcPr>
            <w:tcW w:w="1134" w:type="dxa"/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R8.2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Non-acute, non-24 hours physician cover, time limited, 24-hours support, Over 4 weeks</w:t>
            </w:r>
          </w:p>
        </w:tc>
      </w:tr>
      <w:tr w:rsidR="00B44519" w:rsidRPr="00B14F80" w:rsidTr="000B0A32">
        <w:tc>
          <w:tcPr>
            <w:tcW w:w="1134" w:type="dxa"/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R9.1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Non-acute, non-24 hours physician cover, time limited, daily support, less than 4 weeks</w:t>
            </w:r>
          </w:p>
        </w:tc>
      </w:tr>
      <w:tr w:rsidR="00B44519" w:rsidRPr="00B14F80" w:rsidTr="000B0A32">
        <w:tc>
          <w:tcPr>
            <w:tcW w:w="1134" w:type="dxa"/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R9.2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Non-acute, non-24 hours physician cover, time limited, daily support, over 4 weeks</w:t>
            </w:r>
          </w:p>
        </w:tc>
      </w:tr>
      <w:tr w:rsidR="00B44519" w:rsidRPr="00B14F80" w:rsidTr="000B0A32">
        <w:tc>
          <w:tcPr>
            <w:tcW w:w="1134" w:type="dxa"/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R10.1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Non-acute, non-24 hours physician cover, time limited, lower support, less than 4 weeks</w:t>
            </w:r>
          </w:p>
        </w:tc>
      </w:tr>
      <w:tr w:rsidR="00B44519" w:rsidRPr="00B14F80" w:rsidTr="000B0A32">
        <w:tc>
          <w:tcPr>
            <w:tcW w:w="1134" w:type="dxa"/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R10.2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Non-acute, non-24 hours physician cover, time limited, lower support, over 4 weeks</w:t>
            </w:r>
          </w:p>
        </w:tc>
      </w:tr>
      <w:tr w:rsidR="00B44519" w:rsidRPr="00B14F80" w:rsidTr="000B0A32">
        <w:tc>
          <w:tcPr>
            <w:tcW w:w="1134" w:type="dxa"/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R11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Non-acute, non-24 hours physician cover, indefinite stay, 24-hours support</w:t>
            </w:r>
          </w:p>
        </w:tc>
      </w:tr>
      <w:tr w:rsidR="00B44519" w:rsidRPr="00B14F80" w:rsidTr="000B0A32">
        <w:tc>
          <w:tcPr>
            <w:tcW w:w="1134" w:type="dxa"/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R12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Non-acute, non-24 hours physician cover, indefinite stay, daily support</w:t>
            </w:r>
          </w:p>
        </w:tc>
      </w:tr>
      <w:tr w:rsidR="00B44519" w:rsidRPr="00B14F80" w:rsidTr="000B0A32">
        <w:tc>
          <w:tcPr>
            <w:tcW w:w="1134" w:type="dxa"/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R13</w:t>
            </w:r>
          </w:p>
        </w:tc>
        <w:tc>
          <w:tcPr>
            <w:tcW w:w="8505" w:type="dxa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Non-acute, non-24 hours physician cover, indefinite stay, lower support</w:t>
            </w:r>
          </w:p>
        </w:tc>
      </w:tr>
      <w:tr w:rsidR="00B44519" w:rsidTr="000B0A32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4519" w:rsidRPr="005513A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R14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Other</w:t>
            </w:r>
            <w:proofErr w:type="spellEnd"/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 non-</w:t>
            </w:r>
            <w:proofErr w:type="spellStart"/>
            <w:r w:rsidRPr="00512456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acute</w:t>
            </w:r>
            <w:proofErr w:type="spellEnd"/>
          </w:p>
        </w:tc>
      </w:tr>
      <w:tr w:rsidR="00B44519" w:rsidTr="000B0A3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519" w:rsidRPr="003C45A3" w:rsidRDefault="00B44519" w:rsidP="000B0A32">
            <w:pPr>
              <w:spacing w:after="0" w:line="240" w:lineRule="auto"/>
              <w:jc w:val="center"/>
              <w:rPr>
                <w:rFonts w:eastAsia="Times New Roman"/>
                <w:b/>
                <w:smallCaps/>
                <w:color w:val="000000"/>
                <w:sz w:val="20"/>
                <w:szCs w:val="20"/>
                <w:lang w:eastAsia="es-ES"/>
              </w:rPr>
            </w:pPr>
            <w:r w:rsidRPr="003C45A3">
              <w:rPr>
                <w:rFonts w:eastAsia="Times New Roman"/>
                <w:b/>
                <w:smallCaps/>
                <w:color w:val="000000"/>
                <w:sz w:val="20"/>
                <w:szCs w:val="20"/>
                <w:lang w:eastAsia="es-ES"/>
              </w:rPr>
              <w:t xml:space="preserve">Day </w:t>
            </w:r>
            <w:proofErr w:type="spellStart"/>
            <w:r w:rsidRPr="003C45A3">
              <w:rPr>
                <w:rFonts w:eastAsia="Times New Roman"/>
                <w:b/>
                <w:smallCaps/>
                <w:color w:val="000000"/>
                <w:sz w:val="20"/>
                <w:szCs w:val="20"/>
                <w:lang w:eastAsia="es-ES"/>
              </w:rPr>
              <w:t>care</w:t>
            </w:r>
            <w:proofErr w:type="spellEnd"/>
          </w:p>
        </w:tc>
      </w:tr>
      <w:tr w:rsidR="00B44519" w:rsidTr="000B0A32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3C45A3">
              <w:rPr>
                <w:rFonts w:eastAsia="Times New Roman"/>
                <w:b/>
                <w:bCs/>
                <w:smallCaps/>
                <w:color w:val="000000"/>
                <w:sz w:val="20"/>
                <w:szCs w:val="20"/>
                <w:highlight w:val="lightGray"/>
                <w:lang w:eastAsia="es-ES"/>
              </w:rPr>
              <w:t xml:space="preserve">DESDE-LTC </w:t>
            </w:r>
            <w:proofErr w:type="spellStart"/>
            <w:r w:rsidRPr="003C45A3">
              <w:rPr>
                <w:rFonts w:eastAsia="Times New Roman"/>
                <w:b/>
                <w:bCs/>
                <w:smallCaps/>
                <w:color w:val="000000"/>
                <w:sz w:val="20"/>
                <w:szCs w:val="20"/>
                <w:highlight w:val="lightGray"/>
                <w:lang w:eastAsia="es-ES"/>
              </w:rPr>
              <w:t>code</w:t>
            </w:r>
            <w:proofErr w:type="spellEnd"/>
            <w:r w:rsidRPr="003C45A3">
              <w:rPr>
                <w:rFonts w:eastAsia="Times New Roman"/>
                <w:i/>
                <w:iCs/>
                <w:smallCaps/>
                <w:color w:val="000000"/>
                <w:sz w:val="20"/>
                <w:szCs w:val="20"/>
                <w:highlight w:val="lightGray"/>
                <w:u w:val="single"/>
                <w:lang w:eastAsia="es-E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519" w:rsidRPr="0051245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3C45A3">
              <w:rPr>
                <w:b/>
                <w:smallCaps/>
                <w:lang w:val="en-US"/>
              </w:rPr>
              <w:t>Description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D0.1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Acute, Episodic acute, High intensity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D0.2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Acute, Episodic acute, Other intensity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D1.1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Acute, Continuous care, High intensity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D1.2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Acute, Continuous care, Other intensity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D2.1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w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ork related, high intensity, ordinary employment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D2.2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work related, high intensity, other work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D6.1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work related, low intensity, ordinary employment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D6.2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work related, low intensity, other work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D3.1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work related, high intensity, time limited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D3.2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work related, high </w:t>
            </w:r>
            <w:proofErr w:type="spellStart"/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intensity,time</w:t>
            </w:r>
            <w:proofErr w:type="spellEnd"/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indefinite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D7.1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work related care, low intensity, time limited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D7.2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work related care, low intensity, time indefinite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D4.1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A38DA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</w:t>
            </w:r>
            <w:proofErr w:type="gramStart"/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</w:t>
            </w:r>
            <w:proofErr w:type="gramEnd"/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non-work structured, high intensity, health related .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D4.2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non-work structured, high intensity, education related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D4.3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A38DA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</w:t>
            </w:r>
            <w:proofErr w:type="gramStart"/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</w:t>
            </w:r>
            <w:proofErr w:type="gramEnd"/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non-work structured, high intensity, social and culture related.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D4.4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non-work structured, high intensity, other structured d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D8.1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non-work structured, low intensity, health related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D8.2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non-work structured, low intensity, education related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D8.3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non-work structured, low intensity, social and culture related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D8.4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non-work structured, low intensity, other structured day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</w:t>
            </w:r>
            <w:proofErr w:type="spellStart"/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 structured</w:t>
            </w:r>
            <w:proofErr w:type="spellEnd"/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day care, high intensity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51245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Non-acute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, </w:t>
            </w:r>
            <w:proofErr w:type="spellStart"/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 structured</w:t>
            </w:r>
            <w:proofErr w:type="spellEnd"/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day care, low intensity </w:t>
            </w:r>
          </w:p>
        </w:tc>
      </w:tr>
      <w:tr w:rsidR="00B44519" w:rsidTr="000B0A32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44519" w:rsidRPr="003C45A3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D10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44519" w:rsidRPr="004A38DA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</w:t>
            </w:r>
            <w:r w:rsidRPr="004A38DA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ther care</w:t>
            </w:r>
          </w:p>
        </w:tc>
      </w:tr>
      <w:tr w:rsidR="00B44519" w:rsidTr="000B0A3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44519" w:rsidRPr="004E0A61" w:rsidRDefault="00B44519" w:rsidP="000B0A32">
            <w:pPr>
              <w:spacing w:after="0" w:line="240" w:lineRule="auto"/>
              <w:jc w:val="center"/>
              <w:rPr>
                <w:rFonts w:eastAsia="Times New Roman"/>
                <w:b/>
                <w:smallCaps/>
                <w:color w:val="000000"/>
                <w:sz w:val="20"/>
                <w:szCs w:val="20"/>
                <w:lang w:val="en-US" w:eastAsia="es-ES"/>
              </w:rPr>
            </w:pPr>
            <w:r w:rsidRPr="004E0A61">
              <w:rPr>
                <w:rFonts w:eastAsia="Times New Roman"/>
                <w:b/>
                <w:smallCaps/>
                <w:color w:val="000000"/>
                <w:sz w:val="20"/>
                <w:szCs w:val="20"/>
                <w:lang w:val="en-US" w:eastAsia="es-ES"/>
              </w:rPr>
              <w:lastRenderedPageBreak/>
              <w:t>Outpatient care</w:t>
            </w:r>
          </w:p>
        </w:tc>
      </w:tr>
      <w:tr w:rsidR="00B44519" w:rsidTr="000B0A32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44519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3C45A3">
              <w:rPr>
                <w:rFonts w:eastAsia="Times New Roman"/>
                <w:b/>
                <w:bCs/>
                <w:smallCaps/>
                <w:color w:val="000000"/>
                <w:sz w:val="20"/>
                <w:szCs w:val="20"/>
                <w:highlight w:val="lightGray"/>
                <w:lang w:eastAsia="es-ES"/>
              </w:rPr>
              <w:t xml:space="preserve">DESDE-LTC </w:t>
            </w:r>
            <w:proofErr w:type="spellStart"/>
            <w:r w:rsidRPr="003C45A3">
              <w:rPr>
                <w:rFonts w:eastAsia="Times New Roman"/>
                <w:b/>
                <w:bCs/>
                <w:smallCaps/>
                <w:color w:val="000000"/>
                <w:sz w:val="20"/>
                <w:szCs w:val="20"/>
                <w:highlight w:val="lightGray"/>
                <w:lang w:eastAsia="es-ES"/>
              </w:rPr>
              <w:t>code</w:t>
            </w:r>
            <w:proofErr w:type="spellEnd"/>
            <w:r w:rsidRPr="003C45A3">
              <w:rPr>
                <w:rFonts w:eastAsia="Times New Roman"/>
                <w:i/>
                <w:iCs/>
                <w:smallCaps/>
                <w:color w:val="000000"/>
                <w:sz w:val="20"/>
                <w:szCs w:val="20"/>
                <w:highlight w:val="lightGray"/>
                <w:u w:val="single"/>
                <w:lang w:eastAsia="es-E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44519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3C45A3">
              <w:rPr>
                <w:b/>
                <w:smallCaps/>
                <w:lang w:val="en-US"/>
              </w:rPr>
              <w:t>Description</w:t>
            </w:r>
          </w:p>
        </w:tc>
      </w:tr>
      <w:tr w:rsidR="00B44519" w:rsidRPr="00B14F80" w:rsidTr="000B0A32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O1.1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A</w:t>
            </w: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cute, home &amp; mobile, 24 hours, health related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O1.2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A</w:t>
            </w: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cute, home &amp; mobile, 24 hours, other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O2.1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Acute, home &amp; mobile, limited hours, health related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O2.2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Acute, home &amp; mobile, limited hours, other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O5.1.1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No-</w:t>
            </w: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 acute, home &amp; mobile, high intensity, health related care, 3 to 6 days a week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O5.1.2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</w:t>
            </w: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acute, home &amp; mobile, high intensity, health related care, 7 days a week a minimum of 3  ours/day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O5.1.3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</w:t>
            </w: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acute, home &amp; mobile, high intensity, health related care, 7 days a week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O5.2.1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</w:t>
            </w: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 , home &amp; mobile, high intensity, other care, 3 to 6 days a week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O5.2.2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</w:t>
            </w: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 , home &amp; mobile, high intensity, other care, 7 days a week a minimum of 3 hours/day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O5.2.3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</w:t>
            </w: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 , home &amp; mobile, high intensity, other care, 7 days a week including overnight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O6.1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</w:t>
            </w: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 , home &amp; mobile, medium intensity, health related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O6.2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Non-</w:t>
            </w: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acute , home &amp; mobile, medium intensity, other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O7.1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Non acute, home &amp; mobile, low intensity, health related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O7.2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Non acute, home &amp; mobile, low intensity, other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O8.1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Non acute, non- mobile, high intensity, health related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O8.2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Non acute, non- mobile, high intensity, other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O9.1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Non acute, non- mobile, medium intensity, health related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O9.2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Non acute, non- mobile, medium intensity, other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O10.1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Non acute, non- mobile, low intensity, health related care </w:t>
            </w:r>
          </w:p>
        </w:tc>
      </w:tr>
      <w:tr w:rsidR="00B44519" w:rsidRPr="00B14F80" w:rsidTr="000B0A32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44519" w:rsidRPr="004E0A61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>O10.2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44519" w:rsidRPr="00B56B76" w:rsidRDefault="00B44519" w:rsidP="000B0A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</w:pPr>
            <w:r w:rsidRPr="00B56B76">
              <w:rPr>
                <w:rFonts w:eastAsia="Times New Roman"/>
                <w:color w:val="000000"/>
                <w:sz w:val="20"/>
                <w:szCs w:val="20"/>
                <w:lang w:val="en-US" w:eastAsia="es-ES"/>
              </w:rPr>
              <w:t xml:space="preserve">Non acute, non- mobile, low intensity, other care </w:t>
            </w:r>
          </w:p>
        </w:tc>
      </w:tr>
    </w:tbl>
    <w:p w:rsidR="00B44519" w:rsidRPr="00C5514E" w:rsidRDefault="00B44519" w:rsidP="00B14F80">
      <w:pPr>
        <w:jc w:val="both"/>
        <w:rPr>
          <w:lang w:val="en-US"/>
        </w:rPr>
      </w:pPr>
      <w:r w:rsidRPr="00252B58">
        <w:rPr>
          <w:sz w:val="18"/>
          <w:szCs w:val="18"/>
          <w:lang w:val="en-US"/>
        </w:rPr>
        <w:t xml:space="preserve">Full descriptions and examples of MTCs </w:t>
      </w:r>
      <w:proofErr w:type="gramStart"/>
      <w:r w:rsidRPr="00252B58">
        <w:rPr>
          <w:sz w:val="18"/>
          <w:szCs w:val="18"/>
          <w:lang w:val="en-US"/>
        </w:rPr>
        <w:t>are provided</w:t>
      </w:r>
      <w:proofErr w:type="gramEnd"/>
      <w:r w:rsidRPr="00252B58">
        <w:rPr>
          <w:sz w:val="18"/>
          <w:szCs w:val="18"/>
          <w:lang w:val="en-US"/>
        </w:rPr>
        <w:t xml:space="preserve"> in DESDE-LTC classification system</w:t>
      </w:r>
      <w:r w:rsidRPr="00B14F80">
        <w:rPr>
          <w:sz w:val="18"/>
          <w:szCs w:val="18"/>
          <w:lang w:val="en-US"/>
        </w:rPr>
        <w:t xml:space="preserve"> </w:t>
      </w:r>
      <w:r w:rsidR="00B14F80" w:rsidRPr="00B14F80">
        <w:rPr>
          <w:sz w:val="18"/>
          <w:szCs w:val="18"/>
          <w:lang w:val="en-US"/>
        </w:rPr>
        <w:t>(Salvador-Carulla et al, 2011)</w:t>
      </w:r>
    </w:p>
    <w:p w:rsidR="00A6567B" w:rsidRPr="00B44519" w:rsidRDefault="00A6567B">
      <w:pPr>
        <w:rPr>
          <w:lang w:val="en-US"/>
        </w:rPr>
      </w:pPr>
    </w:p>
    <w:sectPr w:rsidR="00A6567B" w:rsidRPr="00B44519" w:rsidSect="00B44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9"/>
    <w:rsid w:val="00004A8C"/>
    <w:rsid w:val="00010F43"/>
    <w:rsid w:val="00012DB1"/>
    <w:rsid w:val="000914BD"/>
    <w:rsid w:val="000A7EE6"/>
    <w:rsid w:val="000E1C43"/>
    <w:rsid w:val="000F39D2"/>
    <w:rsid w:val="0010234A"/>
    <w:rsid w:val="00110C2A"/>
    <w:rsid w:val="00140303"/>
    <w:rsid w:val="00166A26"/>
    <w:rsid w:val="00176666"/>
    <w:rsid w:val="0018604B"/>
    <w:rsid w:val="001948E3"/>
    <w:rsid w:val="001A4283"/>
    <w:rsid w:val="001A49F5"/>
    <w:rsid w:val="001C3A87"/>
    <w:rsid w:val="001F6CC3"/>
    <w:rsid w:val="001F7154"/>
    <w:rsid w:val="002455E4"/>
    <w:rsid w:val="00254CF0"/>
    <w:rsid w:val="0026355A"/>
    <w:rsid w:val="00265CA0"/>
    <w:rsid w:val="0028177A"/>
    <w:rsid w:val="00293C93"/>
    <w:rsid w:val="00296764"/>
    <w:rsid w:val="002C5C64"/>
    <w:rsid w:val="002D1716"/>
    <w:rsid w:val="002D207B"/>
    <w:rsid w:val="002E5B97"/>
    <w:rsid w:val="002F17A0"/>
    <w:rsid w:val="002F6594"/>
    <w:rsid w:val="0031527C"/>
    <w:rsid w:val="003433D7"/>
    <w:rsid w:val="003519F4"/>
    <w:rsid w:val="00383073"/>
    <w:rsid w:val="00391E57"/>
    <w:rsid w:val="003A7ADC"/>
    <w:rsid w:val="003C205E"/>
    <w:rsid w:val="003D71C0"/>
    <w:rsid w:val="003F75AB"/>
    <w:rsid w:val="00405040"/>
    <w:rsid w:val="004515A0"/>
    <w:rsid w:val="00464142"/>
    <w:rsid w:val="00480980"/>
    <w:rsid w:val="004A2879"/>
    <w:rsid w:val="004A3BBB"/>
    <w:rsid w:val="004C5634"/>
    <w:rsid w:val="004C6FBA"/>
    <w:rsid w:val="004D0D2E"/>
    <w:rsid w:val="004D3BC4"/>
    <w:rsid w:val="004D3F7A"/>
    <w:rsid w:val="004E69DA"/>
    <w:rsid w:val="00504141"/>
    <w:rsid w:val="00536B38"/>
    <w:rsid w:val="00573D87"/>
    <w:rsid w:val="005852BB"/>
    <w:rsid w:val="00586184"/>
    <w:rsid w:val="005A7AA1"/>
    <w:rsid w:val="005B20EE"/>
    <w:rsid w:val="005B2687"/>
    <w:rsid w:val="005C2F1C"/>
    <w:rsid w:val="005F294D"/>
    <w:rsid w:val="005F4435"/>
    <w:rsid w:val="005F476A"/>
    <w:rsid w:val="00603C43"/>
    <w:rsid w:val="00612E6A"/>
    <w:rsid w:val="00623FE9"/>
    <w:rsid w:val="006248AE"/>
    <w:rsid w:val="006310F2"/>
    <w:rsid w:val="00650707"/>
    <w:rsid w:val="006574CC"/>
    <w:rsid w:val="0067292C"/>
    <w:rsid w:val="00684086"/>
    <w:rsid w:val="006B22C5"/>
    <w:rsid w:val="006B475B"/>
    <w:rsid w:val="006C010C"/>
    <w:rsid w:val="006E769E"/>
    <w:rsid w:val="007161BD"/>
    <w:rsid w:val="00737062"/>
    <w:rsid w:val="00774753"/>
    <w:rsid w:val="00791E16"/>
    <w:rsid w:val="007B61D9"/>
    <w:rsid w:val="00801D21"/>
    <w:rsid w:val="0082072E"/>
    <w:rsid w:val="00824F53"/>
    <w:rsid w:val="00843F17"/>
    <w:rsid w:val="0085105B"/>
    <w:rsid w:val="0087392C"/>
    <w:rsid w:val="008A615B"/>
    <w:rsid w:val="008E3827"/>
    <w:rsid w:val="008F081D"/>
    <w:rsid w:val="00907C3D"/>
    <w:rsid w:val="0096232A"/>
    <w:rsid w:val="00966ECF"/>
    <w:rsid w:val="00986971"/>
    <w:rsid w:val="00992282"/>
    <w:rsid w:val="009A580E"/>
    <w:rsid w:val="009A70C6"/>
    <w:rsid w:val="009C4185"/>
    <w:rsid w:val="009F2B30"/>
    <w:rsid w:val="00A02B10"/>
    <w:rsid w:val="00A11F02"/>
    <w:rsid w:val="00A26BD9"/>
    <w:rsid w:val="00A555FC"/>
    <w:rsid w:val="00A6567B"/>
    <w:rsid w:val="00A70521"/>
    <w:rsid w:val="00A74CBF"/>
    <w:rsid w:val="00A75A78"/>
    <w:rsid w:val="00A832E3"/>
    <w:rsid w:val="00A92B24"/>
    <w:rsid w:val="00AA0442"/>
    <w:rsid w:val="00AA6647"/>
    <w:rsid w:val="00AC023C"/>
    <w:rsid w:val="00B027EA"/>
    <w:rsid w:val="00B05290"/>
    <w:rsid w:val="00B055A8"/>
    <w:rsid w:val="00B14F80"/>
    <w:rsid w:val="00B22354"/>
    <w:rsid w:val="00B25279"/>
    <w:rsid w:val="00B34A68"/>
    <w:rsid w:val="00B419CC"/>
    <w:rsid w:val="00B44519"/>
    <w:rsid w:val="00B50880"/>
    <w:rsid w:val="00B670AE"/>
    <w:rsid w:val="00B71333"/>
    <w:rsid w:val="00B812F6"/>
    <w:rsid w:val="00BB1C89"/>
    <w:rsid w:val="00BB57D0"/>
    <w:rsid w:val="00BF31EB"/>
    <w:rsid w:val="00C03485"/>
    <w:rsid w:val="00C17C7B"/>
    <w:rsid w:val="00C235E6"/>
    <w:rsid w:val="00C300EF"/>
    <w:rsid w:val="00C40F32"/>
    <w:rsid w:val="00C50A3B"/>
    <w:rsid w:val="00C664E3"/>
    <w:rsid w:val="00C70CFF"/>
    <w:rsid w:val="00C77BED"/>
    <w:rsid w:val="00C92866"/>
    <w:rsid w:val="00C93F8F"/>
    <w:rsid w:val="00CA0EB5"/>
    <w:rsid w:val="00CA3CA7"/>
    <w:rsid w:val="00CC58E3"/>
    <w:rsid w:val="00CF0B10"/>
    <w:rsid w:val="00CF7937"/>
    <w:rsid w:val="00D46CA2"/>
    <w:rsid w:val="00D51EA5"/>
    <w:rsid w:val="00D64CA3"/>
    <w:rsid w:val="00D8305D"/>
    <w:rsid w:val="00DB7CC9"/>
    <w:rsid w:val="00DC405E"/>
    <w:rsid w:val="00DC5536"/>
    <w:rsid w:val="00DE4DC1"/>
    <w:rsid w:val="00E428BD"/>
    <w:rsid w:val="00E86085"/>
    <w:rsid w:val="00EC2078"/>
    <w:rsid w:val="00EE48AD"/>
    <w:rsid w:val="00F00CC0"/>
    <w:rsid w:val="00F44172"/>
    <w:rsid w:val="00F57B4E"/>
    <w:rsid w:val="00F722B5"/>
    <w:rsid w:val="00F75F39"/>
    <w:rsid w:val="00FA5D4D"/>
    <w:rsid w:val="00FA79B6"/>
    <w:rsid w:val="00FB39FB"/>
    <w:rsid w:val="00FE4192"/>
    <w:rsid w:val="00FF0BBA"/>
    <w:rsid w:val="00FF411F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92923"/>
  <w15:chartTrackingRefBased/>
  <w15:docId w15:val="{1238F127-AA05-4685-A42B-A3F0DCA7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B44519"/>
    <w:pPr>
      <w:spacing w:line="240" w:lineRule="auto"/>
    </w:pPr>
    <w:rPr>
      <w:b/>
      <w:bCs/>
      <w:color w:val="4F81BD"/>
      <w:sz w:val="18"/>
      <w:szCs w:val="18"/>
    </w:rPr>
  </w:style>
  <w:style w:type="table" w:styleId="Tablaconcuadrcula">
    <w:name w:val="Table Grid"/>
    <w:basedOn w:val="Tablanormal"/>
    <w:uiPriority w:val="59"/>
    <w:rsid w:val="00B4451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Mencia Ruiz Gutiérrez Colosia</dc:creator>
  <cp:keywords/>
  <dc:description/>
  <cp:lastModifiedBy>Mencia Ruiz Gutiérrez Colosia</cp:lastModifiedBy>
  <cp:revision>3</cp:revision>
  <dcterms:created xsi:type="dcterms:W3CDTF">2017-02-16T16:47:00Z</dcterms:created>
  <dcterms:modified xsi:type="dcterms:W3CDTF">2017-03-08T19:21:00Z</dcterms:modified>
</cp:coreProperties>
</file>