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98" w:type="dxa"/>
        <w:tblInd w:w="-27" w:type="dxa"/>
        <w:tblLayout w:type="fixed"/>
        <w:tblCellMar>
          <w:left w:w="29" w:type="dxa"/>
          <w:right w:w="29" w:type="dxa"/>
        </w:tblCellMar>
        <w:tblLook w:val="0000" w:firstRow="0" w:lastRow="0" w:firstColumn="0" w:lastColumn="0" w:noHBand="0" w:noVBand="0"/>
      </w:tblPr>
      <w:tblGrid>
        <w:gridCol w:w="2126"/>
        <w:gridCol w:w="1170"/>
        <w:gridCol w:w="5193"/>
        <w:gridCol w:w="1080"/>
        <w:gridCol w:w="900"/>
        <w:gridCol w:w="954"/>
        <w:gridCol w:w="900"/>
        <w:gridCol w:w="1375"/>
      </w:tblGrid>
      <w:tr w:rsidR="00884137" w:rsidRPr="00734AF8" w:rsidTr="009A2B69">
        <w:trPr>
          <w:trHeight w:val="288"/>
        </w:trPr>
        <w:tc>
          <w:tcPr>
            <w:tcW w:w="13698" w:type="dxa"/>
            <w:gridSpan w:val="8"/>
            <w:tcBorders>
              <w:bottom w:val="single" w:sz="4" w:space="0" w:color="auto"/>
            </w:tcBorders>
            <w:shd w:val="clear" w:color="auto" w:fill="auto"/>
            <w:vAlign w:val="bottom"/>
          </w:tcPr>
          <w:p w:rsidR="00884137" w:rsidRDefault="004C38DF" w:rsidP="00884137">
            <w:pPr>
              <w:widowControl w:val="0"/>
              <w:rPr>
                <w:rFonts w:ascii="Arial" w:hAnsi="Arial" w:cs="Arial"/>
                <w:b/>
                <w:bCs/>
                <w:snapToGrid w:val="0"/>
                <w:sz w:val="18"/>
                <w:szCs w:val="16"/>
              </w:rPr>
            </w:pPr>
            <w:bookmarkStart w:id="0" w:name="_GoBack"/>
            <w:bookmarkEnd w:id="0"/>
            <w:r>
              <w:rPr>
                <w:rFonts w:ascii="Arial" w:hAnsi="Arial" w:cs="Arial"/>
                <w:b/>
                <w:bCs/>
                <w:snapToGrid w:val="0"/>
                <w:sz w:val="20"/>
                <w:szCs w:val="20"/>
              </w:rPr>
              <w:t xml:space="preserve">Annex - </w:t>
            </w:r>
            <w:r w:rsidR="00884137" w:rsidRPr="005B23D4">
              <w:rPr>
                <w:rFonts w:ascii="Arial" w:hAnsi="Arial" w:cs="Arial"/>
                <w:b/>
                <w:bCs/>
                <w:snapToGrid w:val="0"/>
                <w:sz w:val="20"/>
                <w:szCs w:val="20"/>
              </w:rPr>
              <w:t>Table 1</w:t>
            </w:r>
            <w:r>
              <w:rPr>
                <w:rFonts w:ascii="Arial" w:hAnsi="Arial" w:cs="Arial"/>
                <w:b/>
                <w:bCs/>
                <w:snapToGrid w:val="0"/>
                <w:sz w:val="20"/>
                <w:szCs w:val="20"/>
              </w:rPr>
              <w:t>S</w:t>
            </w:r>
            <w:r w:rsidR="001636BF">
              <w:rPr>
                <w:rFonts w:ascii="Arial" w:hAnsi="Arial" w:cs="Arial"/>
                <w:b/>
                <w:bCs/>
                <w:snapToGrid w:val="0"/>
                <w:sz w:val="20"/>
                <w:szCs w:val="20"/>
              </w:rPr>
              <w:t>:</w:t>
            </w:r>
            <w:r w:rsidR="00884137" w:rsidRPr="005B23D4">
              <w:rPr>
                <w:rFonts w:ascii="Arial" w:hAnsi="Arial" w:cs="Arial"/>
                <w:b/>
                <w:bCs/>
                <w:snapToGrid w:val="0"/>
                <w:sz w:val="20"/>
                <w:szCs w:val="20"/>
              </w:rPr>
              <w:t xml:space="preserve">  </w:t>
            </w:r>
            <w:r w:rsidR="00884137" w:rsidRPr="005B23D4">
              <w:rPr>
                <w:rFonts w:ascii="Arial" w:hAnsi="Arial" w:cs="Arial"/>
                <w:snapToGrid w:val="0"/>
                <w:sz w:val="20"/>
                <w:szCs w:val="20"/>
              </w:rPr>
              <w:t xml:space="preserve">WMH sample characteristics by World Bank income </w:t>
            </w:r>
            <w:proofErr w:type="spellStart"/>
            <w:r w:rsidR="00884137" w:rsidRPr="005B23D4">
              <w:rPr>
                <w:rFonts w:ascii="Arial" w:hAnsi="Arial" w:cs="Arial"/>
                <w:snapToGrid w:val="0"/>
                <w:sz w:val="20"/>
                <w:szCs w:val="20"/>
              </w:rPr>
              <w:t>categories</w:t>
            </w:r>
            <w:r w:rsidR="00884137" w:rsidRPr="005B23D4">
              <w:rPr>
                <w:rFonts w:ascii="Arial" w:hAnsi="Arial" w:cs="Arial"/>
                <w:i/>
                <w:iCs/>
                <w:snapToGrid w:val="0"/>
                <w:sz w:val="20"/>
                <w:szCs w:val="20"/>
                <w:vertAlign w:val="superscript"/>
              </w:rPr>
              <w:t>a</w:t>
            </w:r>
            <w:proofErr w:type="spellEnd"/>
          </w:p>
        </w:tc>
      </w:tr>
      <w:tr w:rsidR="00FE02E2" w:rsidRPr="00734AF8" w:rsidTr="009A2B69">
        <w:trPr>
          <w:trHeight w:val="288"/>
        </w:trPr>
        <w:tc>
          <w:tcPr>
            <w:tcW w:w="2126" w:type="dxa"/>
            <w:tcBorders>
              <w:bottom w:val="single" w:sz="4" w:space="0" w:color="auto"/>
            </w:tcBorders>
            <w:shd w:val="clear" w:color="auto" w:fill="auto"/>
            <w:vAlign w:val="bottom"/>
          </w:tcPr>
          <w:p w:rsidR="00FE02E2" w:rsidRPr="0031094B" w:rsidRDefault="00FE02E2" w:rsidP="009A2B69">
            <w:pPr>
              <w:keepNext/>
              <w:widowControl w:val="0"/>
              <w:tabs>
                <w:tab w:val="left" w:pos="0"/>
              </w:tabs>
              <w:suppressAutoHyphens/>
              <w:jc w:val="center"/>
              <w:outlineLvl w:val="2"/>
              <w:rPr>
                <w:rFonts w:ascii="Arial" w:hAnsi="Arial" w:cs="Arial"/>
                <w:b/>
                <w:bCs/>
                <w:snapToGrid w:val="0"/>
                <w:sz w:val="18"/>
                <w:szCs w:val="16"/>
              </w:rPr>
            </w:pPr>
          </w:p>
        </w:tc>
        <w:tc>
          <w:tcPr>
            <w:tcW w:w="1170" w:type="dxa"/>
            <w:tcBorders>
              <w:bottom w:val="single" w:sz="4" w:space="0" w:color="auto"/>
            </w:tcBorders>
            <w:shd w:val="clear" w:color="auto" w:fill="auto"/>
            <w:vAlign w:val="center"/>
          </w:tcPr>
          <w:p w:rsidR="00FE02E2" w:rsidRPr="0031094B" w:rsidRDefault="00FE02E2" w:rsidP="009A2B69">
            <w:pPr>
              <w:widowControl w:val="0"/>
              <w:jc w:val="center"/>
              <w:rPr>
                <w:rFonts w:ascii="Arial" w:hAnsi="Arial" w:cs="Arial"/>
                <w:b/>
                <w:bCs/>
                <w:snapToGrid w:val="0"/>
                <w:sz w:val="18"/>
                <w:szCs w:val="16"/>
              </w:rPr>
            </w:pPr>
          </w:p>
        </w:tc>
        <w:tc>
          <w:tcPr>
            <w:tcW w:w="5193" w:type="dxa"/>
            <w:tcBorders>
              <w:bottom w:val="single" w:sz="4" w:space="0" w:color="auto"/>
            </w:tcBorders>
            <w:shd w:val="clear" w:color="auto" w:fill="auto"/>
            <w:vAlign w:val="center"/>
          </w:tcPr>
          <w:p w:rsidR="00FE02E2" w:rsidRPr="0031094B" w:rsidRDefault="00FE02E2" w:rsidP="009A2B69">
            <w:pPr>
              <w:widowControl w:val="0"/>
              <w:jc w:val="center"/>
              <w:rPr>
                <w:rFonts w:ascii="Arial" w:hAnsi="Arial" w:cs="Arial"/>
                <w:b/>
                <w:bCs/>
                <w:snapToGrid w:val="0"/>
                <w:sz w:val="18"/>
                <w:szCs w:val="16"/>
              </w:rPr>
            </w:pPr>
          </w:p>
        </w:tc>
        <w:tc>
          <w:tcPr>
            <w:tcW w:w="1080" w:type="dxa"/>
            <w:tcBorders>
              <w:bottom w:val="single" w:sz="4" w:space="0" w:color="auto"/>
            </w:tcBorders>
            <w:shd w:val="clear" w:color="auto" w:fill="auto"/>
            <w:vAlign w:val="bottom"/>
          </w:tcPr>
          <w:p w:rsidR="00FE02E2" w:rsidRPr="0031094B" w:rsidRDefault="00FE02E2" w:rsidP="009A2B69">
            <w:pPr>
              <w:widowControl w:val="0"/>
              <w:jc w:val="center"/>
              <w:rPr>
                <w:rFonts w:ascii="Arial" w:hAnsi="Arial" w:cs="Arial"/>
                <w:b/>
                <w:bCs/>
                <w:snapToGrid w:val="0"/>
                <w:sz w:val="18"/>
                <w:szCs w:val="16"/>
              </w:rPr>
            </w:pPr>
          </w:p>
        </w:tc>
        <w:tc>
          <w:tcPr>
            <w:tcW w:w="900" w:type="dxa"/>
            <w:tcBorders>
              <w:bottom w:val="single" w:sz="4" w:space="0" w:color="auto"/>
            </w:tcBorders>
            <w:shd w:val="clear" w:color="auto" w:fill="auto"/>
            <w:vAlign w:val="bottom"/>
          </w:tcPr>
          <w:p w:rsidR="00FE02E2" w:rsidRPr="0031094B" w:rsidRDefault="00FE02E2" w:rsidP="009A2B69">
            <w:pPr>
              <w:widowControl w:val="0"/>
              <w:jc w:val="center"/>
              <w:rPr>
                <w:rFonts w:ascii="Arial" w:hAnsi="Arial" w:cs="Arial"/>
                <w:b/>
                <w:bCs/>
                <w:snapToGrid w:val="0"/>
                <w:sz w:val="18"/>
                <w:szCs w:val="16"/>
              </w:rPr>
            </w:pPr>
          </w:p>
        </w:tc>
        <w:tc>
          <w:tcPr>
            <w:tcW w:w="1854" w:type="dxa"/>
            <w:gridSpan w:val="2"/>
            <w:tcBorders>
              <w:bottom w:val="single" w:sz="4" w:space="0" w:color="auto"/>
            </w:tcBorders>
            <w:shd w:val="clear" w:color="auto" w:fill="auto"/>
            <w:vAlign w:val="bottom"/>
          </w:tcPr>
          <w:p w:rsidR="00FE02E2" w:rsidRPr="0031094B" w:rsidRDefault="00FE02E2" w:rsidP="006417E6">
            <w:pPr>
              <w:widowControl w:val="0"/>
              <w:jc w:val="center"/>
              <w:rPr>
                <w:rFonts w:ascii="Arial" w:hAnsi="Arial" w:cs="Arial"/>
                <w:b/>
                <w:bCs/>
                <w:snapToGrid w:val="0"/>
                <w:sz w:val="18"/>
                <w:szCs w:val="16"/>
              </w:rPr>
            </w:pPr>
            <w:r w:rsidRPr="000B3AE3">
              <w:rPr>
                <w:rFonts w:ascii="Arial" w:hAnsi="Arial" w:cs="Arial"/>
                <w:b/>
                <w:bCs/>
                <w:snapToGrid w:val="0"/>
                <w:sz w:val="20"/>
                <w:szCs w:val="16"/>
              </w:rPr>
              <w:t>Sample size</w:t>
            </w:r>
          </w:p>
        </w:tc>
        <w:tc>
          <w:tcPr>
            <w:tcW w:w="1375" w:type="dxa"/>
            <w:tcBorders>
              <w:bottom w:val="single" w:sz="4" w:space="0" w:color="auto"/>
            </w:tcBorders>
            <w:shd w:val="clear" w:color="auto" w:fill="auto"/>
            <w:vAlign w:val="center"/>
          </w:tcPr>
          <w:p w:rsidR="00FE02E2" w:rsidRDefault="00FE02E2" w:rsidP="006417E6">
            <w:pPr>
              <w:widowControl w:val="0"/>
              <w:jc w:val="center"/>
              <w:rPr>
                <w:rFonts w:ascii="Arial" w:hAnsi="Arial" w:cs="Arial"/>
                <w:b/>
                <w:bCs/>
                <w:snapToGrid w:val="0"/>
                <w:sz w:val="18"/>
                <w:szCs w:val="16"/>
              </w:rPr>
            </w:pPr>
          </w:p>
        </w:tc>
      </w:tr>
      <w:tr w:rsidR="00944F1A" w:rsidRPr="00734AF8" w:rsidTr="00944F1A">
        <w:trPr>
          <w:trHeight w:val="288"/>
        </w:trPr>
        <w:tc>
          <w:tcPr>
            <w:tcW w:w="2126" w:type="dxa"/>
            <w:tcBorders>
              <w:bottom w:val="single" w:sz="4" w:space="0" w:color="auto"/>
            </w:tcBorders>
            <w:shd w:val="clear" w:color="auto" w:fill="auto"/>
            <w:vAlign w:val="bottom"/>
          </w:tcPr>
          <w:p w:rsidR="00944F1A" w:rsidRPr="0031094B" w:rsidRDefault="00944F1A" w:rsidP="009A2B69">
            <w:pPr>
              <w:keepNext/>
              <w:widowControl w:val="0"/>
              <w:tabs>
                <w:tab w:val="left" w:pos="0"/>
              </w:tabs>
              <w:suppressAutoHyphens/>
              <w:jc w:val="center"/>
              <w:outlineLvl w:val="2"/>
              <w:rPr>
                <w:rFonts w:ascii="Arial" w:hAnsi="Arial" w:cs="Arial"/>
                <w:b/>
                <w:bCs/>
                <w:snapToGrid w:val="0"/>
                <w:sz w:val="18"/>
                <w:szCs w:val="16"/>
              </w:rPr>
            </w:pPr>
            <w:bookmarkStart w:id="1" w:name="_Hlk225845141"/>
            <w:r w:rsidRPr="0031094B">
              <w:rPr>
                <w:rFonts w:ascii="Arial" w:hAnsi="Arial" w:cs="Arial"/>
                <w:b/>
                <w:bCs/>
                <w:snapToGrid w:val="0"/>
                <w:sz w:val="18"/>
                <w:szCs w:val="16"/>
              </w:rPr>
              <w:t>Country by income category</w:t>
            </w:r>
          </w:p>
        </w:tc>
        <w:tc>
          <w:tcPr>
            <w:tcW w:w="1170" w:type="dxa"/>
            <w:tcBorders>
              <w:bottom w:val="single" w:sz="4" w:space="0" w:color="auto"/>
            </w:tcBorders>
            <w:shd w:val="clear" w:color="auto" w:fill="auto"/>
            <w:vAlign w:val="center"/>
          </w:tcPr>
          <w:p w:rsidR="00944F1A" w:rsidRPr="0031094B" w:rsidRDefault="00944F1A" w:rsidP="009A2B69">
            <w:pPr>
              <w:widowControl w:val="0"/>
              <w:jc w:val="center"/>
              <w:rPr>
                <w:rFonts w:ascii="Arial" w:hAnsi="Arial" w:cs="Arial"/>
                <w:b/>
                <w:bCs/>
                <w:snapToGrid w:val="0"/>
                <w:sz w:val="18"/>
                <w:szCs w:val="16"/>
              </w:rPr>
            </w:pPr>
          </w:p>
          <w:p w:rsidR="00944F1A" w:rsidRPr="0031094B" w:rsidRDefault="00944F1A" w:rsidP="009A2B69">
            <w:pPr>
              <w:widowControl w:val="0"/>
              <w:jc w:val="center"/>
              <w:rPr>
                <w:rFonts w:ascii="Arial" w:hAnsi="Arial" w:cs="Arial"/>
                <w:b/>
                <w:bCs/>
                <w:snapToGrid w:val="0"/>
                <w:sz w:val="18"/>
                <w:szCs w:val="16"/>
              </w:rPr>
            </w:pPr>
          </w:p>
          <w:p w:rsidR="00944F1A" w:rsidRPr="0031094B" w:rsidRDefault="00944F1A" w:rsidP="009A2B69">
            <w:pPr>
              <w:widowControl w:val="0"/>
              <w:jc w:val="center"/>
              <w:rPr>
                <w:rFonts w:ascii="Arial" w:hAnsi="Arial" w:cs="Arial"/>
                <w:b/>
                <w:bCs/>
                <w:i/>
                <w:iCs/>
                <w:snapToGrid w:val="0"/>
                <w:sz w:val="18"/>
                <w:szCs w:val="16"/>
              </w:rPr>
            </w:pPr>
            <w:proofErr w:type="spellStart"/>
            <w:r w:rsidRPr="0031094B">
              <w:rPr>
                <w:rFonts w:ascii="Arial" w:hAnsi="Arial" w:cs="Arial"/>
                <w:b/>
                <w:bCs/>
                <w:snapToGrid w:val="0"/>
                <w:sz w:val="18"/>
                <w:szCs w:val="16"/>
              </w:rPr>
              <w:t>Survey</w:t>
            </w:r>
            <w:r w:rsidRPr="007732A0">
              <w:rPr>
                <w:rFonts w:ascii="Arial" w:hAnsi="Arial" w:cs="Arial"/>
                <w:bCs/>
                <w:i/>
                <w:iCs/>
                <w:snapToGrid w:val="0"/>
                <w:sz w:val="18"/>
                <w:szCs w:val="16"/>
                <w:vertAlign w:val="superscript"/>
              </w:rPr>
              <w:t>b</w:t>
            </w:r>
            <w:proofErr w:type="spellEnd"/>
          </w:p>
        </w:tc>
        <w:tc>
          <w:tcPr>
            <w:tcW w:w="5193" w:type="dxa"/>
            <w:tcBorders>
              <w:bottom w:val="single" w:sz="4" w:space="0" w:color="auto"/>
            </w:tcBorders>
            <w:shd w:val="clear" w:color="auto" w:fill="auto"/>
            <w:vAlign w:val="center"/>
          </w:tcPr>
          <w:p w:rsidR="00944F1A" w:rsidRPr="0031094B" w:rsidRDefault="00944F1A" w:rsidP="009A2B69">
            <w:pPr>
              <w:widowControl w:val="0"/>
              <w:jc w:val="center"/>
              <w:rPr>
                <w:rFonts w:ascii="Arial" w:hAnsi="Arial" w:cs="Arial"/>
                <w:b/>
                <w:bCs/>
                <w:snapToGrid w:val="0"/>
                <w:sz w:val="18"/>
                <w:szCs w:val="16"/>
              </w:rPr>
            </w:pPr>
          </w:p>
          <w:p w:rsidR="00944F1A" w:rsidRPr="0031094B" w:rsidRDefault="00944F1A" w:rsidP="009A2B69">
            <w:pPr>
              <w:widowControl w:val="0"/>
              <w:jc w:val="center"/>
              <w:rPr>
                <w:rFonts w:ascii="Arial" w:hAnsi="Arial" w:cs="Arial"/>
                <w:b/>
                <w:bCs/>
                <w:snapToGrid w:val="0"/>
                <w:sz w:val="18"/>
                <w:szCs w:val="16"/>
              </w:rPr>
            </w:pPr>
          </w:p>
          <w:p w:rsidR="00944F1A" w:rsidRPr="0031094B" w:rsidRDefault="00944F1A" w:rsidP="009A2B69">
            <w:pPr>
              <w:widowControl w:val="0"/>
              <w:jc w:val="center"/>
              <w:rPr>
                <w:rFonts w:ascii="Arial" w:hAnsi="Arial" w:cs="Arial"/>
                <w:b/>
                <w:bCs/>
                <w:i/>
                <w:iCs/>
                <w:snapToGrid w:val="0"/>
                <w:sz w:val="18"/>
                <w:szCs w:val="16"/>
              </w:rPr>
            </w:pPr>
            <w:r w:rsidRPr="0031094B">
              <w:rPr>
                <w:rFonts w:ascii="Arial" w:hAnsi="Arial" w:cs="Arial"/>
                <w:b/>
                <w:bCs/>
                <w:snapToGrid w:val="0"/>
                <w:sz w:val="18"/>
                <w:szCs w:val="16"/>
              </w:rPr>
              <w:t xml:space="preserve">Sample </w:t>
            </w:r>
            <w:proofErr w:type="spellStart"/>
            <w:r w:rsidRPr="0031094B">
              <w:rPr>
                <w:rFonts w:ascii="Arial" w:hAnsi="Arial" w:cs="Arial"/>
                <w:b/>
                <w:bCs/>
                <w:snapToGrid w:val="0"/>
                <w:sz w:val="18"/>
                <w:szCs w:val="16"/>
              </w:rPr>
              <w:t>characteristics</w:t>
            </w:r>
            <w:r w:rsidRPr="0031094B">
              <w:rPr>
                <w:rFonts w:ascii="Arial" w:hAnsi="Arial" w:cs="Arial"/>
                <w:b/>
                <w:bCs/>
                <w:i/>
                <w:iCs/>
                <w:snapToGrid w:val="0"/>
                <w:sz w:val="18"/>
                <w:szCs w:val="16"/>
                <w:vertAlign w:val="superscript"/>
              </w:rPr>
              <w:t>c</w:t>
            </w:r>
            <w:proofErr w:type="spellEnd"/>
          </w:p>
        </w:tc>
        <w:tc>
          <w:tcPr>
            <w:tcW w:w="1080" w:type="dxa"/>
            <w:tcBorders>
              <w:bottom w:val="single" w:sz="4" w:space="0" w:color="auto"/>
            </w:tcBorders>
            <w:shd w:val="clear" w:color="auto" w:fill="auto"/>
            <w:vAlign w:val="bottom"/>
          </w:tcPr>
          <w:p w:rsidR="00944F1A" w:rsidRPr="0031094B" w:rsidRDefault="00944F1A" w:rsidP="009A2B69">
            <w:pPr>
              <w:widowControl w:val="0"/>
              <w:jc w:val="center"/>
              <w:rPr>
                <w:rFonts w:ascii="Arial" w:hAnsi="Arial" w:cs="Arial"/>
                <w:b/>
                <w:bCs/>
                <w:snapToGrid w:val="0"/>
                <w:sz w:val="18"/>
                <w:szCs w:val="16"/>
              </w:rPr>
            </w:pPr>
          </w:p>
          <w:p w:rsidR="00944F1A" w:rsidRPr="0031094B" w:rsidRDefault="00944F1A" w:rsidP="009A2B69">
            <w:pPr>
              <w:widowControl w:val="0"/>
              <w:jc w:val="center"/>
              <w:rPr>
                <w:rFonts w:ascii="Arial" w:hAnsi="Arial" w:cs="Arial"/>
                <w:b/>
                <w:bCs/>
                <w:snapToGrid w:val="0"/>
                <w:sz w:val="18"/>
                <w:szCs w:val="16"/>
              </w:rPr>
            </w:pPr>
            <w:r w:rsidRPr="0031094B">
              <w:rPr>
                <w:rFonts w:ascii="Arial" w:hAnsi="Arial" w:cs="Arial"/>
                <w:b/>
                <w:bCs/>
                <w:snapToGrid w:val="0"/>
                <w:sz w:val="18"/>
                <w:szCs w:val="16"/>
              </w:rPr>
              <w:t>Field dates</w:t>
            </w:r>
          </w:p>
        </w:tc>
        <w:tc>
          <w:tcPr>
            <w:tcW w:w="900" w:type="dxa"/>
            <w:tcBorders>
              <w:bottom w:val="single" w:sz="4" w:space="0" w:color="auto"/>
            </w:tcBorders>
            <w:shd w:val="clear" w:color="auto" w:fill="auto"/>
            <w:vAlign w:val="bottom"/>
          </w:tcPr>
          <w:p w:rsidR="00944F1A" w:rsidRPr="0031094B" w:rsidRDefault="00944F1A" w:rsidP="009A2B69">
            <w:pPr>
              <w:widowControl w:val="0"/>
              <w:jc w:val="center"/>
              <w:rPr>
                <w:rFonts w:ascii="Arial" w:hAnsi="Arial" w:cs="Arial"/>
                <w:b/>
                <w:bCs/>
                <w:snapToGrid w:val="0"/>
                <w:sz w:val="18"/>
                <w:szCs w:val="16"/>
              </w:rPr>
            </w:pPr>
          </w:p>
          <w:p w:rsidR="00944F1A" w:rsidRPr="0031094B" w:rsidRDefault="00944F1A" w:rsidP="009A2B69">
            <w:pPr>
              <w:widowControl w:val="0"/>
              <w:jc w:val="center"/>
              <w:rPr>
                <w:rFonts w:ascii="Arial" w:hAnsi="Arial" w:cs="Arial"/>
                <w:b/>
                <w:bCs/>
                <w:snapToGrid w:val="0"/>
                <w:sz w:val="18"/>
                <w:szCs w:val="16"/>
              </w:rPr>
            </w:pPr>
            <w:r w:rsidRPr="0031094B">
              <w:rPr>
                <w:rFonts w:ascii="Arial" w:hAnsi="Arial" w:cs="Arial"/>
                <w:b/>
                <w:bCs/>
                <w:snapToGrid w:val="0"/>
                <w:sz w:val="18"/>
                <w:szCs w:val="16"/>
              </w:rPr>
              <w:t>Age range</w:t>
            </w:r>
          </w:p>
        </w:tc>
        <w:tc>
          <w:tcPr>
            <w:tcW w:w="954" w:type="dxa"/>
            <w:tcBorders>
              <w:bottom w:val="single" w:sz="4" w:space="0" w:color="auto"/>
            </w:tcBorders>
            <w:shd w:val="clear" w:color="auto" w:fill="auto"/>
            <w:vAlign w:val="bottom"/>
          </w:tcPr>
          <w:p w:rsidR="00944F1A" w:rsidRPr="0031094B" w:rsidRDefault="00944F1A" w:rsidP="006417E6">
            <w:pPr>
              <w:widowControl w:val="0"/>
              <w:jc w:val="center"/>
              <w:rPr>
                <w:rFonts w:ascii="Arial" w:hAnsi="Arial" w:cs="Arial"/>
                <w:b/>
                <w:bCs/>
                <w:snapToGrid w:val="0"/>
                <w:sz w:val="18"/>
                <w:szCs w:val="16"/>
              </w:rPr>
            </w:pPr>
            <w:r w:rsidRPr="0031094B">
              <w:rPr>
                <w:rFonts w:ascii="Arial" w:hAnsi="Arial" w:cs="Arial"/>
                <w:b/>
                <w:bCs/>
                <w:snapToGrid w:val="0"/>
                <w:sz w:val="18"/>
                <w:szCs w:val="16"/>
              </w:rPr>
              <w:t>Part I</w:t>
            </w:r>
          </w:p>
        </w:tc>
        <w:tc>
          <w:tcPr>
            <w:tcW w:w="900" w:type="dxa"/>
            <w:tcBorders>
              <w:bottom w:val="single" w:sz="4" w:space="0" w:color="auto"/>
            </w:tcBorders>
            <w:shd w:val="clear" w:color="auto" w:fill="auto"/>
            <w:vAlign w:val="bottom"/>
          </w:tcPr>
          <w:p w:rsidR="00944F1A" w:rsidRPr="0031094B" w:rsidRDefault="00944F1A" w:rsidP="006417E6">
            <w:pPr>
              <w:widowControl w:val="0"/>
              <w:jc w:val="center"/>
              <w:rPr>
                <w:rFonts w:ascii="Arial" w:hAnsi="Arial" w:cs="Arial"/>
                <w:b/>
                <w:bCs/>
                <w:snapToGrid w:val="0"/>
                <w:sz w:val="18"/>
                <w:szCs w:val="16"/>
              </w:rPr>
            </w:pPr>
            <w:r w:rsidRPr="0031094B">
              <w:rPr>
                <w:rFonts w:ascii="Arial" w:hAnsi="Arial" w:cs="Arial"/>
                <w:b/>
                <w:bCs/>
                <w:snapToGrid w:val="0"/>
                <w:sz w:val="18"/>
                <w:szCs w:val="16"/>
              </w:rPr>
              <w:t>Part II</w:t>
            </w:r>
          </w:p>
        </w:tc>
        <w:tc>
          <w:tcPr>
            <w:tcW w:w="1375" w:type="dxa"/>
            <w:tcBorders>
              <w:bottom w:val="single" w:sz="4" w:space="0" w:color="auto"/>
            </w:tcBorders>
            <w:shd w:val="clear" w:color="auto" w:fill="auto"/>
            <w:vAlign w:val="center"/>
          </w:tcPr>
          <w:p w:rsidR="00944F1A" w:rsidRDefault="00944F1A" w:rsidP="006417E6">
            <w:pPr>
              <w:widowControl w:val="0"/>
              <w:jc w:val="center"/>
              <w:rPr>
                <w:rFonts w:ascii="Arial" w:hAnsi="Arial" w:cs="Arial"/>
                <w:b/>
                <w:bCs/>
                <w:snapToGrid w:val="0"/>
                <w:sz w:val="18"/>
                <w:szCs w:val="16"/>
              </w:rPr>
            </w:pPr>
          </w:p>
          <w:p w:rsidR="00944F1A" w:rsidRDefault="00944F1A" w:rsidP="006417E6">
            <w:pPr>
              <w:widowControl w:val="0"/>
              <w:jc w:val="center"/>
              <w:rPr>
                <w:rFonts w:ascii="Arial" w:hAnsi="Arial" w:cs="Arial"/>
                <w:b/>
                <w:bCs/>
                <w:snapToGrid w:val="0"/>
                <w:sz w:val="18"/>
                <w:szCs w:val="16"/>
              </w:rPr>
            </w:pPr>
          </w:p>
          <w:p w:rsidR="00944F1A" w:rsidRPr="0031094B" w:rsidRDefault="00944F1A" w:rsidP="001B3755">
            <w:pPr>
              <w:widowControl w:val="0"/>
              <w:jc w:val="center"/>
              <w:rPr>
                <w:rFonts w:ascii="Arial" w:hAnsi="Arial" w:cs="Arial"/>
                <w:snapToGrid w:val="0"/>
                <w:sz w:val="18"/>
                <w:szCs w:val="16"/>
              </w:rPr>
            </w:pPr>
            <w:r w:rsidRPr="0031094B">
              <w:rPr>
                <w:rFonts w:ascii="Arial" w:hAnsi="Arial" w:cs="Arial"/>
                <w:b/>
                <w:bCs/>
                <w:snapToGrid w:val="0"/>
                <w:sz w:val="18"/>
                <w:szCs w:val="16"/>
              </w:rPr>
              <w:t>Response rate</w:t>
            </w:r>
            <w:r w:rsidR="001B3755">
              <w:rPr>
                <w:rFonts w:ascii="Arial" w:hAnsi="Arial" w:cs="Arial"/>
                <w:b/>
                <w:bCs/>
                <w:i/>
                <w:iCs/>
                <w:snapToGrid w:val="0"/>
                <w:sz w:val="18"/>
                <w:szCs w:val="16"/>
                <w:vertAlign w:val="superscript"/>
              </w:rPr>
              <w:t>d</w:t>
            </w:r>
          </w:p>
        </w:tc>
      </w:tr>
      <w:tr w:rsidR="00944F1A" w:rsidRPr="00734AF8" w:rsidTr="00944F1A">
        <w:trPr>
          <w:trHeight w:val="230"/>
        </w:trPr>
        <w:tc>
          <w:tcPr>
            <w:tcW w:w="8489" w:type="dxa"/>
            <w:gridSpan w:val="3"/>
            <w:tcBorders>
              <w:top w:val="single" w:sz="4" w:space="0" w:color="auto"/>
            </w:tcBorders>
            <w:vAlign w:val="bottom"/>
          </w:tcPr>
          <w:p w:rsidR="00944F1A" w:rsidRPr="00234FFD" w:rsidRDefault="00944F1A" w:rsidP="006417E6">
            <w:pPr>
              <w:widowControl w:val="0"/>
              <w:ind w:left="252" w:hanging="252"/>
              <w:rPr>
                <w:rFonts w:ascii="Arial" w:hAnsi="Arial" w:cs="Arial"/>
                <w:snapToGrid w:val="0"/>
                <w:sz w:val="20"/>
                <w:szCs w:val="20"/>
              </w:rPr>
            </w:pPr>
            <w:r w:rsidRPr="00234FFD">
              <w:rPr>
                <w:rFonts w:ascii="Arial" w:hAnsi="Arial" w:cs="Arial"/>
                <w:b/>
                <w:bCs/>
                <w:sz w:val="20"/>
                <w:szCs w:val="20"/>
              </w:rPr>
              <w:t>I. Low and lower middle income countries</w:t>
            </w:r>
          </w:p>
        </w:tc>
        <w:tc>
          <w:tcPr>
            <w:tcW w:w="1080" w:type="dxa"/>
            <w:tcBorders>
              <w:top w:val="single" w:sz="4" w:space="0" w:color="auto"/>
            </w:tcBorders>
          </w:tcPr>
          <w:p w:rsidR="00944F1A" w:rsidRPr="00234FFD" w:rsidRDefault="00944F1A" w:rsidP="00234FFD">
            <w:pPr>
              <w:widowControl w:val="0"/>
              <w:jc w:val="center"/>
              <w:rPr>
                <w:rFonts w:ascii="Arial" w:hAnsi="Arial" w:cs="Arial"/>
                <w:snapToGrid w:val="0"/>
                <w:sz w:val="20"/>
                <w:szCs w:val="20"/>
              </w:rPr>
            </w:pPr>
          </w:p>
        </w:tc>
        <w:tc>
          <w:tcPr>
            <w:tcW w:w="900" w:type="dxa"/>
            <w:tcBorders>
              <w:top w:val="single" w:sz="4" w:space="0" w:color="auto"/>
            </w:tcBorders>
          </w:tcPr>
          <w:p w:rsidR="00944F1A" w:rsidRPr="00234FFD" w:rsidRDefault="00944F1A" w:rsidP="00234FFD">
            <w:pPr>
              <w:widowControl w:val="0"/>
              <w:jc w:val="center"/>
              <w:rPr>
                <w:rFonts w:ascii="Arial" w:hAnsi="Arial" w:cs="Arial"/>
                <w:snapToGrid w:val="0"/>
                <w:sz w:val="20"/>
                <w:szCs w:val="20"/>
              </w:rPr>
            </w:pPr>
          </w:p>
        </w:tc>
        <w:tc>
          <w:tcPr>
            <w:tcW w:w="954" w:type="dxa"/>
            <w:tcBorders>
              <w:top w:val="single" w:sz="4" w:space="0" w:color="auto"/>
            </w:tcBorders>
          </w:tcPr>
          <w:p w:rsidR="00944F1A" w:rsidRPr="00234FFD" w:rsidRDefault="00944F1A" w:rsidP="00234FFD">
            <w:pPr>
              <w:widowControl w:val="0"/>
              <w:jc w:val="center"/>
              <w:rPr>
                <w:rFonts w:ascii="Arial" w:hAnsi="Arial" w:cs="Arial"/>
                <w:snapToGrid w:val="0"/>
                <w:sz w:val="20"/>
                <w:szCs w:val="20"/>
              </w:rPr>
            </w:pPr>
          </w:p>
        </w:tc>
        <w:tc>
          <w:tcPr>
            <w:tcW w:w="900" w:type="dxa"/>
            <w:tcBorders>
              <w:top w:val="single" w:sz="4" w:space="0" w:color="auto"/>
            </w:tcBorders>
          </w:tcPr>
          <w:p w:rsidR="00944F1A" w:rsidRPr="00234FFD" w:rsidRDefault="00944F1A" w:rsidP="00234FFD">
            <w:pPr>
              <w:widowControl w:val="0"/>
              <w:jc w:val="center"/>
              <w:rPr>
                <w:rFonts w:ascii="Arial" w:hAnsi="Arial" w:cs="Arial"/>
                <w:snapToGrid w:val="0"/>
                <w:sz w:val="20"/>
                <w:szCs w:val="20"/>
              </w:rPr>
            </w:pPr>
          </w:p>
        </w:tc>
        <w:tc>
          <w:tcPr>
            <w:tcW w:w="1375" w:type="dxa"/>
            <w:tcBorders>
              <w:top w:val="single" w:sz="4" w:space="0" w:color="auto"/>
            </w:tcBorders>
          </w:tcPr>
          <w:p w:rsidR="00944F1A" w:rsidRPr="00234FFD" w:rsidRDefault="00944F1A" w:rsidP="00234FFD">
            <w:pPr>
              <w:widowControl w:val="0"/>
              <w:jc w:val="center"/>
              <w:rPr>
                <w:rFonts w:ascii="Arial" w:hAnsi="Arial" w:cs="Arial"/>
                <w:snapToGrid w:val="0"/>
                <w:sz w:val="20"/>
                <w:szCs w:val="20"/>
              </w:rPr>
            </w:pPr>
          </w:p>
        </w:tc>
      </w:tr>
      <w:tr w:rsidR="00C66F18" w:rsidRPr="00734AF8" w:rsidTr="00AF3F39">
        <w:trPr>
          <w:trHeight w:val="230"/>
        </w:trPr>
        <w:tc>
          <w:tcPr>
            <w:tcW w:w="2126" w:type="dxa"/>
            <w:vAlign w:val="center"/>
          </w:tcPr>
          <w:p w:rsidR="00C66F18" w:rsidRDefault="00C66F18" w:rsidP="00AF3F39">
            <w:pPr>
              <w:rPr>
                <w:rFonts w:ascii="Arial" w:hAnsi="Arial" w:cs="Arial"/>
                <w:color w:val="000000"/>
                <w:sz w:val="20"/>
                <w:szCs w:val="20"/>
              </w:rPr>
            </w:pPr>
          </w:p>
        </w:tc>
        <w:tc>
          <w:tcPr>
            <w:tcW w:w="1170" w:type="dxa"/>
            <w:vAlign w:val="center"/>
          </w:tcPr>
          <w:p w:rsidR="00C66F18" w:rsidRDefault="00C66F18">
            <w:pPr>
              <w:jc w:val="center"/>
              <w:rPr>
                <w:rFonts w:ascii="Arial" w:hAnsi="Arial" w:cs="Arial"/>
                <w:color w:val="000000"/>
                <w:sz w:val="20"/>
                <w:szCs w:val="20"/>
              </w:rPr>
            </w:pPr>
          </w:p>
        </w:tc>
        <w:tc>
          <w:tcPr>
            <w:tcW w:w="5193" w:type="dxa"/>
            <w:vAlign w:val="center"/>
          </w:tcPr>
          <w:p w:rsidR="00C66F18" w:rsidRDefault="00C66F18" w:rsidP="002B6F19">
            <w:pPr>
              <w:rPr>
                <w:rFonts w:ascii="Arial" w:hAnsi="Arial" w:cs="Arial"/>
                <w:color w:val="000000"/>
                <w:sz w:val="20"/>
                <w:szCs w:val="20"/>
              </w:rPr>
            </w:pPr>
          </w:p>
        </w:tc>
        <w:tc>
          <w:tcPr>
            <w:tcW w:w="1080" w:type="dxa"/>
            <w:vAlign w:val="center"/>
          </w:tcPr>
          <w:p w:rsidR="00C66F18" w:rsidRDefault="00C66F18">
            <w:pPr>
              <w:jc w:val="center"/>
              <w:rPr>
                <w:rFonts w:ascii="Arial" w:hAnsi="Arial" w:cs="Arial"/>
                <w:color w:val="000000"/>
                <w:sz w:val="20"/>
                <w:szCs w:val="20"/>
              </w:rPr>
            </w:pPr>
          </w:p>
        </w:tc>
        <w:tc>
          <w:tcPr>
            <w:tcW w:w="900" w:type="dxa"/>
            <w:vAlign w:val="center"/>
          </w:tcPr>
          <w:p w:rsidR="00C66F18" w:rsidRDefault="00C66F18">
            <w:pPr>
              <w:jc w:val="center"/>
              <w:rPr>
                <w:rFonts w:ascii="Arial" w:hAnsi="Arial" w:cs="Arial"/>
                <w:color w:val="000000"/>
                <w:sz w:val="20"/>
                <w:szCs w:val="20"/>
              </w:rPr>
            </w:pPr>
          </w:p>
        </w:tc>
        <w:tc>
          <w:tcPr>
            <w:tcW w:w="954" w:type="dxa"/>
            <w:vAlign w:val="center"/>
          </w:tcPr>
          <w:p w:rsidR="00C66F18" w:rsidRDefault="00C66F18">
            <w:pPr>
              <w:jc w:val="center"/>
              <w:rPr>
                <w:rFonts w:ascii="Arial" w:hAnsi="Arial" w:cs="Arial"/>
                <w:color w:val="000000"/>
                <w:sz w:val="20"/>
                <w:szCs w:val="20"/>
              </w:rPr>
            </w:pPr>
          </w:p>
        </w:tc>
        <w:tc>
          <w:tcPr>
            <w:tcW w:w="900" w:type="dxa"/>
            <w:vAlign w:val="center"/>
          </w:tcPr>
          <w:p w:rsidR="00C66F18" w:rsidRDefault="00C66F18">
            <w:pPr>
              <w:jc w:val="center"/>
              <w:rPr>
                <w:rFonts w:ascii="Arial" w:hAnsi="Arial" w:cs="Arial"/>
                <w:color w:val="000000"/>
                <w:sz w:val="20"/>
                <w:szCs w:val="20"/>
              </w:rPr>
            </w:pPr>
          </w:p>
        </w:tc>
        <w:tc>
          <w:tcPr>
            <w:tcW w:w="1375" w:type="dxa"/>
            <w:vAlign w:val="center"/>
          </w:tcPr>
          <w:p w:rsidR="00C66F18" w:rsidRDefault="00C66F18">
            <w:pPr>
              <w:jc w:val="center"/>
              <w:rPr>
                <w:rFonts w:ascii="Arial" w:hAnsi="Arial" w:cs="Arial"/>
                <w:color w:val="000000"/>
                <w:sz w:val="20"/>
                <w:szCs w:val="20"/>
              </w:rPr>
            </w:pPr>
          </w:p>
        </w:tc>
      </w:tr>
      <w:tr w:rsidR="002B6F19" w:rsidRPr="00734AF8" w:rsidTr="00AF3F39">
        <w:trPr>
          <w:trHeight w:val="230"/>
        </w:trPr>
        <w:tc>
          <w:tcPr>
            <w:tcW w:w="2126" w:type="dxa"/>
            <w:vAlign w:val="center"/>
          </w:tcPr>
          <w:p w:rsidR="002B6F19" w:rsidRDefault="002B6F19" w:rsidP="00AF3F39">
            <w:pPr>
              <w:rPr>
                <w:rFonts w:ascii="Arial" w:hAnsi="Arial" w:cs="Arial"/>
                <w:color w:val="000000"/>
                <w:sz w:val="20"/>
                <w:szCs w:val="20"/>
              </w:rPr>
            </w:pPr>
            <w:r>
              <w:rPr>
                <w:rFonts w:ascii="Arial" w:hAnsi="Arial" w:cs="Arial"/>
                <w:color w:val="000000"/>
                <w:sz w:val="20"/>
                <w:szCs w:val="20"/>
              </w:rPr>
              <w:t>Colombia</w:t>
            </w:r>
          </w:p>
        </w:tc>
        <w:tc>
          <w:tcPr>
            <w:tcW w:w="1170" w:type="dxa"/>
            <w:vAlign w:val="center"/>
          </w:tcPr>
          <w:p w:rsidR="002B6F19" w:rsidRDefault="002B6F19">
            <w:pPr>
              <w:jc w:val="center"/>
              <w:rPr>
                <w:rFonts w:ascii="Arial" w:hAnsi="Arial" w:cs="Arial"/>
                <w:color w:val="000000"/>
                <w:sz w:val="20"/>
                <w:szCs w:val="20"/>
              </w:rPr>
            </w:pPr>
            <w:r>
              <w:rPr>
                <w:rFonts w:ascii="Arial" w:hAnsi="Arial" w:cs="Arial"/>
                <w:color w:val="000000"/>
                <w:sz w:val="20"/>
                <w:szCs w:val="20"/>
              </w:rPr>
              <w:t>NSMH</w:t>
            </w:r>
          </w:p>
        </w:tc>
        <w:tc>
          <w:tcPr>
            <w:tcW w:w="5193" w:type="dxa"/>
            <w:vAlign w:val="center"/>
          </w:tcPr>
          <w:p w:rsidR="002B6F19" w:rsidRDefault="00557D7F" w:rsidP="002B6F19">
            <w:pPr>
              <w:rPr>
                <w:rFonts w:ascii="Arial" w:hAnsi="Arial" w:cs="Arial"/>
                <w:color w:val="000000"/>
                <w:sz w:val="20"/>
                <w:szCs w:val="20"/>
              </w:rPr>
            </w:pPr>
            <w:r>
              <w:rPr>
                <w:rFonts w:ascii="Arial" w:hAnsi="Arial" w:cs="Arial"/>
                <w:color w:val="000000"/>
                <w:sz w:val="20"/>
                <w:szCs w:val="20"/>
              </w:rPr>
              <w:t>All urban areas of the country -</w:t>
            </w:r>
            <w:r w:rsidR="002B6F19">
              <w:rPr>
                <w:rFonts w:ascii="Arial" w:hAnsi="Arial" w:cs="Arial"/>
                <w:color w:val="000000"/>
                <w:sz w:val="20"/>
                <w:szCs w:val="20"/>
              </w:rPr>
              <w:t>approximately 73% of</w:t>
            </w:r>
            <w:r>
              <w:rPr>
                <w:rFonts w:ascii="Arial" w:hAnsi="Arial" w:cs="Arial"/>
                <w:color w:val="000000"/>
                <w:sz w:val="20"/>
                <w:szCs w:val="20"/>
              </w:rPr>
              <w:t xml:space="preserve"> the total national population</w:t>
            </w:r>
          </w:p>
          <w:p w:rsidR="002B6F19" w:rsidRDefault="002B6F19" w:rsidP="00904C63">
            <w:pPr>
              <w:rPr>
                <w:rFonts w:ascii="Arial" w:hAnsi="Arial" w:cs="Arial"/>
                <w:color w:val="000000"/>
                <w:sz w:val="20"/>
                <w:szCs w:val="20"/>
              </w:rPr>
            </w:pPr>
          </w:p>
        </w:tc>
        <w:tc>
          <w:tcPr>
            <w:tcW w:w="1080" w:type="dxa"/>
            <w:vAlign w:val="center"/>
          </w:tcPr>
          <w:p w:rsidR="002B6F19" w:rsidRDefault="002B6F19">
            <w:pPr>
              <w:jc w:val="center"/>
              <w:rPr>
                <w:rFonts w:ascii="Arial" w:hAnsi="Arial" w:cs="Arial"/>
                <w:color w:val="000000"/>
                <w:sz w:val="20"/>
                <w:szCs w:val="20"/>
              </w:rPr>
            </w:pPr>
            <w:r>
              <w:rPr>
                <w:rFonts w:ascii="Arial" w:hAnsi="Arial" w:cs="Arial"/>
                <w:color w:val="000000"/>
                <w:sz w:val="20"/>
                <w:szCs w:val="20"/>
              </w:rPr>
              <w:t>2003</w:t>
            </w:r>
          </w:p>
        </w:tc>
        <w:tc>
          <w:tcPr>
            <w:tcW w:w="900" w:type="dxa"/>
            <w:vAlign w:val="center"/>
          </w:tcPr>
          <w:p w:rsidR="002B6F19" w:rsidRDefault="002B6F19">
            <w:pPr>
              <w:jc w:val="center"/>
              <w:rPr>
                <w:rFonts w:ascii="Arial" w:hAnsi="Arial" w:cs="Arial"/>
                <w:color w:val="000000"/>
                <w:sz w:val="20"/>
                <w:szCs w:val="20"/>
              </w:rPr>
            </w:pPr>
            <w:r>
              <w:rPr>
                <w:rFonts w:ascii="Arial" w:hAnsi="Arial" w:cs="Arial"/>
                <w:color w:val="000000"/>
                <w:sz w:val="20"/>
                <w:szCs w:val="20"/>
              </w:rPr>
              <w:t>18-65</w:t>
            </w:r>
          </w:p>
        </w:tc>
        <w:tc>
          <w:tcPr>
            <w:tcW w:w="954" w:type="dxa"/>
            <w:vAlign w:val="center"/>
          </w:tcPr>
          <w:p w:rsidR="002B6F19" w:rsidRDefault="002B6F19">
            <w:pPr>
              <w:jc w:val="center"/>
              <w:rPr>
                <w:rFonts w:ascii="Arial" w:hAnsi="Arial" w:cs="Arial"/>
                <w:color w:val="000000"/>
                <w:sz w:val="20"/>
                <w:szCs w:val="20"/>
              </w:rPr>
            </w:pPr>
            <w:r>
              <w:rPr>
                <w:rFonts w:ascii="Arial" w:hAnsi="Arial" w:cs="Arial"/>
                <w:color w:val="000000"/>
                <w:sz w:val="20"/>
                <w:szCs w:val="20"/>
              </w:rPr>
              <w:t>4,426</w:t>
            </w:r>
          </w:p>
        </w:tc>
        <w:tc>
          <w:tcPr>
            <w:tcW w:w="900" w:type="dxa"/>
            <w:vAlign w:val="center"/>
          </w:tcPr>
          <w:p w:rsidR="002B6F19" w:rsidRDefault="002B6F19">
            <w:pPr>
              <w:jc w:val="center"/>
              <w:rPr>
                <w:rFonts w:ascii="Arial" w:hAnsi="Arial" w:cs="Arial"/>
                <w:color w:val="000000"/>
                <w:sz w:val="20"/>
                <w:szCs w:val="20"/>
              </w:rPr>
            </w:pPr>
            <w:r>
              <w:rPr>
                <w:rFonts w:ascii="Arial" w:hAnsi="Arial" w:cs="Arial"/>
                <w:color w:val="000000"/>
                <w:sz w:val="20"/>
                <w:szCs w:val="20"/>
              </w:rPr>
              <w:t>2,381</w:t>
            </w:r>
          </w:p>
        </w:tc>
        <w:tc>
          <w:tcPr>
            <w:tcW w:w="1375" w:type="dxa"/>
            <w:vAlign w:val="center"/>
          </w:tcPr>
          <w:p w:rsidR="002B6F19" w:rsidRDefault="002B6F19">
            <w:pPr>
              <w:jc w:val="center"/>
              <w:rPr>
                <w:rFonts w:ascii="Arial" w:hAnsi="Arial" w:cs="Arial"/>
                <w:color w:val="000000"/>
                <w:sz w:val="20"/>
                <w:szCs w:val="20"/>
              </w:rPr>
            </w:pPr>
            <w:r>
              <w:rPr>
                <w:rFonts w:ascii="Arial" w:hAnsi="Arial" w:cs="Arial"/>
                <w:color w:val="000000"/>
                <w:sz w:val="20"/>
                <w:szCs w:val="20"/>
              </w:rPr>
              <w:t>87.7</w:t>
            </w:r>
          </w:p>
        </w:tc>
      </w:tr>
      <w:tr w:rsidR="00944F1A" w:rsidRPr="00734AF8" w:rsidTr="003C33D3">
        <w:trPr>
          <w:trHeight w:val="230"/>
        </w:trPr>
        <w:tc>
          <w:tcPr>
            <w:tcW w:w="2126" w:type="dxa"/>
            <w:vAlign w:val="center"/>
          </w:tcPr>
          <w:p w:rsidR="00944F1A" w:rsidRDefault="00944F1A" w:rsidP="000D1C77">
            <w:pPr>
              <w:rPr>
                <w:rFonts w:ascii="Arial" w:hAnsi="Arial" w:cs="Arial"/>
                <w:color w:val="000000"/>
                <w:sz w:val="20"/>
                <w:szCs w:val="20"/>
              </w:rPr>
            </w:pPr>
            <w:bookmarkStart w:id="2" w:name="_Hlk260748864"/>
            <w:bookmarkStart w:id="3" w:name="_Hlk261272294"/>
            <w:r>
              <w:rPr>
                <w:rFonts w:ascii="Arial" w:hAnsi="Arial" w:cs="Arial"/>
                <w:color w:val="000000"/>
                <w:sz w:val="20"/>
                <w:szCs w:val="20"/>
              </w:rPr>
              <w:t>Peru</w:t>
            </w:r>
            <w:r w:rsidR="00904C63">
              <w:rPr>
                <w:rFonts w:ascii="Arial" w:hAnsi="Arial" w:cs="Arial"/>
                <w:color w:val="000000"/>
                <w:sz w:val="20"/>
                <w:szCs w:val="20"/>
              </w:rPr>
              <w:t xml:space="preserve"> </w:t>
            </w:r>
          </w:p>
        </w:tc>
        <w:tc>
          <w:tcPr>
            <w:tcW w:w="117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EMSMP</w:t>
            </w:r>
          </w:p>
        </w:tc>
        <w:tc>
          <w:tcPr>
            <w:tcW w:w="5193" w:type="dxa"/>
            <w:vAlign w:val="center"/>
          </w:tcPr>
          <w:p w:rsidR="00944F1A" w:rsidRDefault="00944F1A" w:rsidP="00904C63">
            <w:pPr>
              <w:rPr>
                <w:rFonts w:ascii="Arial" w:hAnsi="Arial" w:cs="Arial"/>
                <w:color w:val="000000"/>
                <w:sz w:val="20"/>
                <w:szCs w:val="20"/>
              </w:rPr>
            </w:pPr>
            <w:r>
              <w:rPr>
                <w:rFonts w:ascii="Arial" w:hAnsi="Arial" w:cs="Arial"/>
                <w:color w:val="000000"/>
                <w:sz w:val="20"/>
                <w:szCs w:val="20"/>
              </w:rPr>
              <w:t>Five urban areas of the country</w:t>
            </w:r>
            <w:r w:rsidR="00904C63">
              <w:rPr>
                <w:rFonts w:ascii="Arial" w:hAnsi="Arial" w:cs="Arial"/>
                <w:color w:val="000000"/>
                <w:sz w:val="20"/>
                <w:szCs w:val="20"/>
              </w:rPr>
              <w:t xml:space="preserve"> – </w:t>
            </w:r>
            <w:r>
              <w:rPr>
                <w:rFonts w:ascii="Arial" w:hAnsi="Arial" w:cs="Arial"/>
                <w:color w:val="000000"/>
                <w:sz w:val="20"/>
                <w:szCs w:val="20"/>
              </w:rPr>
              <w:t xml:space="preserve">approximately 38% of </w:t>
            </w:r>
            <w:r w:rsidR="00884137">
              <w:rPr>
                <w:rFonts w:ascii="Arial" w:hAnsi="Arial" w:cs="Arial"/>
                <w:color w:val="000000"/>
                <w:sz w:val="20"/>
                <w:szCs w:val="20"/>
              </w:rPr>
              <w:t>the total national population</w:t>
            </w:r>
            <w:r>
              <w:rPr>
                <w:rFonts w:ascii="Arial" w:hAnsi="Arial" w:cs="Arial"/>
                <w:color w:val="000000"/>
                <w:sz w:val="20"/>
                <w:szCs w:val="20"/>
              </w:rPr>
              <w:t>.</w:t>
            </w:r>
          </w:p>
        </w:tc>
        <w:tc>
          <w:tcPr>
            <w:tcW w:w="108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2004-5</w:t>
            </w:r>
          </w:p>
        </w:tc>
        <w:tc>
          <w:tcPr>
            <w:tcW w:w="90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18-65</w:t>
            </w:r>
          </w:p>
        </w:tc>
        <w:tc>
          <w:tcPr>
            <w:tcW w:w="954" w:type="dxa"/>
            <w:tcBorders>
              <w:bottom w:val="single" w:sz="4" w:space="0" w:color="auto"/>
            </w:tcBorders>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3,930</w:t>
            </w:r>
          </w:p>
        </w:tc>
        <w:tc>
          <w:tcPr>
            <w:tcW w:w="900" w:type="dxa"/>
            <w:tcBorders>
              <w:bottom w:val="single" w:sz="4" w:space="0" w:color="auto"/>
            </w:tcBorders>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1,801</w:t>
            </w:r>
          </w:p>
        </w:tc>
        <w:tc>
          <w:tcPr>
            <w:tcW w:w="1375" w:type="dxa"/>
            <w:tcBorders>
              <w:bottom w:val="single" w:sz="4" w:space="0" w:color="auto"/>
            </w:tcBorders>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90.2</w:t>
            </w:r>
          </w:p>
        </w:tc>
      </w:tr>
      <w:tr w:rsidR="00944F1A" w:rsidRPr="00734AF8" w:rsidTr="003C33D3">
        <w:trPr>
          <w:trHeight w:val="230"/>
        </w:trPr>
        <w:tc>
          <w:tcPr>
            <w:tcW w:w="2126" w:type="dxa"/>
            <w:vAlign w:val="bottom"/>
          </w:tcPr>
          <w:p w:rsidR="00944F1A" w:rsidRPr="002B6F19" w:rsidRDefault="002B6F19">
            <w:pPr>
              <w:rPr>
                <w:rFonts w:asciiTheme="minorHAnsi" w:hAnsiTheme="minorHAnsi" w:cs="Arial"/>
                <w:bCs/>
                <w:color w:val="000000"/>
                <w:sz w:val="22"/>
                <w:szCs w:val="22"/>
              </w:rPr>
            </w:pPr>
            <w:r w:rsidRPr="002B6F19">
              <w:rPr>
                <w:rFonts w:asciiTheme="minorHAnsi" w:hAnsiTheme="minorHAnsi" w:cs="Arial"/>
                <w:bCs/>
                <w:color w:val="000000"/>
                <w:sz w:val="22"/>
                <w:szCs w:val="22"/>
              </w:rPr>
              <w:t>TOTAL</w:t>
            </w:r>
          </w:p>
        </w:tc>
        <w:tc>
          <w:tcPr>
            <w:tcW w:w="1170" w:type="dxa"/>
            <w:vAlign w:val="bottom"/>
          </w:tcPr>
          <w:p w:rsidR="00944F1A" w:rsidRPr="00234FFD" w:rsidRDefault="00944F1A">
            <w:pPr>
              <w:rPr>
                <w:rFonts w:ascii="Arial" w:hAnsi="Arial" w:cs="Arial"/>
                <w:color w:val="000000"/>
                <w:sz w:val="20"/>
                <w:szCs w:val="20"/>
              </w:rPr>
            </w:pPr>
          </w:p>
        </w:tc>
        <w:tc>
          <w:tcPr>
            <w:tcW w:w="5193" w:type="dxa"/>
            <w:vAlign w:val="bottom"/>
          </w:tcPr>
          <w:p w:rsidR="00944F1A" w:rsidRPr="00234FFD" w:rsidRDefault="00944F1A">
            <w:pPr>
              <w:rPr>
                <w:rFonts w:ascii="Arial" w:hAnsi="Arial" w:cs="Arial"/>
                <w:color w:val="000000"/>
                <w:sz w:val="20"/>
                <w:szCs w:val="20"/>
              </w:rPr>
            </w:pPr>
          </w:p>
        </w:tc>
        <w:tc>
          <w:tcPr>
            <w:tcW w:w="1080" w:type="dxa"/>
            <w:vAlign w:val="bottom"/>
          </w:tcPr>
          <w:p w:rsidR="00944F1A" w:rsidRPr="00EB1514" w:rsidRDefault="00944F1A" w:rsidP="00234FFD">
            <w:pPr>
              <w:jc w:val="center"/>
              <w:rPr>
                <w:rFonts w:ascii="Arial" w:hAnsi="Arial" w:cs="Arial"/>
                <w:color w:val="000000"/>
                <w:sz w:val="20"/>
                <w:szCs w:val="20"/>
              </w:rPr>
            </w:pPr>
          </w:p>
        </w:tc>
        <w:tc>
          <w:tcPr>
            <w:tcW w:w="900" w:type="dxa"/>
            <w:vAlign w:val="bottom"/>
          </w:tcPr>
          <w:p w:rsidR="00944F1A" w:rsidRPr="00EB1514" w:rsidRDefault="00944F1A" w:rsidP="00234FFD">
            <w:pPr>
              <w:jc w:val="center"/>
              <w:rPr>
                <w:rFonts w:ascii="Arial" w:hAnsi="Arial" w:cs="Arial"/>
                <w:color w:val="000000"/>
                <w:sz w:val="20"/>
                <w:szCs w:val="20"/>
              </w:rPr>
            </w:pPr>
          </w:p>
        </w:tc>
        <w:tc>
          <w:tcPr>
            <w:tcW w:w="954" w:type="dxa"/>
            <w:tcBorders>
              <w:top w:val="single" w:sz="4" w:space="0" w:color="auto"/>
            </w:tcBorders>
            <w:vAlign w:val="bottom"/>
          </w:tcPr>
          <w:p w:rsidR="00944F1A" w:rsidRPr="002B6F19" w:rsidRDefault="003C33D3" w:rsidP="000E28D6">
            <w:pPr>
              <w:jc w:val="center"/>
              <w:rPr>
                <w:rFonts w:ascii="Arial" w:hAnsi="Arial" w:cs="Arial"/>
                <w:color w:val="000000"/>
                <w:sz w:val="20"/>
                <w:szCs w:val="20"/>
              </w:rPr>
            </w:pPr>
            <w:r>
              <w:rPr>
                <w:rFonts w:ascii="Arial" w:hAnsi="Arial" w:cs="Arial"/>
                <w:color w:val="000000"/>
                <w:sz w:val="20"/>
                <w:szCs w:val="20"/>
              </w:rPr>
              <w:t>(</w:t>
            </w:r>
            <w:r w:rsidR="002B6F19" w:rsidRPr="002B6F19">
              <w:rPr>
                <w:rFonts w:ascii="Arial" w:hAnsi="Arial" w:cs="Arial"/>
                <w:color w:val="000000"/>
                <w:sz w:val="20"/>
                <w:szCs w:val="20"/>
              </w:rPr>
              <w:t>8,356</w:t>
            </w:r>
            <w:r>
              <w:rPr>
                <w:rFonts w:ascii="Arial" w:hAnsi="Arial" w:cs="Arial"/>
                <w:color w:val="000000"/>
                <w:sz w:val="20"/>
                <w:szCs w:val="20"/>
              </w:rPr>
              <w:t>)</w:t>
            </w:r>
          </w:p>
        </w:tc>
        <w:tc>
          <w:tcPr>
            <w:tcW w:w="900" w:type="dxa"/>
            <w:tcBorders>
              <w:top w:val="single" w:sz="4" w:space="0" w:color="auto"/>
            </w:tcBorders>
            <w:vAlign w:val="bottom"/>
          </w:tcPr>
          <w:p w:rsidR="00944F1A" w:rsidRPr="002B6F19" w:rsidRDefault="003C33D3" w:rsidP="000E28D6">
            <w:pPr>
              <w:jc w:val="center"/>
              <w:rPr>
                <w:rFonts w:ascii="Arial" w:hAnsi="Arial" w:cs="Arial"/>
                <w:color w:val="000000"/>
                <w:sz w:val="20"/>
                <w:szCs w:val="20"/>
              </w:rPr>
            </w:pPr>
            <w:r>
              <w:rPr>
                <w:rFonts w:ascii="Arial" w:hAnsi="Arial" w:cs="Arial"/>
                <w:color w:val="000000"/>
                <w:sz w:val="20"/>
                <w:szCs w:val="20"/>
              </w:rPr>
              <w:t>(</w:t>
            </w:r>
            <w:r w:rsidR="002B6F19" w:rsidRPr="002B6F19">
              <w:rPr>
                <w:rFonts w:ascii="Arial" w:hAnsi="Arial" w:cs="Arial"/>
                <w:color w:val="000000"/>
                <w:sz w:val="20"/>
                <w:szCs w:val="20"/>
              </w:rPr>
              <w:t>4,182</w:t>
            </w:r>
            <w:r>
              <w:rPr>
                <w:rFonts w:ascii="Arial" w:hAnsi="Arial" w:cs="Arial"/>
                <w:color w:val="000000"/>
                <w:sz w:val="20"/>
                <w:szCs w:val="20"/>
              </w:rPr>
              <w:t>)</w:t>
            </w:r>
          </w:p>
        </w:tc>
        <w:tc>
          <w:tcPr>
            <w:tcW w:w="1375" w:type="dxa"/>
            <w:tcBorders>
              <w:top w:val="single" w:sz="4" w:space="0" w:color="auto"/>
            </w:tcBorders>
            <w:vAlign w:val="bottom"/>
          </w:tcPr>
          <w:p w:rsidR="00944F1A" w:rsidRPr="00EB1514" w:rsidRDefault="002B6F19" w:rsidP="00EB1514">
            <w:pPr>
              <w:jc w:val="center"/>
              <w:rPr>
                <w:rFonts w:ascii="Arial" w:hAnsi="Arial" w:cs="Arial"/>
                <w:color w:val="000000"/>
                <w:sz w:val="20"/>
                <w:szCs w:val="20"/>
              </w:rPr>
            </w:pPr>
            <w:r>
              <w:rPr>
                <w:rFonts w:ascii="Arial" w:hAnsi="Arial" w:cs="Arial"/>
                <w:color w:val="000000"/>
                <w:sz w:val="20"/>
                <w:szCs w:val="20"/>
              </w:rPr>
              <w:t>88.9</w:t>
            </w:r>
          </w:p>
        </w:tc>
      </w:tr>
      <w:tr w:rsidR="00944F1A" w:rsidRPr="00734AF8" w:rsidTr="00944F1A">
        <w:trPr>
          <w:trHeight w:val="230"/>
        </w:trPr>
        <w:tc>
          <w:tcPr>
            <w:tcW w:w="8489" w:type="dxa"/>
            <w:gridSpan w:val="3"/>
            <w:vAlign w:val="center"/>
          </w:tcPr>
          <w:p w:rsidR="00944F1A" w:rsidRPr="00641AAF" w:rsidRDefault="00944F1A" w:rsidP="00641AAF">
            <w:pPr>
              <w:widowControl w:val="0"/>
              <w:ind w:left="252" w:hanging="252"/>
              <w:rPr>
                <w:rFonts w:ascii="Arial" w:hAnsi="Arial" w:cs="Arial"/>
                <w:b/>
                <w:bCs/>
                <w:sz w:val="20"/>
                <w:szCs w:val="20"/>
              </w:rPr>
            </w:pPr>
            <w:r w:rsidRPr="00234FFD">
              <w:rPr>
                <w:rFonts w:ascii="Arial" w:hAnsi="Arial" w:cs="Arial"/>
                <w:b/>
                <w:bCs/>
                <w:sz w:val="20"/>
                <w:szCs w:val="20"/>
              </w:rPr>
              <w:t>II. Upper-middle</w:t>
            </w:r>
            <w:r>
              <w:rPr>
                <w:rFonts w:ascii="Arial" w:hAnsi="Arial" w:cs="Arial"/>
                <w:b/>
                <w:bCs/>
                <w:sz w:val="20"/>
                <w:szCs w:val="20"/>
              </w:rPr>
              <w:t xml:space="preserve"> </w:t>
            </w:r>
            <w:r w:rsidRPr="00234FFD">
              <w:rPr>
                <w:rFonts w:ascii="Arial" w:hAnsi="Arial" w:cs="Arial"/>
                <w:b/>
                <w:bCs/>
                <w:sz w:val="20"/>
                <w:szCs w:val="20"/>
              </w:rPr>
              <w:t>income countries</w:t>
            </w:r>
          </w:p>
        </w:tc>
        <w:tc>
          <w:tcPr>
            <w:tcW w:w="1080" w:type="dxa"/>
            <w:vAlign w:val="center"/>
          </w:tcPr>
          <w:p w:rsidR="00944F1A" w:rsidRPr="00234FFD" w:rsidRDefault="00944F1A" w:rsidP="00234FFD">
            <w:pPr>
              <w:widowControl w:val="0"/>
              <w:ind w:left="252" w:hanging="252"/>
              <w:jc w:val="center"/>
              <w:rPr>
                <w:rFonts w:ascii="Arial" w:hAnsi="Arial" w:cs="Arial"/>
                <w:snapToGrid w:val="0"/>
                <w:sz w:val="20"/>
                <w:szCs w:val="20"/>
              </w:rPr>
            </w:pPr>
          </w:p>
        </w:tc>
        <w:tc>
          <w:tcPr>
            <w:tcW w:w="900" w:type="dxa"/>
            <w:vAlign w:val="center"/>
          </w:tcPr>
          <w:p w:rsidR="00944F1A" w:rsidRPr="00234FFD" w:rsidRDefault="00944F1A" w:rsidP="00234FFD">
            <w:pPr>
              <w:widowControl w:val="0"/>
              <w:jc w:val="center"/>
              <w:rPr>
                <w:rFonts w:ascii="Arial" w:hAnsi="Arial" w:cs="Arial"/>
                <w:snapToGrid w:val="0"/>
                <w:sz w:val="20"/>
                <w:szCs w:val="20"/>
              </w:rPr>
            </w:pPr>
          </w:p>
        </w:tc>
        <w:tc>
          <w:tcPr>
            <w:tcW w:w="954" w:type="dxa"/>
            <w:vAlign w:val="center"/>
          </w:tcPr>
          <w:p w:rsidR="00944F1A" w:rsidRPr="00234FFD" w:rsidRDefault="00944F1A" w:rsidP="00234FFD">
            <w:pPr>
              <w:widowControl w:val="0"/>
              <w:jc w:val="center"/>
              <w:rPr>
                <w:rFonts w:ascii="Arial" w:hAnsi="Arial" w:cs="Arial"/>
                <w:snapToGrid w:val="0"/>
                <w:sz w:val="20"/>
                <w:szCs w:val="20"/>
              </w:rPr>
            </w:pPr>
          </w:p>
        </w:tc>
        <w:tc>
          <w:tcPr>
            <w:tcW w:w="900" w:type="dxa"/>
            <w:vAlign w:val="center"/>
          </w:tcPr>
          <w:p w:rsidR="00944F1A" w:rsidRPr="00234FFD" w:rsidRDefault="00944F1A" w:rsidP="00234FFD">
            <w:pPr>
              <w:widowControl w:val="0"/>
              <w:jc w:val="center"/>
              <w:rPr>
                <w:rFonts w:ascii="Arial" w:hAnsi="Arial" w:cs="Arial"/>
                <w:snapToGrid w:val="0"/>
                <w:sz w:val="20"/>
                <w:szCs w:val="20"/>
              </w:rPr>
            </w:pPr>
          </w:p>
        </w:tc>
        <w:tc>
          <w:tcPr>
            <w:tcW w:w="1375" w:type="dxa"/>
            <w:vAlign w:val="center"/>
          </w:tcPr>
          <w:p w:rsidR="00944F1A" w:rsidRPr="00234FFD" w:rsidRDefault="00944F1A" w:rsidP="00234FFD">
            <w:pPr>
              <w:widowControl w:val="0"/>
              <w:jc w:val="center"/>
              <w:rPr>
                <w:rFonts w:ascii="Arial" w:hAnsi="Arial" w:cs="Arial"/>
                <w:snapToGrid w:val="0"/>
                <w:sz w:val="20"/>
                <w:szCs w:val="20"/>
              </w:rPr>
            </w:pPr>
          </w:p>
        </w:tc>
      </w:tr>
      <w:tr w:rsidR="00C66F18" w:rsidRPr="00734AF8" w:rsidTr="00AF3F39">
        <w:trPr>
          <w:trHeight w:val="230"/>
        </w:trPr>
        <w:tc>
          <w:tcPr>
            <w:tcW w:w="2126" w:type="dxa"/>
            <w:vAlign w:val="center"/>
          </w:tcPr>
          <w:p w:rsidR="00C66F18" w:rsidRDefault="00C66F18" w:rsidP="00641AAF">
            <w:pPr>
              <w:rPr>
                <w:rFonts w:ascii="Arial" w:hAnsi="Arial" w:cs="Arial"/>
                <w:color w:val="000000"/>
                <w:sz w:val="20"/>
                <w:szCs w:val="20"/>
              </w:rPr>
            </w:pPr>
          </w:p>
        </w:tc>
        <w:tc>
          <w:tcPr>
            <w:tcW w:w="1170" w:type="dxa"/>
            <w:vAlign w:val="center"/>
          </w:tcPr>
          <w:p w:rsidR="00C66F18" w:rsidRPr="00AF3F39" w:rsidRDefault="00C66F18" w:rsidP="00AF3F39">
            <w:pPr>
              <w:jc w:val="center"/>
              <w:rPr>
                <w:rFonts w:ascii="Arial" w:hAnsi="Arial" w:cs="Arial"/>
                <w:color w:val="000000"/>
                <w:sz w:val="20"/>
                <w:szCs w:val="20"/>
              </w:rPr>
            </w:pPr>
          </w:p>
        </w:tc>
        <w:tc>
          <w:tcPr>
            <w:tcW w:w="5193" w:type="dxa"/>
            <w:vAlign w:val="center"/>
          </w:tcPr>
          <w:p w:rsidR="00C66F18" w:rsidRDefault="00C66F18">
            <w:pPr>
              <w:rPr>
                <w:rFonts w:ascii="Arial" w:hAnsi="Arial" w:cs="Arial"/>
                <w:color w:val="000000"/>
                <w:sz w:val="20"/>
                <w:szCs w:val="20"/>
              </w:rPr>
            </w:pPr>
          </w:p>
        </w:tc>
        <w:tc>
          <w:tcPr>
            <w:tcW w:w="1080" w:type="dxa"/>
            <w:vAlign w:val="center"/>
          </w:tcPr>
          <w:p w:rsidR="00C66F18" w:rsidRDefault="00C66F18">
            <w:pPr>
              <w:jc w:val="center"/>
              <w:rPr>
                <w:rFonts w:ascii="Arial" w:hAnsi="Arial" w:cs="Arial"/>
                <w:color w:val="000000"/>
                <w:sz w:val="20"/>
                <w:szCs w:val="20"/>
              </w:rPr>
            </w:pPr>
          </w:p>
        </w:tc>
        <w:tc>
          <w:tcPr>
            <w:tcW w:w="900" w:type="dxa"/>
            <w:vAlign w:val="center"/>
          </w:tcPr>
          <w:p w:rsidR="00C66F18" w:rsidRDefault="00C66F18">
            <w:pPr>
              <w:jc w:val="center"/>
              <w:rPr>
                <w:rFonts w:ascii="Arial" w:hAnsi="Arial" w:cs="Arial"/>
                <w:color w:val="000000"/>
                <w:sz w:val="20"/>
                <w:szCs w:val="20"/>
              </w:rPr>
            </w:pPr>
          </w:p>
        </w:tc>
        <w:tc>
          <w:tcPr>
            <w:tcW w:w="954" w:type="dxa"/>
            <w:vAlign w:val="center"/>
          </w:tcPr>
          <w:p w:rsidR="00C66F18" w:rsidRDefault="00C66F18">
            <w:pPr>
              <w:jc w:val="center"/>
              <w:rPr>
                <w:rFonts w:ascii="Arial" w:hAnsi="Arial" w:cs="Arial"/>
                <w:color w:val="000000"/>
                <w:sz w:val="20"/>
                <w:szCs w:val="20"/>
              </w:rPr>
            </w:pPr>
          </w:p>
        </w:tc>
        <w:tc>
          <w:tcPr>
            <w:tcW w:w="900" w:type="dxa"/>
            <w:vAlign w:val="center"/>
          </w:tcPr>
          <w:p w:rsidR="00C66F18" w:rsidRDefault="00C66F18">
            <w:pPr>
              <w:jc w:val="center"/>
              <w:rPr>
                <w:rFonts w:ascii="Arial" w:hAnsi="Arial" w:cs="Arial"/>
                <w:color w:val="000000"/>
                <w:sz w:val="20"/>
                <w:szCs w:val="20"/>
              </w:rPr>
            </w:pPr>
          </w:p>
        </w:tc>
        <w:tc>
          <w:tcPr>
            <w:tcW w:w="1375" w:type="dxa"/>
            <w:vAlign w:val="center"/>
          </w:tcPr>
          <w:p w:rsidR="00C66F18" w:rsidRDefault="00C66F18">
            <w:pPr>
              <w:jc w:val="center"/>
              <w:rPr>
                <w:rFonts w:ascii="Arial" w:hAnsi="Arial" w:cs="Arial"/>
                <w:color w:val="000000"/>
                <w:sz w:val="20"/>
                <w:szCs w:val="20"/>
              </w:rPr>
            </w:pPr>
          </w:p>
        </w:tc>
      </w:tr>
      <w:tr w:rsidR="00944F1A" w:rsidRPr="00734AF8" w:rsidTr="00AF3F39">
        <w:trPr>
          <w:trHeight w:val="230"/>
        </w:trPr>
        <w:tc>
          <w:tcPr>
            <w:tcW w:w="2126" w:type="dxa"/>
            <w:vAlign w:val="center"/>
          </w:tcPr>
          <w:p w:rsidR="00944F1A" w:rsidRDefault="00944F1A" w:rsidP="00641AAF">
            <w:pPr>
              <w:rPr>
                <w:rFonts w:ascii="Arial" w:hAnsi="Arial" w:cs="Arial"/>
                <w:color w:val="000000"/>
                <w:sz w:val="20"/>
                <w:szCs w:val="20"/>
              </w:rPr>
            </w:pPr>
            <w:r>
              <w:rPr>
                <w:rFonts w:ascii="Arial" w:hAnsi="Arial" w:cs="Arial"/>
                <w:color w:val="000000"/>
                <w:sz w:val="20"/>
                <w:szCs w:val="20"/>
              </w:rPr>
              <w:t>Brazil - São Paulo</w:t>
            </w:r>
          </w:p>
        </w:tc>
        <w:tc>
          <w:tcPr>
            <w:tcW w:w="1170" w:type="dxa"/>
            <w:vAlign w:val="center"/>
          </w:tcPr>
          <w:p w:rsidR="00362B36" w:rsidRDefault="00AF3F39" w:rsidP="00AF3F39">
            <w:pPr>
              <w:jc w:val="center"/>
              <w:rPr>
                <w:rFonts w:ascii="Arial" w:hAnsi="Arial" w:cs="Arial"/>
                <w:color w:val="000000"/>
                <w:sz w:val="20"/>
                <w:szCs w:val="20"/>
              </w:rPr>
            </w:pPr>
            <w:r w:rsidRPr="00AF3F39">
              <w:rPr>
                <w:rFonts w:ascii="Arial" w:hAnsi="Arial" w:cs="Arial"/>
                <w:color w:val="000000"/>
                <w:sz w:val="20"/>
                <w:szCs w:val="20"/>
              </w:rPr>
              <w:t>São Paulo</w:t>
            </w:r>
            <w:r>
              <w:rPr>
                <w:rFonts w:ascii="Arial" w:hAnsi="Arial" w:cs="Arial"/>
                <w:color w:val="000000"/>
                <w:sz w:val="20"/>
                <w:szCs w:val="20"/>
              </w:rPr>
              <w:t xml:space="preserve"> Megacity</w:t>
            </w:r>
          </w:p>
          <w:p w:rsidR="00AF3F39" w:rsidRDefault="00AF3F39" w:rsidP="00AF3F39">
            <w:pPr>
              <w:jc w:val="center"/>
              <w:rPr>
                <w:rFonts w:ascii="Arial" w:hAnsi="Arial" w:cs="Arial"/>
                <w:color w:val="000000"/>
                <w:sz w:val="20"/>
                <w:szCs w:val="20"/>
              </w:rPr>
            </w:pPr>
          </w:p>
        </w:tc>
        <w:tc>
          <w:tcPr>
            <w:tcW w:w="5193" w:type="dxa"/>
            <w:vAlign w:val="center"/>
          </w:tcPr>
          <w:p w:rsidR="00944F1A" w:rsidRDefault="00944F1A">
            <w:pPr>
              <w:rPr>
                <w:rFonts w:ascii="Arial" w:hAnsi="Arial" w:cs="Arial"/>
                <w:color w:val="000000"/>
                <w:sz w:val="20"/>
                <w:szCs w:val="20"/>
              </w:rPr>
            </w:pPr>
            <w:r>
              <w:rPr>
                <w:rFonts w:ascii="Arial" w:hAnsi="Arial" w:cs="Arial"/>
                <w:color w:val="000000"/>
                <w:sz w:val="20"/>
                <w:szCs w:val="20"/>
              </w:rPr>
              <w:t>São Paulo metropolitan area.</w:t>
            </w:r>
          </w:p>
        </w:tc>
        <w:tc>
          <w:tcPr>
            <w:tcW w:w="108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2005-8</w:t>
            </w:r>
          </w:p>
        </w:tc>
        <w:tc>
          <w:tcPr>
            <w:tcW w:w="90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18-93</w:t>
            </w:r>
          </w:p>
        </w:tc>
        <w:tc>
          <w:tcPr>
            <w:tcW w:w="954"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5,037</w:t>
            </w:r>
          </w:p>
        </w:tc>
        <w:tc>
          <w:tcPr>
            <w:tcW w:w="90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2,942</w:t>
            </w:r>
          </w:p>
        </w:tc>
        <w:tc>
          <w:tcPr>
            <w:tcW w:w="1375"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81.3</w:t>
            </w:r>
          </w:p>
        </w:tc>
      </w:tr>
      <w:tr w:rsidR="00944F1A" w:rsidRPr="00734AF8" w:rsidTr="00944F1A">
        <w:trPr>
          <w:trHeight w:val="230"/>
        </w:trPr>
        <w:tc>
          <w:tcPr>
            <w:tcW w:w="2126" w:type="dxa"/>
            <w:vAlign w:val="bottom"/>
          </w:tcPr>
          <w:p w:rsidR="00944F1A" w:rsidRDefault="00E74D1F">
            <w:pPr>
              <w:rPr>
                <w:rFonts w:ascii="Arial" w:hAnsi="Arial" w:cs="Arial"/>
                <w:color w:val="000000"/>
                <w:sz w:val="20"/>
                <w:szCs w:val="20"/>
              </w:rPr>
            </w:pPr>
            <w:r>
              <w:rPr>
                <w:rFonts w:ascii="Arial" w:hAnsi="Arial" w:cs="Arial"/>
                <w:color w:val="000000"/>
                <w:sz w:val="20"/>
                <w:szCs w:val="20"/>
              </w:rPr>
              <w:t>Colombia - Medellí</w:t>
            </w:r>
            <w:r w:rsidR="00944F1A">
              <w:rPr>
                <w:rFonts w:ascii="Arial" w:hAnsi="Arial" w:cs="Arial"/>
                <w:color w:val="000000"/>
                <w:sz w:val="20"/>
                <w:szCs w:val="20"/>
              </w:rPr>
              <w:t>n</w:t>
            </w:r>
          </w:p>
        </w:tc>
        <w:tc>
          <w:tcPr>
            <w:tcW w:w="117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MMHHS</w:t>
            </w:r>
          </w:p>
        </w:tc>
        <w:tc>
          <w:tcPr>
            <w:tcW w:w="5193" w:type="dxa"/>
            <w:vAlign w:val="center"/>
          </w:tcPr>
          <w:p w:rsidR="00944F1A" w:rsidRDefault="00893569">
            <w:pPr>
              <w:rPr>
                <w:rFonts w:ascii="Arial" w:hAnsi="Arial" w:cs="Arial"/>
                <w:color w:val="000000"/>
                <w:sz w:val="20"/>
                <w:szCs w:val="20"/>
              </w:rPr>
            </w:pPr>
            <w:r>
              <w:rPr>
                <w:rFonts w:ascii="Arial" w:hAnsi="Arial" w:cs="Arial"/>
                <w:color w:val="000000"/>
                <w:sz w:val="20"/>
                <w:szCs w:val="20"/>
              </w:rPr>
              <w:t>Medellí</w:t>
            </w:r>
            <w:r w:rsidR="00944F1A">
              <w:rPr>
                <w:rFonts w:ascii="Arial" w:hAnsi="Arial" w:cs="Arial"/>
                <w:color w:val="000000"/>
                <w:sz w:val="20"/>
                <w:szCs w:val="20"/>
              </w:rPr>
              <w:t>n metropolitan area</w:t>
            </w:r>
          </w:p>
        </w:tc>
        <w:tc>
          <w:tcPr>
            <w:tcW w:w="108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2011-12</w:t>
            </w:r>
          </w:p>
        </w:tc>
        <w:tc>
          <w:tcPr>
            <w:tcW w:w="90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19-65</w:t>
            </w:r>
          </w:p>
        </w:tc>
        <w:tc>
          <w:tcPr>
            <w:tcW w:w="954"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3,261</w:t>
            </w:r>
          </w:p>
        </w:tc>
        <w:tc>
          <w:tcPr>
            <w:tcW w:w="90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1,673</w:t>
            </w:r>
          </w:p>
        </w:tc>
        <w:tc>
          <w:tcPr>
            <w:tcW w:w="1375"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97.2</w:t>
            </w:r>
          </w:p>
        </w:tc>
      </w:tr>
      <w:tr w:rsidR="00557D7F" w:rsidRPr="00734AF8" w:rsidTr="00944F1A">
        <w:trPr>
          <w:trHeight w:val="230"/>
        </w:trPr>
        <w:tc>
          <w:tcPr>
            <w:tcW w:w="2126" w:type="dxa"/>
            <w:vAlign w:val="bottom"/>
          </w:tcPr>
          <w:p w:rsidR="00557D7F" w:rsidRDefault="00557D7F">
            <w:pPr>
              <w:rPr>
                <w:rFonts w:ascii="Arial" w:hAnsi="Arial" w:cs="Arial"/>
                <w:color w:val="000000"/>
                <w:sz w:val="20"/>
                <w:szCs w:val="20"/>
              </w:rPr>
            </w:pPr>
          </w:p>
        </w:tc>
        <w:tc>
          <w:tcPr>
            <w:tcW w:w="1170" w:type="dxa"/>
            <w:vAlign w:val="center"/>
          </w:tcPr>
          <w:p w:rsidR="00557D7F" w:rsidRDefault="00557D7F">
            <w:pPr>
              <w:jc w:val="center"/>
              <w:rPr>
                <w:rFonts w:ascii="Arial" w:hAnsi="Arial" w:cs="Arial"/>
                <w:color w:val="000000"/>
                <w:sz w:val="20"/>
                <w:szCs w:val="20"/>
              </w:rPr>
            </w:pPr>
          </w:p>
        </w:tc>
        <w:tc>
          <w:tcPr>
            <w:tcW w:w="5193" w:type="dxa"/>
            <w:vAlign w:val="center"/>
          </w:tcPr>
          <w:p w:rsidR="00557D7F" w:rsidRDefault="00557D7F">
            <w:pPr>
              <w:rPr>
                <w:rFonts w:ascii="Arial" w:hAnsi="Arial" w:cs="Arial"/>
                <w:color w:val="000000"/>
                <w:sz w:val="20"/>
                <w:szCs w:val="20"/>
              </w:rPr>
            </w:pPr>
          </w:p>
        </w:tc>
        <w:tc>
          <w:tcPr>
            <w:tcW w:w="1080" w:type="dxa"/>
            <w:vAlign w:val="center"/>
          </w:tcPr>
          <w:p w:rsidR="00557D7F" w:rsidRDefault="00557D7F">
            <w:pPr>
              <w:jc w:val="center"/>
              <w:rPr>
                <w:rFonts w:ascii="Arial" w:hAnsi="Arial" w:cs="Arial"/>
                <w:color w:val="000000"/>
                <w:sz w:val="20"/>
                <w:szCs w:val="20"/>
              </w:rPr>
            </w:pPr>
          </w:p>
        </w:tc>
        <w:tc>
          <w:tcPr>
            <w:tcW w:w="900" w:type="dxa"/>
            <w:vAlign w:val="center"/>
          </w:tcPr>
          <w:p w:rsidR="00557D7F" w:rsidRDefault="00557D7F">
            <w:pPr>
              <w:jc w:val="center"/>
              <w:rPr>
                <w:rFonts w:ascii="Arial" w:hAnsi="Arial" w:cs="Arial"/>
                <w:color w:val="000000"/>
                <w:sz w:val="20"/>
                <w:szCs w:val="20"/>
              </w:rPr>
            </w:pPr>
          </w:p>
        </w:tc>
        <w:tc>
          <w:tcPr>
            <w:tcW w:w="954" w:type="dxa"/>
            <w:vAlign w:val="center"/>
          </w:tcPr>
          <w:p w:rsidR="00557D7F" w:rsidRDefault="00557D7F">
            <w:pPr>
              <w:jc w:val="center"/>
              <w:rPr>
                <w:rFonts w:ascii="Arial" w:hAnsi="Arial" w:cs="Arial"/>
                <w:color w:val="000000"/>
                <w:sz w:val="20"/>
                <w:szCs w:val="20"/>
              </w:rPr>
            </w:pPr>
          </w:p>
        </w:tc>
        <w:tc>
          <w:tcPr>
            <w:tcW w:w="900" w:type="dxa"/>
            <w:vAlign w:val="center"/>
          </w:tcPr>
          <w:p w:rsidR="00557D7F" w:rsidRDefault="00557D7F">
            <w:pPr>
              <w:jc w:val="center"/>
              <w:rPr>
                <w:rFonts w:ascii="Arial" w:hAnsi="Arial" w:cs="Arial"/>
                <w:color w:val="000000"/>
                <w:sz w:val="20"/>
                <w:szCs w:val="20"/>
              </w:rPr>
            </w:pPr>
          </w:p>
        </w:tc>
        <w:tc>
          <w:tcPr>
            <w:tcW w:w="1375" w:type="dxa"/>
            <w:vAlign w:val="center"/>
          </w:tcPr>
          <w:p w:rsidR="00557D7F" w:rsidRDefault="00557D7F">
            <w:pPr>
              <w:jc w:val="center"/>
              <w:rPr>
                <w:rFonts w:ascii="Arial" w:hAnsi="Arial" w:cs="Arial"/>
                <w:color w:val="000000"/>
                <w:sz w:val="20"/>
                <w:szCs w:val="20"/>
              </w:rPr>
            </w:pPr>
          </w:p>
        </w:tc>
      </w:tr>
      <w:tr w:rsidR="00944F1A" w:rsidRPr="00734AF8" w:rsidTr="00944F1A">
        <w:trPr>
          <w:trHeight w:val="230"/>
        </w:trPr>
        <w:tc>
          <w:tcPr>
            <w:tcW w:w="2126" w:type="dxa"/>
            <w:vAlign w:val="center"/>
          </w:tcPr>
          <w:p w:rsidR="00944F1A" w:rsidRDefault="00944F1A" w:rsidP="000D1C77">
            <w:pPr>
              <w:rPr>
                <w:rFonts w:ascii="Arial" w:hAnsi="Arial" w:cs="Arial"/>
                <w:color w:val="000000"/>
                <w:sz w:val="20"/>
                <w:szCs w:val="20"/>
              </w:rPr>
            </w:pPr>
            <w:r>
              <w:rPr>
                <w:rFonts w:ascii="Arial" w:hAnsi="Arial" w:cs="Arial"/>
                <w:color w:val="000000"/>
                <w:sz w:val="20"/>
                <w:szCs w:val="20"/>
              </w:rPr>
              <w:t>Mexico</w:t>
            </w:r>
            <w:r w:rsidR="00904C63">
              <w:rPr>
                <w:rFonts w:ascii="Arial" w:hAnsi="Arial" w:cs="Arial"/>
                <w:color w:val="000000"/>
                <w:sz w:val="20"/>
                <w:szCs w:val="20"/>
              </w:rPr>
              <w:t xml:space="preserve"> </w:t>
            </w:r>
          </w:p>
        </w:tc>
        <w:tc>
          <w:tcPr>
            <w:tcW w:w="117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M-NCS</w:t>
            </w:r>
          </w:p>
        </w:tc>
        <w:tc>
          <w:tcPr>
            <w:tcW w:w="5193" w:type="dxa"/>
            <w:vAlign w:val="center"/>
          </w:tcPr>
          <w:p w:rsidR="00944F1A" w:rsidRDefault="00904C63">
            <w:pPr>
              <w:rPr>
                <w:rFonts w:ascii="Arial" w:hAnsi="Arial" w:cs="Arial"/>
                <w:color w:val="000000"/>
                <w:sz w:val="20"/>
                <w:szCs w:val="20"/>
              </w:rPr>
            </w:pPr>
            <w:r>
              <w:rPr>
                <w:rFonts w:ascii="Arial" w:hAnsi="Arial" w:cs="Arial"/>
                <w:color w:val="000000"/>
                <w:sz w:val="20"/>
                <w:szCs w:val="20"/>
              </w:rPr>
              <w:t xml:space="preserve">All urban areas of the country – </w:t>
            </w:r>
            <w:r w:rsidR="00944F1A">
              <w:rPr>
                <w:rFonts w:ascii="Arial" w:hAnsi="Arial" w:cs="Arial"/>
                <w:color w:val="000000"/>
                <w:sz w:val="20"/>
                <w:szCs w:val="20"/>
              </w:rPr>
              <w:t>approximately 75% o</w:t>
            </w:r>
            <w:r w:rsidR="00884137">
              <w:rPr>
                <w:rFonts w:ascii="Arial" w:hAnsi="Arial" w:cs="Arial"/>
                <w:color w:val="000000"/>
                <w:sz w:val="20"/>
                <w:szCs w:val="20"/>
              </w:rPr>
              <w:t>f the total national population</w:t>
            </w:r>
            <w:r w:rsidR="00944F1A">
              <w:rPr>
                <w:rFonts w:ascii="Arial" w:hAnsi="Arial" w:cs="Arial"/>
                <w:color w:val="000000"/>
                <w:sz w:val="20"/>
                <w:szCs w:val="20"/>
              </w:rPr>
              <w:t xml:space="preserve">. </w:t>
            </w:r>
          </w:p>
        </w:tc>
        <w:tc>
          <w:tcPr>
            <w:tcW w:w="108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2001-2</w:t>
            </w:r>
          </w:p>
        </w:tc>
        <w:tc>
          <w:tcPr>
            <w:tcW w:w="90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18-65</w:t>
            </w:r>
          </w:p>
        </w:tc>
        <w:tc>
          <w:tcPr>
            <w:tcW w:w="954"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5,782</w:t>
            </w:r>
          </w:p>
        </w:tc>
        <w:tc>
          <w:tcPr>
            <w:tcW w:w="90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2,362</w:t>
            </w:r>
          </w:p>
        </w:tc>
        <w:tc>
          <w:tcPr>
            <w:tcW w:w="1375"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76.6</w:t>
            </w:r>
          </w:p>
        </w:tc>
      </w:tr>
      <w:tr w:rsidR="00944F1A" w:rsidRPr="00734AF8" w:rsidTr="00944F1A">
        <w:trPr>
          <w:trHeight w:val="230"/>
        </w:trPr>
        <w:tc>
          <w:tcPr>
            <w:tcW w:w="2126" w:type="dxa"/>
            <w:vAlign w:val="bottom"/>
          </w:tcPr>
          <w:p w:rsidR="00944F1A" w:rsidRDefault="00944F1A">
            <w:pPr>
              <w:rPr>
                <w:rFonts w:ascii="Calibri" w:hAnsi="Calibri"/>
                <w:b/>
                <w:bCs/>
                <w:color w:val="000000"/>
                <w:sz w:val="22"/>
                <w:szCs w:val="22"/>
              </w:rPr>
            </w:pPr>
            <w:r>
              <w:rPr>
                <w:rFonts w:ascii="Calibri" w:hAnsi="Calibri"/>
                <w:b/>
                <w:bCs/>
                <w:color w:val="000000"/>
                <w:sz w:val="22"/>
                <w:szCs w:val="22"/>
              </w:rPr>
              <w:t>TOTAL</w:t>
            </w:r>
          </w:p>
        </w:tc>
        <w:tc>
          <w:tcPr>
            <w:tcW w:w="1170" w:type="dxa"/>
            <w:vAlign w:val="bottom"/>
          </w:tcPr>
          <w:p w:rsidR="00944F1A" w:rsidRDefault="00944F1A">
            <w:pPr>
              <w:rPr>
                <w:rFonts w:ascii="Calibri" w:hAnsi="Calibri"/>
                <w:color w:val="000000"/>
                <w:sz w:val="22"/>
                <w:szCs w:val="22"/>
              </w:rPr>
            </w:pPr>
          </w:p>
        </w:tc>
        <w:tc>
          <w:tcPr>
            <w:tcW w:w="5193" w:type="dxa"/>
            <w:vAlign w:val="bottom"/>
          </w:tcPr>
          <w:p w:rsidR="00944F1A" w:rsidRDefault="00944F1A">
            <w:pPr>
              <w:rPr>
                <w:rFonts w:ascii="Calibri" w:hAnsi="Calibri"/>
                <w:color w:val="000000"/>
                <w:sz w:val="22"/>
                <w:szCs w:val="22"/>
              </w:rPr>
            </w:pPr>
          </w:p>
        </w:tc>
        <w:tc>
          <w:tcPr>
            <w:tcW w:w="1080" w:type="dxa"/>
            <w:vAlign w:val="bottom"/>
          </w:tcPr>
          <w:p w:rsidR="00944F1A" w:rsidRPr="00897A7C" w:rsidRDefault="00944F1A">
            <w:pPr>
              <w:rPr>
                <w:rFonts w:ascii="Calibri" w:hAnsi="Calibri"/>
                <w:color w:val="000000"/>
                <w:sz w:val="22"/>
                <w:szCs w:val="22"/>
                <w:highlight w:val="yellow"/>
              </w:rPr>
            </w:pPr>
          </w:p>
        </w:tc>
        <w:tc>
          <w:tcPr>
            <w:tcW w:w="900" w:type="dxa"/>
            <w:vAlign w:val="bottom"/>
          </w:tcPr>
          <w:p w:rsidR="00944F1A" w:rsidRPr="00897A7C" w:rsidRDefault="00944F1A">
            <w:pPr>
              <w:rPr>
                <w:rFonts w:ascii="Calibri" w:hAnsi="Calibri"/>
                <w:color w:val="000000"/>
                <w:sz w:val="22"/>
                <w:szCs w:val="22"/>
                <w:highlight w:val="yellow"/>
              </w:rPr>
            </w:pPr>
          </w:p>
        </w:tc>
        <w:tc>
          <w:tcPr>
            <w:tcW w:w="954" w:type="dxa"/>
            <w:tcBorders>
              <w:top w:val="single" w:sz="4" w:space="0" w:color="auto"/>
            </w:tcBorders>
            <w:vAlign w:val="bottom"/>
          </w:tcPr>
          <w:p w:rsidR="00944F1A" w:rsidRPr="001429F6" w:rsidRDefault="00944F1A" w:rsidP="00944F1A">
            <w:pPr>
              <w:jc w:val="center"/>
              <w:rPr>
                <w:rFonts w:ascii="Arial" w:hAnsi="Arial" w:cs="Arial"/>
                <w:sz w:val="20"/>
                <w:szCs w:val="20"/>
              </w:rPr>
            </w:pPr>
            <w:r w:rsidRPr="001429F6">
              <w:rPr>
                <w:rFonts w:ascii="Arial" w:hAnsi="Arial" w:cs="Arial"/>
                <w:sz w:val="20"/>
                <w:szCs w:val="20"/>
              </w:rPr>
              <w:t>(</w:t>
            </w:r>
            <w:r>
              <w:rPr>
                <w:rFonts w:ascii="Arial" w:hAnsi="Arial" w:cs="Arial"/>
                <w:sz w:val="20"/>
                <w:szCs w:val="20"/>
              </w:rPr>
              <w:t>14,080</w:t>
            </w:r>
            <w:r w:rsidRPr="001429F6">
              <w:rPr>
                <w:rFonts w:ascii="Arial" w:hAnsi="Arial" w:cs="Arial"/>
                <w:sz w:val="20"/>
                <w:szCs w:val="20"/>
              </w:rPr>
              <w:t>)</w:t>
            </w:r>
          </w:p>
        </w:tc>
        <w:tc>
          <w:tcPr>
            <w:tcW w:w="900" w:type="dxa"/>
            <w:tcBorders>
              <w:top w:val="single" w:sz="4" w:space="0" w:color="auto"/>
            </w:tcBorders>
            <w:vAlign w:val="bottom"/>
          </w:tcPr>
          <w:p w:rsidR="00944F1A" w:rsidRPr="001429F6" w:rsidRDefault="00944F1A" w:rsidP="00EB1514">
            <w:pPr>
              <w:jc w:val="center"/>
              <w:rPr>
                <w:rFonts w:ascii="Arial" w:hAnsi="Arial" w:cs="Arial"/>
                <w:sz w:val="20"/>
                <w:szCs w:val="20"/>
              </w:rPr>
            </w:pPr>
            <w:r>
              <w:rPr>
                <w:rFonts w:ascii="Arial" w:hAnsi="Arial" w:cs="Arial"/>
                <w:sz w:val="20"/>
                <w:szCs w:val="20"/>
              </w:rPr>
              <w:t>(6,977</w:t>
            </w:r>
            <w:r w:rsidRPr="001429F6">
              <w:rPr>
                <w:rFonts w:ascii="Arial" w:hAnsi="Arial" w:cs="Arial"/>
                <w:sz w:val="20"/>
                <w:szCs w:val="20"/>
              </w:rPr>
              <w:t>)</w:t>
            </w:r>
          </w:p>
        </w:tc>
        <w:tc>
          <w:tcPr>
            <w:tcW w:w="1375" w:type="dxa"/>
            <w:tcBorders>
              <w:top w:val="single" w:sz="4" w:space="0" w:color="auto"/>
            </w:tcBorders>
            <w:vAlign w:val="bottom"/>
          </w:tcPr>
          <w:p w:rsidR="00944F1A" w:rsidRPr="001429F6" w:rsidRDefault="00944F1A" w:rsidP="00EB1514">
            <w:pPr>
              <w:jc w:val="center"/>
              <w:rPr>
                <w:rFonts w:ascii="Arial" w:hAnsi="Arial" w:cs="Arial"/>
                <w:sz w:val="20"/>
                <w:szCs w:val="20"/>
              </w:rPr>
            </w:pPr>
            <w:r w:rsidRPr="001429F6">
              <w:rPr>
                <w:rFonts w:ascii="Arial" w:hAnsi="Arial" w:cs="Arial"/>
                <w:sz w:val="20"/>
                <w:szCs w:val="20"/>
              </w:rPr>
              <w:t>8</w:t>
            </w:r>
            <w:r w:rsidR="001B3755">
              <w:rPr>
                <w:rFonts w:ascii="Arial" w:hAnsi="Arial" w:cs="Arial"/>
                <w:sz w:val="20"/>
                <w:szCs w:val="20"/>
              </w:rPr>
              <w:t>2.3</w:t>
            </w:r>
          </w:p>
        </w:tc>
      </w:tr>
      <w:tr w:rsidR="00944F1A" w:rsidRPr="00734AF8" w:rsidTr="00944F1A">
        <w:trPr>
          <w:trHeight w:val="230"/>
        </w:trPr>
        <w:tc>
          <w:tcPr>
            <w:tcW w:w="8489" w:type="dxa"/>
            <w:gridSpan w:val="3"/>
            <w:vAlign w:val="center"/>
          </w:tcPr>
          <w:p w:rsidR="00944F1A" w:rsidRPr="00234FFD" w:rsidRDefault="00944F1A" w:rsidP="006417E6">
            <w:pPr>
              <w:widowControl w:val="0"/>
              <w:ind w:left="252" w:hanging="252"/>
              <w:rPr>
                <w:rFonts w:ascii="Arial" w:hAnsi="Arial" w:cs="Arial"/>
                <w:snapToGrid w:val="0"/>
                <w:sz w:val="20"/>
                <w:szCs w:val="20"/>
              </w:rPr>
            </w:pPr>
            <w:r w:rsidRPr="00234FFD">
              <w:rPr>
                <w:rFonts w:ascii="Arial" w:hAnsi="Arial" w:cs="Arial"/>
                <w:b/>
                <w:bCs/>
                <w:sz w:val="20"/>
                <w:szCs w:val="20"/>
              </w:rPr>
              <w:t>III. High-income countries</w:t>
            </w:r>
          </w:p>
        </w:tc>
        <w:tc>
          <w:tcPr>
            <w:tcW w:w="1080" w:type="dxa"/>
            <w:vAlign w:val="center"/>
          </w:tcPr>
          <w:p w:rsidR="00944F1A" w:rsidRPr="00234FFD" w:rsidRDefault="00944F1A" w:rsidP="00234FFD">
            <w:pPr>
              <w:widowControl w:val="0"/>
              <w:jc w:val="center"/>
              <w:rPr>
                <w:rFonts w:ascii="Arial" w:hAnsi="Arial" w:cs="Arial"/>
                <w:snapToGrid w:val="0"/>
                <w:sz w:val="20"/>
                <w:szCs w:val="20"/>
              </w:rPr>
            </w:pPr>
          </w:p>
        </w:tc>
        <w:tc>
          <w:tcPr>
            <w:tcW w:w="900" w:type="dxa"/>
            <w:vAlign w:val="center"/>
          </w:tcPr>
          <w:p w:rsidR="00944F1A" w:rsidRPr="00234FFD" w:rsidRDefault="00944F1A" w:rsidP="00234FFD">
            <w:pPr>
              <w:widowControl w:val="0"/>
              <w:jc w:val="center"/>
              <w:rPr>
                <w:rFonts w:ascii="Arial" w:hAnsi="Arial" w:cs="Arial"/>
                <w:snapToGrid w:val="0"/>
                <w:sz w:val="20"/>
                <w:szCs w:val="20"/>
              </w:rPr>
            </w:pPr>
          </w:p>
        </w:tc>
        <w:tc>
          <w:tcPr>
            <w:tcW w:w="954" w:type="dxa"/>
            <w:vAlign w:val="center"/>
          </w:tcPr>
          <w:p w:rsidR="00944F1A" w:rsidRPr="00234FFD" w:rsidRDefault="00944F1A" w:rsidP="00234FFD">
            <w:pPr>
              <w:widowControl w:val="0"/>
              <w:jc w:val="center"/>
              <w:rPr>
                <w:rFonts w:ascii="Arial" w:hAnsi="Arial" w:cs="Arial"/>
                <w:snapToGrid w:val="0"/>
                <w:sz w:val="20"/>
                <w:szCs w:val="20"/>
              </w:rPr>
            </w:pPr>
          </w:p>
        </w:tc>
        <w:tc>
          <w:tcPr>
            <w:tcW w:w="900" w:type="dxa"/>
            <w:vAlign w:val="center"/>
          </w:tcPr>
          <w:p w:rsidR="00944F1A" w:rsidRPr="00234FFD" w:rsidRDefault="00944F1A" w:rsidP="00234FFD">
            <w:pPr>
              <w:widowControl w:val="0"/>
              <w:jc w:val="center"/>
              <w:rPr>
                <w:rFonts w:ascii="Arial" w:hAnsi="Arial" w:cs="Arial"/>
                <w:snapToGrid w:val="0"/>
                <w:sz w:val="20"/>
                <w:szCs w:val="20"/>
              </w:rPr>
            </w:pPr>
          </w:p>
        </w:tc>
        <w:tc>
          <w:tcPr>
            <w:tcW w:w="1375" w:type="dxa"/>
            <w:vAlign w:val="center"/>
          </w:tcPr>
          <w:p w:rsidR="00944F1A" w:rsidRPr="00234FFD" w:rsidRDefault="00944F1A" w:rsidP="00234FFD">
            <w:pPr>
              <w:widowControl w:val="0"/>
              <w:jc w:val="center"/>
              <w:rPr>
                <w:rFonts w:ascii="Arial" w:hAnsi="Arial" w:cs="Arial"/>
                <w:snapToGrid w:val="0"/>
                <w:sz w:val="20"/>
                <w:szCs w:val="20"/>
              </w:rPr>
            </w:pPr>
          </w:p>
        </w:tc>
      </w:tr>
      <w:tr w:rsidR="00C66F18" w:rsidRPr="00734AF8" w:rsidTr="003C33D3">
        <w:trPr>
          <w:trHeight w:val="230"/>
        </w:trPr>
        <w:tc>
          <w:tcPr>
            <w:tcW w:w="2126" w:type="dxa"/>
            <w:vAlign w:val="bottom"/>
          </w:tcPr>
          <w:p w:rsidR="00C66F18" w:rsidRPr="001A2600" w:rsidRDefault="00C66F18">
            <w:pPr>
              <w:rPr>
                <w:rFonts w:ascii="Arial" w:hAnsi="Arial" w:cs="Arial"/>
                <w:color w:val="000000"/>
                <w:sz w:val="20"/>
                <w:szCs w:val="20"/>
              </w:rPr>
            </w:pPr>
          </w:p>
        </w:tc>
        <w:tc>
          <w:tcPr>
            <w:tcW w:w="1170" w:type="dxa"/>
            <w:vAlign w:val="center"/>
          </w:tcPr>
          <w:p w:rsidR="00C66F18" w:rsidRDefault="00C66F18" w:rsidP="00897A7C">
            <w:pPr>
              <w:jc w:val="center"/>
              <w:rPr>
                <w:rFonts w:ascii="Arial" w:hAnsi="Arial" w:cs="Arial"/>
                <w:sz w:val="20"/>
                <w:szCs w:val="20"/>
              </w:rPr>
            </w:pPr>
          </w:p>
        </w:tc>
        <w:tc>
          <w:tcPr>
            <w:tcW w:w="5193" w:type="dxa"/>
            <w:vAlign w:val="center"/>
          </w:tcPr>
          <w:p w:rsidR="00C66F18" w:rsidRDefault="00C66F18">
            <w:pPr>
              <w:rPr>
                <w:rFonts w:ascii="Arial" w:hAnsi="Arial" w:cs="Arial"/>
                <w:color w:val="000000"/>
                <w:sz w:val="20"/>
                <w:szCs w:val="20"/>
              </w:rPr>
            </w:pPr>
          </w:p>
        </w:tc>
        <w:tc>
          <w:tcPr>
            <w:tcW w:w="1080" w:type="dxa"/>
            <w:vAlign w:val="center"/>
          </w:tcPr>
          <w:p w:rsidR="00C66F18" w:rsidRDefault="00C66F18">
            <w:pPr>
              <w:jc w:val="center"/>
              <w:rPr>
                <w:rFonts w:ascii="Arial" w:hAnsi="Arial" w:cs="Arial"/>
                <w:color w:val="000000"/>
                <w:sz w:val="20"/>
                <w:szCs w:val="20"/>
              </w:rPr>
            </w:pPr>
          </w:p>
        </w:tc>
        <w:tc>
          <w:tcPr>
            <w:tcW w:w="900" w:type="dxa"/>
            <w:vAlign w:val="center"/>
          </w:tcPr>
          <w:p w:rsidR="00C66F18" w:rsidRDefault="00C66F18">
            <w:pPr>
              <w:jc w:val="center"/>
              <w:rPr>
                <w:rFonts w:ascii="Arial" w:hAnsi="Arial" w:cs="Arial"/>
                <w:color w:val="000000"/>
                <w:sz w:val="20"/>
                <w:szCs w:val="20"/>
              </w:rPr>
            </w:pPr>
          </w:p>
        </w:tc>
        <w:tc>
          <w:tcPr>
            <w:tcW w:w="954" w:type="dxa"/>
            <w:vAlign w:val="center"/>
          </w:tcPr>
          <w:p w:rsidR="00C66F18" w:rsidRDefault="00C66F18">
            <w:pPr>
              <w:jc w:val="center"/>
              <w:rPr>
                <w:rFonts w:ascii="Arial" w:hAnsi="Arial" w:cs="Arial"/>
                <w:color w:val="000000"/>
                <w:sz w:val="20"/>
                <w:szCs w:val="20"/>
              </w:rPr>
            </w:pPr>
          </w:p>
        </w:tc>
        <w:tc>
          <w:tcPr>
            <w:tcW w:w="900" w:type="dxa"/>
            <w:shd w:val="clear" w:color="auto" w:fill="auto"/>
            <w:vAlign w:val="center"/>
          </w:tcPr>
          <w:p w:rsidR="00C66F18" w:rsidRDefault="00C66F18">
            <w:pPr>
              <w:jc w:val="center"/>
              <w:rPr>
                <w:rFonts w:ascii="Arial" w:hAnsi="Arial" w:cs="Arial"/>
                <w:color w:val="000000"/>
                <w:sz w:val="20"/>
                <w:szCs w:val="20"/>
              </w:rPr>
            </w:pPr>
          </w:p>
        </w:tc>
        <w:tc>
          <w:tcPr>
            <w:tcW w:w="1375" w:type="dxa"/>
            <w:vAlign w:val="center"/>
          </w:tcPr>
          <w:p w:rsidR="00C66F18" w:rsidRDefault="00C66F18">
            <w:pPr>
              <w:jc w:val="center"/>
              <w:rPr>
                <w:rFonts w:ascii="Arial" w:hAnsi="Arial" w:cs="Arial"/>
                <w:color w:val="000000"/>
                <w:sz w:val="20"/>
                <w:szCs w:val="20"/>
              </w:rPr>
            </w:pPr>
          </w:p>
        </w:tc>
      </w:tr>
      <w:tr w:rsidR="00944F1A" w:rsidRPr="00734AF8" w:rsidTr="003C33D3">
        <w:trPr>
          <w:trHeight w:val="230"/>
        </w:trPr>
        <w:tc>
          <w:tcPr>
            <w:tcW w:w="2126" w:type="dxa"/>
            <w:vAlign w:val="bottom"/>
          </w:tcPr>
          <w:p w:rsidR="00944F1A" w:rsidRPr="00897A7C" w:rsidRDefault="00944F1A">
            <w:pPr>
              <w:rPr>
                <w:rFonts w:ascii="Arial" w:hAnsi="Arial" w:cs="Arial"/>
                <w:color w:val="000000"/>
                <w:sz w:val="20"/>
                <w:szCs w:val="20"/>
                <w:highlight w:val="yellow"/>
              </w:rPr>
            </w:pPr>
            <w:r w:rsidRPr="001A2600">
              <w:rPr>
                <w:rFonts w:ascii="Arial" w:hAnsi="Arial" w:cs="Arial"/>
                <w:color w:val="000000"/>
                <w:sz w:val="20"/>
                <w:szCs w:val="20"/>
              </w:rPr>
              <w:t>Argentina</w:t>
            </w:r>
          </w:p>
        </w:tc>
        <w:tc>
          <w:tcPr>
            <w:tcW w:w="1170" w:type="dxa"/>
            <w:vAlign w:val="center"/>
          </w:tcPr>
          <w:p w:rsidR="00944F1A" w:rsidRDefault="00944F1A" w:rsidP="00897A7C">
            <w:pPr>
              <w:jc w:val="center"/>
              <w:rPr>
                <w:rFonts w:ascii="Arial" w:hAnsi="Arial" w:cs="Arial"/>
                <w:sz w:val="20"/>
                <w:szCs w:val="20"/>
              </w:rPr>
            </w:pPr>
            <w:r>
              <w:rPr>
                <w:rFonts w:ascii="Arial" w:hAnsi="Arial" w:cs="Arial"/>
                <w:sz w:val="20"/>
                <w:szCs w:val="20"/>
              </w:rPr>
              <w:t>AMHES</w:t>
            </w:r>
          </w:p>
        </w:tc>
        <w:tc>
          <w:tcPr>
            <w:tcW w:w="5193" w:type="dxa"/>
            <w:vAlign w:val="center"/>
          </w:tcPr>
          <w:p w:rsidR="00944F1A" w:rsidRDefault="003E71D2">
            <w:pPr>
              <w:rPr>
                <w:rFonts w:ascii="Arial" w:hAnsi="Arial" w:cs="Arial"/>
                <w:color w:val="000000"/>
                <w:sz w:val="20"/>
                <w:szCs w:val="20"/>
              </w:rPr>
            </w:pPr>
            <w:r>
              <w:rPr>
                <w:rFonts w:ascii="Arial" w:hAnsi="Arial" w:cs="Arial"/>
                <w:color w:val="000000"/>
                <w:sz w:val="20"/>
                <w:szCs w:val="20"/>
              </w:rPr>
              <w:t xml:space="preserve">Eight largest urban areas of the country </w:t>
            </w:r>
            <w:r w:rsidRPr="00EF0BC3">
              <w:rPr>
                <w:rFonts w:ascii="Arial" w:hAnsi="Arial" w:cs="Arial"/>
                <w:sz w:val="20"/>
                <w:szCs w:val="20"/>
              </w:rPr>
              <w:t>– approximately 50% of the total national population</w:t>
            </w:r>
          </w:p>
        </w:tc>
        <w:tc>
          <w:tcPr>
            <w:tcW w:w="108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2015</w:t>
            </w:r>
          </w:p>
        </w:tc>
        <w:tc>
          <w:tcPr>
            <w:tcW w:w="900"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18-98</w:t>
            </w:r>
          </w:p>
        </w:tc>
        <w:tc>
          <w:tcPr>
            <w:tcW w:w="954"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3,927</w:t>
            </w:r>
          </w:p>
        </w:tc>
        <w:tc>
          <w:tcPr>
            <w:tcW w:w="900" w:type="dxa"/>
            <w:shd w:val="clear" w:color="auto" w:fill="auto"/>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2,116</w:t>
            </w:r>
          </w:p>
        </w:tc>
        <w:tc>
          <w:tcPr>
            <w:tcW w:w="1375" w:type="dxa"/>
            <w:vAlign w:val="center"/>
          </w:tcPr>
          <w:p w:rsidR="00944F1A" w:rsidRDefault="00944F1A">
            <w:pPr>
              <w:jc w:val="center"/>
              <w:rPr>
                <w:rFonts w:ascii="Arial" w:hAnsi="Arial" w:cs="Arial"/>
                <w:color w:val="000000"/>
                <w:sz w:val="20"/>
                <w:szCs w:val="20"/>
              </w:rPr>
            </w:pPr>
            <w:r>
              <w:rPr>
                <w:rFonts w:ascii="Arial" w:hAnsi="Arial" w:cs="Arial"/>
                <w:color w:val="000000"/>
                <w:sz w:val="20"/>
                <w:szCs w:val="20"/>
              </w:rPr>
              <w:t>77.3</w:t>
            </w:r>
          </w:p>
        </w:tc>
      </w:tr>
      <w:tr w:rsidR="00C66F18" w:rsidRPr="00734AF8" w:rsidTr="003C33D3">
        <w:trPr>
          <w:trHeight w:val="230"/>
        </w:trPr>
        <w:tc>
          <w:tcPr>
            <w:tcW w:w="2126" w:type="dxa"/>
            <w:vAlign w:val="bottom"/>
          </w:tcPr>
          <w:p w:rsidR="00C66F18" w:rsidRDefault="00C66F18">
            <w:pPr>
              <w:rPr>
                <w:rFonts w:ascii="Arial" w:hAnsi="Arial" w:cs="Arial"/>
                <w:color w:val="000000"/>
                <w:sz w:val="20"/>
                <w:szCs w:val="20"/>
              </w:rPr>
            </w:pPr>
          </w:p>
        </w:tc>
        <w:tc>
          <w:tcPr>
            <w:tcW w:w="1170" w:type="dxa"/>
            <w:vAlign w:val="bottom"/>
          </w:tcPr>
          <w:p w:rsidR="00C66F18" w:rsidRDefault="00C66F18" w:rsidP="003C33D3">
            <w:pPr>
              <w:jc w:val="center"/>
              <w:rPr>
                <w:rFonts w:ascii="Arial" w:hAnsi="Arial" w:cs="Arial"/>
                <w:color w:val="000000"/>
                <w:sz w:val="20"/>
                <w:szCs w:val="20"/>
              </w:rPr>
            </w:pPr>
          </w:p>
        </w:tc>
        <w:tc>
          <w:tcPr>
            <w:tcW w:w="5193" w:type="dxa"/>
            <w:vAlign w:val="bottom"/>
          </w:tcPr>
          <w:p w:rsidR="00C66F18" w:rsidRDefault="00C66F18">
            <w:pPr>
              <w:rPr>
                <w:rFonts w:ascii="Arial" w:hAnsi="Arial" w:cs="Arial"/>
                <w:color w:val="000000"/>
                <w:sz w:val="20"/>
                <w:szCs w:val="20"/>
              </w:rPr>
            </w:pPr>
          </w:p>
        </w:tc>
        <w:tc>
          <w:tcPr>
            <w:tcW w:w="1080" w:type="dxa"/>
            <w:vAlign w:val="bottom"/>
          </w:tcPr>
          <w:p w:rsidR="00C66F18" w:rsidRDefault="00C66F18">
            <w:pPr>
              <w:jc w:val="center"/>
              <w:rPr>
                <w:rFonts w:ascii="Arial" w:hAnsi="Arial" w:cs="Arial"/>
                <w:color w:val="000000"/>
                <w:sz w:val="20"/>
                <w:szCs w:val="20"/>
              </w:rPr>
            </w:pPr>
          </w:p>
        </w:tc>
        <w:tc>
          <w:tcPr>
            <w:tcW w:w="900" w:type="dxa"/>
            <w:vAlign w:val="bottom"/>
          </w:tcPr>
          <w:p w:rsidR="00C66F18" w:rsidRDefault="00C66F18">
            <w:pPr>
              <w:jc w:val="center"/>
              <w:rPr>
                <w:rFonts w:ascii="Arial" w:hAnsi="Arial" w:cs="Arial"/>
                <w:color w:val="000000"/>
                <w:sz w:val="20"/>
                <w:szCs w:val="20"/>
              </w:rPr>
            </w:pPr>
          </w:p>
        </w:tc>
        <w:tc>
          <w:tcPr>
            <w:tcW w:w="954" w:type="dxa"/>
            <w:tcBorders>
              <w:bottom w:val="single" w:sz="4" w:space="0" w:color="auto"/>
            </w:tcBorders>
          </w:tcPr>
          <w:p w:rsidR="00C66F18" w:rsidRDefault="00C66F18" w:rsidP="00274E51">
            <w:pPr>
              <w:jc w:val="center"/>
              <w:rPr>
                <w:rFonts w:ascii="Arial" w:hAnsi="Arial" w:cs="Arial"/>
                <w:sz w:val="20"/>
                <w:szCs w:val="20"/>
              </w:rPr>
            </w:pPr>
          </w:p>
        </w:tc>
        <w:tc>
          <w:tcPr>
            <w:tcW w:w="900" w:type="dxa"/>
            <w:tcBorders>
              <w:bottom w:val="single" w:sz="4" w:space="0" w:color="auto"/>
            </w:tcBorders>
            <w:shd w:val="clear" w:color="auto" w:fill="auto"/>
          </w:tcPr>
          <w:p w:rsidR="00C66F18" w:rsidRDefault="00C66F18" w:rsidP="00274E51">
            <w:pPr>
              <w:jc w:val="center"/>
              <w:rPr>
                <w:rFonts w:ascii="Arial" w:hAnsi="Arial" w:cs="Arial"/>
                <w:sz w:val="20"/>
                <w:szCs w:val="20"/>
              </w:rPr>
            </w:pPr>
          </w:p>
        </w:tc>
        <w:tc>
          <w:tcPr>
            <w:tcW w:w="1375" w:type="dxa"/>
            <w:tcBorders>
              <w:bottom w:val="single" w:sz="4" w:space="0" w:color="auto"/>
            </w:tcBorders>
            <w:vAlign w:val="bottom"/>
          </w:tcPr>
          <w:p w:rsidR="00C66F18" w:rsidRDefault="00C66F18" w:rsidP="001429F6">
            <w:pPr>
              <w:jc w:val="center"/>
              <w:rPr>
                <w:rFonts w:ascii="Arial" w:hAnsi="Arial" w:cs="Arial"/>
                <w:color w:val="000000"/>
                <w:sz w:val="20"/>
                <w:szCs w:val="20"/>
              </w:rPr>
            </w:pPr>
          </w:p>
        </w:tc>
      </w:tr>
      <w:tr w:rsidR="00944F1A" w:rsidRPr="00734AF8" w:rsidTr="003C33D3">
        <w:trPr>
          <w:trHeight w:val="230"/>
        </w:trPr>
        <w:tc>
          <w:tcPr>
            <w:tcW w:w="2126" w:type="dxa"/>
            <w:vAlign w:val="bottom"/>
          </w:tcPr>
          <w:p w:rsidR="00944F1A" w:rsidRPr="004375DA" w:rsidRDefault="003C33D3">
            <w:pPr>
              <w:rPr>
                <w:rFonts w:ascii="Arial" w:hAnsi="Arial" w:cs="Arial"/>
                <w:color w:val="000000"/>
                <w:sz w:val="20"/>
                <w:szCs w:val="20"/>
              </w:rPr>
            </w:pPr>
            <w:r>
              <w:rPr>
                <w:rFonts w:ascii="Arial" w:hAnsi="Arial" w:cs="Arial"/>
                <w:color w:val="000000"/>
                <w:sz w:val="20"/>
                <w:szCs w:val="20"/>
              </w:rPr>
              <w:t>United States</w:t>
            </w:r>
          </w:p>
        </w:tc>
        <w:tc>
          <w:tcPr>
            <w:tcW w:w="1170" w:type="dxa"/>
            <w:vAlign w:val="bottom"/>
          </w:tcPr>
          <w:p w:rsidR="00944F1A" w:rsidRPr="004375DA" w:rsidRDefault="003C33D3" w:rsidP="003C33D3">
            <w:pPr>
              <w:jc w:val="center"/>
              <w:rPr>
                <w:rFonts w:ascii="Arial" w:hAnsi="Arial" w:cs="Arial"/>
                <w:color w:val="000000"/>
                <w:sz w:val="20"/>
                <w:szCs w:val="20"/>
              </w:rPr>
            </w:pPr>
            <w:r>
              <w:rPr>
                <w:rFonts w:ascii="Arial" w:hAnsi="Arial" w:cs="Arial"/>
                <w:color w:val="000000"/>
                <w:sz w:val="20"/>
                <w:szCs w:val="20"/>
              </w:rPr>
              <w:t>NCS-R</w:t>
            </w:r>
          </w:p>
        </w:tc>
        <w:tc>
          <w:tcPr>
            <w:tcW w:w="5193" w:type="dxa"/>
            <w:vAlign w:val="bottom"/>
          </w:tcPr>
          <w:p w:rsidR="00944F1A" w:rsidRPr="004375DA" w:rsidRDefault="003C33D3">
            <w:pPr>
              <w:rPr>
                <w:rFonts w:ascii="Arial" w:hAnsi="Arial" w:cs="Arial"/>
                <w:color w:val="000000"/>
                <w:sz w:val="20"/>
                <w:szCs w:val="20"/>
              </w:rPr>
            </w:pPr>
            <w:r>
              <w:rPr>
                <w:rFonts w:ascii="Arial" w:hAnsi="Arial" w:cs="Arial"/>
                <w:color w:val="000000"/>
                <w:sz w:val="20"/>
                <w:szCs w:val="20"/>
              </w:rPr>
              <w:t>Nationally representative</w:t>
            </w:r>
          </w:p>
        </w:tc>
        <w:tc>
          <w:tcPr>
            <w:tcW w:w="1080" w:type="dxa"/>
            <w:vAlign w:val="bottom"/>
          </w:tcPr>
          <w:p w:rsidR="00944F1A" w:rsidRPr="004375DA" w:rsidRDefault="003C33D3">
            <w:pPr>
              <w:jc w:val="center"/>
              <w:rPr>
                <w:rFonts w:ascii="Arial" w:hAnsi="Arial" w:cs="Arial"/>
                <w:color w:val="000000"/>
                <w:sz w:val="20"/>
                <w:szCs w:val="20"/>
              </w:rPr>
            </w:pPr>
            <w:r>
              <w:rPr>
                <w:rFonts w:ascii="Arial" w:hAnsi="Arial" w:cs="Arial"/>
                <w:color w:val="000000"/>
                <w:sz w:val="20"/>
                <w:szCs w:val="20"/>
              </w:rPr>
              <w:t>2001-3</w:t>
            </w:r>
          </w:p>
        </w:tc>
        <w:tc>
          <w:tcPr>
            <w:tcW w:w="900" w:type="dxa"/>
            <w:vAlign w:val="bottom"/>
          </w:tcPr>
          <w:p w:rsidR="00944F1A" w:rsidRPr="004375DA" w:rsidRDefault="003C33D3">
            <w:pPr>
              <w:jc w:val="center"/>
              <w:rPr>
                <w:rFonts w:ascii="Arial" w:hAnsi="Arial" w:cs="Arial"/>
                <w:color w:val="000000"/>
                <w:sz w:val="20"/>
                <w:szCs w:val="20"/>
              </w:rPr>
            </w:pPr>
            <w:r>
              <w:rPr>
                <w:rFonts w:ascii="Arial" w:hAnsi="Arial" w:cs="Arial"/>
                <w:color w:val="000000"/>
                <w:sz w:val="20"/>
                <w:szCs w:val="20"/>
              </w:rPr>
              <w:t>18-99</w:t>
            </w:r>
          </w:p>
        </w:tc>
        <w:tc>
          <w:tcPr>
            <w:tcW w:w="954" w:type="dxa"/>
            <w:tcBorders>
              <w:bottom w:val="single" w:sz="4" w:space="0" w:color="auto"/>
            </w:tcBorders>
          </w:tcPr>
          <w:p w:rsidR="00944F1A" w:rsidRPr="001429F6" w:rsidRDefault="002E4CF8" w:rsidP="00274E51">
            <w:pPr>
              <w:jc w:val="center"/>
              <w:rPr>
                <w:rFonts w:ascii="Arial" w:hAnsi="Arial" w:cs="Arial"/>
                <w:sz w:val="20"/>
                <w:szCs w:val="20"/>
              </w:rPr>
            </w:pPr>
            <w:r>
              <w:rPr>
                <w:rFonts w:ascii="Arial" w:hAnsi="Arial" w:cs="Arial"/>
                <w:sz w:val="20"/>
                <w:szCs w:val="20"/>
              </w:rPr>
              <w:t>9,282</w:t>
            </w:r>
          </w:p>
        </w:tc>
        <w:tc>
          <w:tcPr>
            <w:tcW w:w="900" w:type="dxa"/>
            <w:tcBorders>
              <w:bottom w:val="single" w:sz="4" w:space="0" w:color="auto"/>
            </w:tcBorders>
            <w:shd w:val="clear" w:color="auto" w:fill="auto"/>
          </w:tcPr>
          <w:p w:rsidR="00944F1A" w:rsidRPr="001429F6" w:rsidRDefault="002E4CF8" w:rsidP="00274E51">
            <w:pPr>
              <w:jc w:val="center"/>
              <w:rPr>
                <w:rFonts w:ascii="Arial" w:hAnsi="Arial" w:cs="Arial"/>
                <w:sz w:val="20"/>
                <w:szCs w:val="20"/>
              </w:rPr>
            </w:pPr>
            <w:r>
              <w:rPr>
                <w:rFonts w:ascii="Arial" w:hAnsi="Arial" w:cs="Arial"/>
                <w:sz w:val="20"/>
                <w:szCs w:val="20"/>
              </w:rPr>
              <w:t>5,692</w:t>
            </w:r>
          </w:p>
        </w:tc>
        <w:tc>
          <w:tcPr>
            <w:tcW w:w="1375" w:type="dxa"/>
            <w:tcBorders>
              <w:bottom w:val="single" w:sz="4" w:space="0" w:color="auto"/>
            </w:tcBorders>
            <w:vAlign w:val="bottom"/>
          </w:tcPr>
          <w:p w:rsidR="00944F1A" w:rsidRPr="001429F6" w:rsidRDefault="002E4CF8" w:rsidP="001429F6">
            <w:pPr>
              <w:jc w:val="center"/>
              <w:rPr>
                <w:rFonts w:ascii="Arial" w:hAnsi="Arial" w:cs="Arial"/>
                <w:color w:val="000000"/>
                <w:sz w:val="20"/>
                <w:szCs w:val="20"/>
              </w:rPr>
            </w:pPr>
            <w:r>
              <w:rPr>
                <w:rFonts w:ascii="Arial" w:hAnsi="Arial" w:cs="Arial"/>
                <w:color w:val="000000"/>
                <w:sz w:val="20"/>
                <w:szCs w:val="20"/>
              </w:rPr>
              <w:t>70.9</w:t>
            </w:r>
          </w:p>
        </w:tc>
      </w:tr>
      <w:tr w:rsidR="002E4CF8" w:rsidRPr="00734AF8" w:rsidTr="00944F1A">
        <w:trPr>
          <w:trHeight w:val="230"/>
        </w:trPr>
        <w:tc>
          <w:tcPr>
            <w:tcW w:w="2126" w:type="dxa"/>
            <w:vAlign w:val="bottom"/>
          </w:tcPr>
          <w:p w:rsidR="002E4CF8" w:rsidRPr="00234FFD" w:rsidRDefault="002E4CF8">
            <w:pPr>
              <w:rPr>
                <w:rFonts w:ascii="Arial" w:hAnsi="Arial" w:cs="Arial"/>
                <w:b/>
                <w:bCs/>
                <w:color w:val="000000"/>
                <w:sz w:val="20"/>
                <w:szCs w:val="20"/>
              </w:rPr>
            </w:pPr>
            <w:r>
              <w:rPr>
                <w:rFonts w:ascii="Calibri" w:hAnsi="Calibri"/>
                <w:b/>
                <w:bCs/>
                <w:color w:val="000000"/>
                <w:sz w:val="22"/>
                <w:szCs w:val="22"/>
              </w:rPr>
              <w:t>TOTAL</w:t>
            </w:r>
          </w:p>
        </w:tc>
        <w:tc>
          <w:tcPr>
            <w:tcW w:w="1170" w:type="dxa"/>
            <w:vAlign w:val="center"/>
          </w:tcPr>
          <w:p w:rsidR="002E4CF8" w:rsidRPr="00234FFD" w:rsidRDefault="002E4CF8">
            <w:pPr>
              <w:jc w:val="center"/>
              <w:rPr>
                <w:rFonts w:ascii="Arial" w:hAnsi="Arial" w:cs="Arial"/>
                <w:color w:val="000000"/>
                <w:sz w:val="20"/>
                <w:szCs w:val="20"/>
              </w:rPr>
            </w:pPr>
          </w:p>
        </w:tc>
        <w:tc>
          <w:tcPr>
            <w:tcW w:w="5193" w:type="dxa"/>
            <w:vAlign w:val="center"/>
          </w:tcPr>
          <w:p w:rsidR="002E4CF8" w:rsidRPr="00234FFD" w:rsidRDefault="002E4CF8">
            <w:pPr>
              <w:rPr>
                <w:rFonts w:ascii="Arial" w:hAnsi="Arial" w:cs="Arial"/>
                <w:color w:val="000000"/>
                <w:sz w:val="20"/>
                <w:szCs w:val="20"/>
              </w:rPr>
            </w:pPr>
          </w:p>
        </w:tc>
        <w:tc>
          <w:tcPr>
            <w:tcW w:w="1080" w:type="dxa"/>
            <w:vAlign w:val="bottom"/>
          </w:tcPr>
          <w:p w:rsidR="002E4CF8" w:rsidRPr="00234FFD" w:rsidRDefault="002E4CF8" w:rsidP="00234FFD">
            <w:pPr>
              <w:jc w:val="center"/>
              <w:rPr>
                <w:rFonts w:ascii="Arial" w:hAnsi="Arial" w:cs="Arial"/>
                <w:color w:val="000000"/>
                <w:sz w:val="20"/>
                <w:szCs w:val="20"/>
              </w:rPr>
            </w:pPr>
          </w:p>
        </w:tc>
        <w:tc>
          <w:tcPr>
            <w:tcW w:w="900" w:type="dxa"/>
            <w:vAlign w:val="bottom"/>
          </w:tcPr>
          <w:p w:rsidR="002E4CF8" w:rsidRPr="00F10BD3" w:rsidRDefault="002E4CF8" w:rsidP="00234FFD">
            <w:pPr>
              <w:jc w:val="center"/>
              <w:rPr>
                <w:rFonts w:ascii="Arial" w:hAnsi="Arial" w:cs="Arial"/>
                <w:color w:val="000000"/>
                <w:sz w:val="20"/>
                <w:szCs w:val="20"/>
              </w:rPr>
            </w:pPr>
          </w:p>
        </w:tc>
        <w:tc>
          <w:tcPr>
            <w:tcW w:w="954" w:type="dxa"/>
            <w:tcBorders>
              <w:top w:val="single" w:sz="4" w:space="0" w:color="auto"/>
            </w:tcBorders>
            <w:shd w:val="clear" w:color="auto" w:fill="auto"/>
          </w:tcPr>
          <w:p w:rsidR="002E4CF8" w:rsidRPr="001429F6" w:rsidRDefault="002E4CF8" w:rsidP="00944F1A">
            <w:pPr>
              <w:jc w:val="center"/>
              <w:rPr>
                <w:rFonts w:ascii="Arial" w:hAnsi="Arial" w:cs="Arial"/>
                <w:sz w:val="20"/>
                <w:szCs w:val="20"/>
              </w:rPr>
            </w:pPr>
            <w:r>
              <w:rPr>
                <w:rFonts w:ascii="Arial" w:hAnsi="Arial" w:cs="Arial"/>
                <w:sz w:val="20"/>
                <w:szCs w:val="20"/>
              </w:rPr>
              <w:t>(13,209)</w:t>
            </w:r>
          </w:p>
        </w:tc>
        <w:tc>
          <w:tcPr>
            <w:tcW w:w="900" w:type="dxa"/>
            <w:tcBorders>
              <w:top w:val="single" w:sz="4" w:space="0" w:color="auto"/>
            </w:tcBorders>
            <w:shd w:val="clear" w:color="auto" w:fill="auto"/>
          </w:tcPr>
          <w:p w:rsidR="002E4CF8" w:rsidRDefault="002E4CF8" w:rsidP="001429F6">
            <w:pPr>
              <w:jc w:val="center"/>
              <w:rPr>
                <w:rFonts w:ascii="Arial" w:hAnsi="Arial" w:cs="Arial"/>
                <w:sz w:val="20"/>
                <w:szCs w:val="20"/>
              </w:rPr>
            </w:pPr>
            <w:r>
              <w:rPr>
                <w:rFonts w:ascii="Arial" w:hAnsi="Arial" w:cs="Arial"/>
                <w:sz w:val="20"/>
                <w:szCs w:val="20"/>
              </w:rPr>
              <w:t>(7,808)</w:t>
            </w:r>
          </w:p>
        </w:tc>
        <w:tc>
          <w:tcPr>
            <w:tcW w:w="1375" w:type="dxa"/>
            <w:tcBorders>
              <w:top w:val="single" w:sz="4" w:space="0" w:color="auto"/>
            </w:tcBorders>
            <w:shd w:val="clear" w:color="auto" w:fill="auto"/>
          </w:tcPr>
          <w:p w:rsidR="002E4CF8" w:rsidRDefault="002E4CF8" w:rsidP="001429F6">
            <w:pPr>
              <w:jc w:val="center"/>
              <w:rPr>
                <w:rFonts w:ascii="Arial" w:hAnsi="Arial" w:cs="Arial"/>
                <w:sz w:val="20"/>
                <w:szCs w:val="20"/>
              </w:rPr>
            </w:pPr>
            <w:r>
              <w:rPr>
                <w:rFonts w:ascii="Arial" w:hAnsi="Arial" w:cs="Arial"/>
                <w:sz w:val="20"/>
                <w:szCs w:val="20"/>
              </w:rPr>
              <w:t>72.7</w:t>
            </w:r>
          </w:p>
        </w:tc>
      </w:tr>
      <w:bookmarkEnd w:id="2"/>
      <w:tr w:rsidR="00944F1A" w:rsidRPr="00734AF8" w:rsidTr="00944F1A">
        <w:trPr>
          <w:trHeight w:val="230"/>
        </w:trPr>
        <w:tc>
          <w:tcPr>
            <w:tcW w:w="2126" w:type="dxa"/>
            <w:vAlign w:val="bottom"/>
          </w:tcPr>
          <w:p w:rsidR="00944F1A" w:rsidRPr="00234FFD" w:rsidRDefault="00944F1A">
            <w:pPr>
              <w:rPr>
                <w:rFonts w:ascii="Arial" w:hAnsi="Arial" w:cs="Arial"/>
                <w:b/>
                <w:bCs/>
                <w:color w:val="000000"/>
                <w:sz w:val="20"/>
                <w:szCs w:val="20"/>
              </w:rPr>
            </w:pPr>
            <w:r w:rsidRPr="00234FFD">
              <w:rPr>
                <w:rFonts w:ascii="Arial" w:hAnsi="Arial" w:cs="Arial"/>
                <w:b/>
                <w:bCs/>
                <w:color w:val="000000"/>
                <w:sz w:val="20"/>
                <w:szCs w:val="20"/>
              </w:rPr>
              <w:t>IV. TOTAL</w:t>
            </w:r>
          </w:p>
        </w:tc>
        <w:tc>
          <w:tcPr>
            <w:tcW w:w="1170" w:type="dxa"/>
            <w:vAlign w:val="center"/>
          </w:tcPr>
          <w:p w:rsidR="00944F1A" w:rsidRPr="00234FFD" w:rsidRDefault="00944F1A">
            <w:pPr>
              <w:jc w:val="center"/>
              <w:rPr>
                <w:rFonts w:ascii="Arial" w:hAnsi="Arial" w:cs="Arial"/>
                <w:color w:val="000000"/>
                <w:sz w:val="20"/>
                <w:szCs w:val="20"/>
              </w:rPr>
            </w:pPr>
          </w:p>
        </w:tc>
        <w:tc>
          <w:tcPr>
            <w:tcW w:w="5193" w:type="dxa"/>
            <w:vAlign w:val="center"/>
          </w:tcPr>
          <w:p w:rsidR="00944F1A" w:rsidRPr="00234FFD" w:rsidRDefault="00944F1A">
            <w:pPr>
              <w:rPr>
                <w:rFonts w:ascii="Arial" w:hAnsi="Arial" w:cs="Arial"/>
                <w:color w:val="000000"/>
                <w:sz w:val="20"/>
                <w:szCs w:val="20"/>
              </w:rPr>
            </w:pPr>
          </w:p>
        </w:tc>
        <w:tc>
          <w:tcPr>
            <w:tcW w:w="1080" w:type="dxa"/>
            <w:vAlign w:val="bottom"/>
          </w:tcPr>
          <w:p w:rsidR="00944F1A" w:rsidRPr="00234FFD" w:rsidRDefault="00944F1A" w:rsidP="00234FFD">
            <w:pPr>
              <w:jc w:val="center"/>
              <w:rPr>
                <w:rFonts w:ascii="Arial" w:hAnsi="Arial" w:cs="Arial"/>
                <w:color w:val="000000"/>
                <w:sz w:val="20"/>
                <w:szCs w:val="20"/>
              </w:rPr>
            </w:pPr>
          </w:p>
        </w:tc>
        <w:tc>
          <w:tcPr>
            <w:tcW w:w="900" w:type="dxa"/>
            <w:vAlign w:val="bottom"/>
          </w:tcPr>
          <w:p w:rsidR="00944F1A" w:rsidRPr="00F10BD3" w:rsidRDefault="00944F1A" w:rsidP="00234FFD">
            <w:pPr>
              <w:jc w:val="center"/>
              <w:rPr>
                <w:rFonts w:ascii="Arial" w:hAnsi="Arial" w:cs="Arial"/>
                <w:color w:val="000000"/>
                <w:sz w:val="20"/>
                <w:szCs w:val="20"/>
              </w:rPr>
            </w:pPr>
          </w:p>
        </w:tc>
        <w:tc>
          <w:tcPr>
            <w:tcW w:w="954" w:type="dxa"/>
            <w:tcBorders>
              <w:top w:val="single" w:sz="4" w:space="0" w:color="auto"/>
            </w:tcBorders>
            <w:shd w:val="clear" w:color="auto" w:fill="auto"/>
          </w:tcPr>
          <w:p w:rsidR="00944F1A" w:rsidRPr="001429F6" w:rsidRDefault="00944F1A" w:rsidP="002E4CF8">
            <w:pPr>
              <w:jc w:val="center"/>
              <w:rPr>
                <w:rFonts w:ascii="Arial" w:hAnsi="Arial" w:cs="Arial"/>
                <w:sz w:val="20"/>
                <w:szCs w:val="20"/>
              </w:rPr>
            </w:pPr>
            <w:r w:rsidRPr="001429F6">
              <w:rPr>
                <w:rFonts w:ascii="Arial" w:hAnsi="Arial" w:cs="Arial"/>
                <w:sz w:val="20"/>
                <w:szCs w:val="20"/>
              </w:rPr>
              <w:t>(</w:t>
            </w:r>
            <w:r w:rsidR="002E4CF8">
              <w:rPr>
                <w:rFonts w:ascii="Arial" w:hAnsi="Arial" w:cs="Arial"/>
                <w:sz w:val="20"/>
                <w:szCs w:val="20"/>
              </w:rPr>
              <w:t>35,645</w:t>
            </w:r>
            <w:r w:rsidRPr="001429F6">
              <w:rPr>
                <w:rFonts w:ascii="Arial" w:hAnsi="Arial" w:cs="Arial"/>
                <w:sz w:val="20"/>
                <w:szCs w:val="20"/>
              </w:rPr>
              <w:t>)</w:t>
            </w:r>
          </w:p>
        </w:tc>
        <w:tc>
          <w:tcPr>
            <w:tcW w:w="900" w:type="dxa"/>
            <w:tcBorders>
              <w:top w:val="single" w:sz="4" w:space="0" w:color="auto"/>
            </w:tcBorders>
            <w:shd w:val="clear" w:color="auto" w:fill="auto"/>
          </w:tcPr>
          <w:p w:rsidR="00944F1A" w:rsidRPr="001429F6" w:rsidRDefault="00944F1A" w:rsidP="002E4CF8">
            <w:pPr>
              <w:jc w:val="center"/>
              <w:rPr>
                <w:rFonts w:ascii="Arial" w:hAnsi="Arial" w:cs="Arial"/>
                <w:sz w:val="20"/>
                <w:szCs w:val="20"/>
              </w:rPr>
            </w:pPr>
            <w:r>
              <w:rPr>
                <w:rFonts w:ascii="Arial" w:hAnsi="Arial" w:cs="Arial"/>
                <w:sz w:val="20"/>
                <w:szCs w:val="20"/>
              </w:rPr>
              <w:t>(</w:t>
            </w:r>
            <w:r w:rsidR="002E4CF8">
              <w:rPr>
                <w:rFonts w:ascii="Arial" w:hAnsi="Arial" w:cs="Arial"/>
                <w:sz w:val="20"/>
                <w:szCs w:val="20"/>
              </w:rPr>
              <w:t>18,967</w:t>
            </w:r>
            <w:r w:rsidRPr="001429F6">
              <w:rPr>
                <w:rFonts w:ascii="Arial" w:hAnsi="Arial" w:cs="Arial"/>
                <w:sz w:val="20"/>
                <w:szCs w:val="20"/>
              </w:rPr>
              <w:t>)</w:t>
            </w:r>
          </w:p>
        </w:tc>
        <w:tc>
          <w:tcPr>
            <w:tcW w:w="1375" w:type="dxa"/>
            <w:tcBorders>
              <w:top w:val="single" w:sz="4" w:space="0" w:color="auto"/>
            </w:tcBorders>
            <w:shd w:val="clear" w:color="auto" w:fill="auto"/>
          </w:tcPr>
          <w:p w:rsidR="00944F1A" w:rsidRPr="001429F6" w:rsidRDefault="002E4CF8" w:rsidP="001429F6">
            <w:pPr>
              <w:jc w:val="center"/>
              <w:rPr>
                <w:rFonts w:ascii="Arial" w:hAnsi="Arial" w:cs="Arial"/>
                <w:sz w:val="20"/>
                <w:szCs w:val="20"/>
              </w:rPr>
            </w:pPr>
            <w:r>
              <w:rPr>
                <w:rFonts w:ascii="Arial" w:hAnsi="Arial" w:cs="Arial"/>
                <w:sz w:val="20"/>
                <w:szCs w:val="20"/>
              </w:rPr>
              <w:t>79.8</w:t>
            </w:r>
          </w:p>
        </w:tc>
      </w:tr>
      <w:bookmarkEnd w:id="1"/>
      <w:bookmarkEnd w:id="3"/>
    </w:tbl>
    <w:p w:rsidR="00357845" w:rsidRPr="00734AF8" w:rsidRDefault="00357845" w:rsidP="00FA7C25">
      <w:pPr>
        <w:widowControl w:val="0"/>
        <w:tabs>
          <w:tab w:val="left" w:pos="0"/>
        </w:tabs>
        <w:suppressAutoHyphens/>
        <w:ind w:right="684"/>
        <w:rPr>
          <w:rFonts w:ascii="Arial" w:hAnsi="Arial" w:cs="Arial"/>
          <w:snapToGrid w:val="0"/>
          <w:sz w:val="16"/>
          <w:szCs w:val="16"/>
        </w:rPr>
      </w:pPr>
    </w:p>
    <w:p w:rsidR="00357845" w:rsidRDefault="00357845"/>
    <w:p w:rsidR="00073D54" w:rsidRPr="005B23D4" w:rsidRDefault="00073D54" w:rsidP="00073D54">
      <w:pPr>
        <w:widowControl w:val="0"/>
        <w:suppressAutoHyphens/>
        <w:ind w:right="-360"/>
        <w:rPr>
          <w:rFonts w:ascii="Arial" w:hAnsi="Arial" w:cs="Arial"/>
          <w:snapToGrid w:val="0"/>
          <w:sz w:val="16"/>
          <w:szCs w:val="16"/>
        </w:rPr>
      </w:pPr>
      <w:r w:rsidRPr="005B23D4">
        <w:rPr>
          <w:rFonts w:ascii="Arial" w:hAnsi="Arial" w:cs="Arial"/>
          <w:i/>
          <w:iCs/>
          <w:snapToGrid w:val="0"/>
          <w:sz w:val="16"/>
          <w:szCs w:val="16"/>
          <w:vertAlign w:val="superscript"/>
        </w:rPr>
        <w:t>a</w:t>
      </w:r>
      <w:r w:rsidRPr="005B23D4">
        <w:rPr>
          <w:rFonts w:ascii="Arial" w:hAnsi="Arial" w:cs="Arial"/>
          <w:snapToGrid w:val="0"/>
          <w:sz w:val="16"/>
          <w:szCs w:val="16"/>
        </w:rPr>
        <w:t xml:space="preserve"> T</w:t>
      </w:r>
      <w:r>
        <w:rPr>
          <w:rFonts w:ascii="Arial" w:hAnsi="Arial" w:cs="Arial"/>
          <w:snapToGrid w:val="0"/>
          <w:sz w:val="16"/>
          <w:szCs w:val="16"/>
        </w:rPr>
        <w:t xml:space="preserve">he World Bank (2012) </w:t>
      </w:r>
      <w:r w:rsidRPr="005B23D4">
        <w:rPr>
          <w:rFonts w:ascii="Arial" w:hAnsi="Arial" w:cs="Arial"/>
          <w:snapToGrid w:val="0"/>
          <w:sz w:val="16"/>
          <w:szCs w:val="16"/>
        </w:rPr>
        <w:t xml:space="preserve">Data. Accessed </w:t>
      </w:r>
      <w:r>
        <w:rPr>
          <w:rFonts w:ascii="Arial" w:hAnsi="Arial" w:cs="Arial"/>
          <w:snapToGrid w:val="0"/>
          <w:sz w:val="16"/>
          <w:szCs w:val="16"/>
        </w:rPr>
        <w:t>May 12, 2012</w:t>
      </w:r>
      <w:r w:rsidRPr="005B23D4">
        <w:rPr>
          <w:rFonts w:ascii="Arial" w:hAnsi="Arial" w:cs="Arial"/>
          <w:snapToGrid w:val="0"/>
          <w:sz w:val="16"/>
          <w:szCs w:val="16"/>
        </w:rPr>
        <w:t xml:space="preserve"> at: </w:t>
      </w:r>
      <w:hyperlink r:id="rId7" w:history="1">
        <w:r w:rsidRPr="005B23D4">
          <w:rPr>
            <w:rStyle w:val="Hipervnculo"/>
            <w:rFonts w:ascii="Arial" w:hAnsi="Arial" w:cs="Arial"/>
            <w:snapToGrid w:val="0"/>
            <w:sz w:val="16"/>
            <w:szCs w:val="16"/>
          </w:rPr>
          <w:t>http://data.worldbank.org/country</w:t>
        </w:r>
      </w:hyperlink>
      <w:r w:rsidRPr="005B23D4">
        <w:rPr>
          <w:rFonts w:ascii="Arial" w:hAnsi="Arial" w:cs="Arial"/>
          <w:snapToGrid w:val="0"/>
          <w:sz w:val="16"/>
          <w:szCs w:val="16"/>
        </w:rPr>
        <w:t>.</w:t>
      </w:r>
      <w:r>
        <w:rPr>
          <w:rFonts w:ascii="Arial" w:hAnsi="Arial" w:cs="Arial"/>
          <w:snapToGrid w:val="0"/>
          <w:sz w:val="16"/>
          <w:szCs w:val="16"/>
        </w:rPr>
        <w:t xml:space="preserve"> Some of the WMH countries have moved into new income categories since the surveys were conducted. The income groupings above reflect the status of each country at the time of data collection. The current income category of each country is available at the preceding URL.</w:t>
      </w:r>
    </w:p>
    <w:p w:rsidR="00073D54" w:rsidRPr="00897A7C" w:rsidRDefault="00073D54" w:rsidP="00073D54">
      <w:pPr>
        <w:widowControl w:val="0"/>
        <w:suppressAutoHyphens/>
        <w:ind w:right="-360"/>
        <w:rPr>
          <w:rFonts w:ascii="Arial" w:hAnsi="Arial" w:cs="Arial"/>
          <w:snapToGrid w:val="0"/>
          <w:sz w:val="16"/>
          <w:szCs w:val="16"/>
        </w:rPr>
      </w:pPr>
      <w:r w:rsidRPr="00897A7C">
        <w:rPr>
          <w:rFonts w:ascii="Arial" w:hAnsi="Arial" w:cs="Arial"/>
          <w:i/>
          <w:iCs/>
          <w:snapToGrid w:val="0"/>
          <w:sz w:val="16"/>
          <w:szCs w:val="16"/>
          <w:vertAlign w:val="superscript"/>
        </w:rPr>
        <w:t>b</w:t>
      </w:r>
      <w:r w:rsidR="00284631">
        <w:rPr>
          <w:rFonts w:ascii="Arial" w:hAnsi="Arial" w:cs="Arial"/>
          <w:i/>
          <w:iCs/>
          <w:snapToGrid w:val="0"/>
          <w:sz w:val="16"/>
          <w:szCs w:val="16"/>
          <w:vertAlign w:val="superscript"/>
        </w:rPr>
        <w:t xml:space="preserve">   </w:t>
      </w:r>
      <w:r w:rsidR="00284631" w:rsidRPr="00284631">
        <w:rPr>
          <w:rFonts w:ascii="Arial" w:hAnsi="Arial" w:cs="Arial"/>
          <w:color w:val="000000"/>
          <w:sz w:val="16"/>
          <w:szCs w:val="20"/>
        </w:rPr>
        <w:t>NSMH (The Colombian N</w:t>
      </w:r>
      <w:r w:rsidR="00284631">
        <w:rPr>
          <w:rFonts w:ascii="Arial" w:hAnsi="Arial" w:cs="Arial"/>
          <w:color w:val="000000"/>
          <w:sz w:val="16"/>
          <w:szCs w:val="20"/>
        </w:rPr>
        <w:t>ational Study of Mental Health)</w:t>
      </w:r>
      <w:r w:rsidR="00284631">
        <w:rPr>
          <w:rFonts w:ascii="Arial" w:hAnsi="Arial" w:cs="Arial"/>
          <w:snapToGrid w:val="0"/>
          <w:sz w:val="16"/>
          <w:szCs w:val="16"/>
        </w:rPr>
        <w:t xml:space="preserve">; </w:t>
      </w:r>
      <w:r w:rsidRPr="00E74D1F">
        <w:rPr>
          <w:rFonts w:ascii="Arial" w:hAnsi="Arial" w:cs="Arial"/>
          <w:color w:val="000000"/>
          <w:sz w:val="16"/>
          <w:szCs w:val="20"/>
        </w:rPr>
        <w:t xml:space="preserve">EMSMP (La </w:t>
      </w:r>
      <w:proofErr w:type="spellStart"/>
      <w:r w:rsidRPr="00E74D1F">
        <w:rPr>
          <w:rFonts w:ascii="Arial" w:hAnsi="Arial" w:cs="Arial"/>
          <w:color w:val="000000"/>
          <w:sz w:val="16"/>
          <w:szCs w:val="20"/>
        </w:rPr>
        <w:t>Encuesta</w:t>
      </w:r>
      <w:proofErr w:type="spellEnd"/>
      <w:r w:rsidRPr="00E74D1F">
        <w:rPr>
          <w:rFonts w:ascii="Arial" w:hAnsi="Arial" w:cs="Arial"/>
          <w:color w:val="000000"/>
          <w:sz w:val="16"/>
          <w:szCs w:val="20"/>
        </w:rPr>
        <w:t xml:space="preserve"> Mundial de </w:t>
      </w:r>
      <w:proofErr w:type="spellStart"/>
      <w:r w:rsidRPr="00E74D1F">
        <w:rPr>
          <w:rFonts w:ascii="Arial" w:hAnsi="Arial" w:cs="Arial"/>
          <w:color w:val="000000"/>
          <w:sz w:val="16"/>
          <w:szCs w:val="20"/>
        </w:rPr>
        <w:t>Salud</w:t>
      </w:r>
      <w:proofErr w:type="spellEnd"/>
      <w:r w:rsidRPr="00E74D1F">
        <w:rPr>
          <w:rFonts w:ascii="Arial" w:hAnsi="Arial" w:cs="Arial"/>
          <w:color w:val="000000"/>
          <w:sz w:val="16"/>
          <w:szCs w:val="20"/>
        </w:rPr>
        <w:t xml:space="preserve"> Mental en el Peru); MMHHS (Medellín Mental Health Household Study); M-NCS (The Mexico National Comorbidity Survey); AMHES (Argentina Mental Health Epidemiologic Survey);</w:t>
      </w:r>
      <w:r w:rsidR="00284631" w:rsidRPr="00284631">
        <w:t xml:space="preserve"> </w:t>
      </w:r>
      <w:r w:rsidR="00560459" w:rsidRPr="00560459">
        <w:rPr>
          <w:rFonts w:ascii="Arial" w:hAnsi="Arial" w:cs="Arial"/>
          <w:color w:val="000000"/>
          <w:sz w:val="16"/>
          <w:szCs w:val="20"/>
        </w:rPr>
        <w:t>NCS-R (The US National Comorbidity Survey Replication).</w:t>
      </w:r>
      <w:r w:rsidRPr="00897A7C">
        <w:rPr>
          <w:rFonts w:ascii="Arial" w:hAnsi="Arial" w:cs="Arial"/>
          <w:snapToGrid w:val="0"/>
          <w:sz w:val="16"/>
          <w:szCs w:val="16"/>
        </w:rPr>
        <w:tab/>
      </w:r>
    </w:p>
    <w:p w:rsidR="00073D54" w:rsidRPr="00CC08F9" w:rsidRDefault="00073D54" w:rsidP="00884137">
      <w:pPr>
        <w:widowControl w:val="0"/>
        <w:suppressAutoHyphens/>
        <w:ind w:right="-360"/>
        <w:rPr>
          <w:rFonts w:ascii="Arial" w:hAnsi="Arial" w:cs="Arial"/>
          <w:snapToGrid w:val="0"/>
          <w:sz w:val="12"/>
          <w:szCs w:val="16"/>
        </w:rPr>
      </w:pPr>
      <w:r w:rsidRPr="00897A7C">
        <w:rPr>
          <w:rFonts w:ascii="Arial" w:hAnsi="Arial" w:cs="Arial"/>
          <w:i/>
          <w:iCs/>
          <w:snapToGrid w:val="0"/>
          <w:sz w:val="16"/>
          <w:szCs w:val="16"/>
          <w:vertAlign w:val="superscript"/>
        </w:rPr>
        <w:t>c</w:t>
      </w:r>
      <w:r w:rsidRPr="00897A7C">
        <w:rPr>
          <w:rFonts w:ascii="Arial" w:hAnsi="Arial" w:cs="Arial"/>
          <w:snapToGrid w:val="0"/>
          <w:sz w:val="16"/>
          <w:szCs w:val="16"/>
        </w:rPr>
        <w:t xml:space="preserve"> </w:t>
      </w:r>
      <w:r w:rsidR="002B78DC" w:rsidRPr="00C60AAA">
        <w:rPr>
          <w:rFonts w:ascii="Arial" w:hAnsi="Arial" w:cs="Arial"/>
          <w:color w:val="000000"/>
          <w:sz w:val="16"/>
          <w:szCs w:val="20"/>
        </w:rPr>
        <w:t>Most WMH surveys are based on stratified multistage clustered area probability household samples in which samples of areas equivalent to counties or municipalities in the US were selected in the first stage followed by one or more subsequent stages of geographic sampling (e.g., towns within counties, blocks within towns, households within blocks) to arrive at a sample of households, in each of which a listing of household members was created and one or two people were selected from this listing to be interviewed. No substitution was allowed when the originally sampled household re</w:t>
      </w:r>
      <w:r w:rsidR="00884137">
        <w:rPr>
          <w:rFonts w:ascii="Arial" w:hAnsi="Arial" w:cs="Arial"/>
          <w:color w:val="000000"/>
          <w:sz w:val="16"/>
          <w:szCs w:val="20"/>
        </w:rPr>
        <w:t>sident could not be intervie</w:t>
      </w:r>
      <w:r w:rsidR="007801BF">
        <w:rPr>
          <w:rFonts w:ascii="Arial" w:hAnsi="Arial" w:cs="Arial"/>
          <w:color w:val="000000"/>
          <w:sz w:val="16"/>
          <w:szCs w:val="20"/>
        </w:rPr>
        <w:t>wed.</w:t>
      </w:r>
    </w:p>
    <w:p w:rsidR="00073D54" w:rsidRPr="00CC08F9" w:rsidRDefault="001B3755" w:rsidP="00884137">
      <w:pPr>
        <w:ind w:right="-360"/>
        <w:rPr>
          <w:rFonts w:ascii="Arial" w:hAnsi="Arial" w:cs="Arial"/>
          <w:color w:val="000000"/>
          <w:sz w:val="16"/>
          <w:szCs w:val="20"/>
        </w:rPr>
      </w:pPr>
      <w:r>
        <w:rPr>
          <w:rFonts w:ascii="Arial" w:hAnsi="Arial" w:cs="Arial"/>
          <w:i/>
          <w:color w:val="000000"/>
          <w:sz w:val="16"/>
          <w:szCs w:val="20"/>
          <w:vertAlign w:val="superscript"/>
        </w:rPr>
        <w:t>d</w:t>
      </w:r>
      <w:r w:rsidR="00073D54" w:rsidRPr="00CC08F9">
        <w:rPr>
          <w:rFonts w:ascii="Arial" w:hAnsi="Arial" w:cs="Arial"/>
          <w:color w:val="000000"/>
          <w:sz w:val="16"/>
          <w:szCs w:val="20"/>
          <w:vertAlign w:val="superscript"/>
        </w:rPr>
        <w:t xml:space="preserve"> </w:t>
      </w:r>
      <w:r w:rsidR="00073D54" w:rsidRPr="00CC08F9">
        <w:rPr>
          <w:rFonts w:ascii="Arial" w:hAnsi="Arial" w:cs="Arial"/>
          <w:color w:val="000000"/>
          <w:sz w:val="16"/>
          <w:szCs w:val="20"/>
        </w:rPr>
        <w:t xml:space="preserve">The response rate is calculated as the ratio of the number of households in which an interview was completed to the number of households originally sampled, excluding from the denominator households known not to be eligible either because of being vacant at the time of initial contact or because the residents were unable to speak the designated languages of the survey. </w:t>
      </w:r>
      <w:r w:rsidR="00073D54" w:rsidRPr="00084FAE">
        <w:rPr>
          <w:rFonts w:ascii="Arial" w:hAnsi="Arial" w:cs="Arial"/>
          <w:color w:val="000000"/>
          <w:sz w:val="16"/>
          <w:szCs w:val="20"/>
        </w:rPr>
        <w:t>The weighted average response rate is</w:t>
      </w:r>
      <w:r w:rsidR="00073D54" w:rsidRPr="00084FAE">
        <w:rPr>
          <w:rFonts w:ascii="Arial" w:hAnsi="Arial" w:cs="Arial"/>
          <w:sz w:val="16"/>
          <w:szCs w:val="20"/>
        </w:rPr>
        <w:t xml:space="preserve"> </w:t>
      </w:r>
      <w:r w:rsidR="000D1C77">
        <w:rPr>
          <w:rFonts w:ascii="Arial" w:hAnsi="Arial" w:cs="Arial"/>
          <w:sz w:val="16"/>
          <w:szCs w:val="20"/>
        </w:rPr>
        <w:t>79.8</w:t>
      </w:r>
      <w:r w:rsidR="00073D54" w:rsidRPr="00084FAE">
        <w:rPr>
          <w:rFonts w:ascii="Arial" w:hAnsi="Arial" w:cs="Arial"/>
          <w:sz w:val="16"/>
          <w:szCs w:val="20"/>
        </w:rPr>
        <w:t>%.</w:t>
      </w:r>
    </w:p>
    <w:p w:rsidR="00872342" w:rsidRDefault="00025C06">
      <w:r>
        <w:br w:type="page"/>
      </w:r>
    </w:p>
    <w:tbl>
      <w:tblPr>
        <w:tblW w:w="5000" w:type="pct"/>
        <w:tblCellMar>
          <w:left w:w="70" w:type="dxa"/>
          <w:right w:w="70" w:type="dxa"/>
        </w:tblCellMar>
        <w:tblLook w:val="04A0" w:firstRow="1" w:lastRow="0" w:firstColumn="1" w:lastColumn="0" w:noHBand="0" w:noVBand="1"/>
      </w:tblPr>
      <w:tblGrid>
        <w:gridCol w:w="1101"/>
        <w:gridCol w:w="1694"/>
        <w:gridCol w:w="1306"/>
        <w:gridCol w:w="1306"/>
        <w:gridCol w:w="1306"/>
        <w:gridCol w:w="1306"/>
        <w:gridCol w:w="1306"/>
        <w:gridCol w:w="1306"/>
        <w:gridCol w:w="1306"/>
        <w:gridCol w:w="1306"/>
        <w:gridCol w:w="1297"/>
      </w:tblGrid>
      <w:tr w:rsidR="001B64FD" w:rsidRPr="001B64FD" w:rsidTr="00450103">
        <w:tc>
          <w:tcPr>
            <w:tcW w:w="5000" w:type="pct"/>
            <w:gridSpan w:val="11"/>
            <w:tcBorders>
              <w:top w:val="nil"/>
              <w:left w:val="nil"/>
              <w:bottom w:val="nil"/>
              <w:right w:val="nil"/>
            </w:tcBorders>
            <w:shd w:val="clear" w:color="000000" w:fill="FFFFFF"/>
            <w:vAlign w:val="bottom"/>
            <w:hideMark/>
          </w:tcPr>
          <w:p w:rsidR="001B64FD" w:rsidRPr="001B64FD" w:rsidRDefault="001B64FD" w:rsidP="001B64FD">
            <w:pPr>
              <w:rPr>
                <w:b/>
                <w:bCs/>
                <w:sz w:val="16"/>
                <w:szCs w:val="16"/>
                <w:lang w:eastAsia="es-MX"/>
              </w:rPr>
            </w:pPr>
            <w:r w:rsidRPr="001B64FD">
              <w:rPr>
                <w:b/>
                <w:bCs/>
                <w:sz w:val="16"/>
                <w:szCs w:val="16"/>
                <w:lang w:eastAsia="es-MX"/>
              </w:rPr>
              <w:lastRenderedPageBreak/>
              <w:t>Annex - Table 2S: Adequacy of treatment ('stringent' definition), by service sectors, among WMH respondents with any 12-month DSM-IV/CIDI disorders who received any 12 month treatment in the PAHO Region (n=1991).</w:t>
            </w:r>
          </w:p>
        </w:tc>
      </w:tr>
      <w:tr w:rsidR="001B64FD" w:rsidRPr="001B64FD" w:rsidTr="00450103">
        <w:tc>
          <w:tcPr>
            <w:tcW w:w="962" w:type="pct"/>
            <w:gridSpan w:val="2"/>
            <w:tcBorders>
              <w:top w:val="single" w:sz="8" w:space="0" w:color="000000"/>
              <w:left w:val="single" w:sz="8" w:space="0" w:color="000000"/>
              <w:bottom w:val="nil"/>
              <w:right w:val="nil"/>
            </w:tcBorders>
            <w:shd w:val="clear" w:color="auto" w:fill="auto"/>
            <w:hideMark/>
          </w:tcPr>
          <w:p w:rsidR="001B64FD" w:rsidRPr="001B64FD" w:rsidRDefault="001B64FD" w:rsidP="001B64FD">
            <w:pPr>
              <w:jc w:val="center"/>
              <w:rPr>
                <w:b/>
                <w:bCs/>
                <w:sz w:val="12"/>
                <w:szCs w:val="16"/>
                <w:lang w:eastAsia="es-MX"/>
              </w:rPr>
            </w:pPr>
            <w:r w:rsidRPr="001B64FD">
              <w:rPr>
                <w:b/>
                <w:bCs/>
                <w:sz w:val="12"/>
                <w:szCs w:val="16"/>
                <w:lang w:eastAsia="es-MX"/>
              </w:rPr>
              <w:t> </w:t>
            </w:r>
          </w:p>
        </w:tc>
        <w:tc>
          <w:tcPr>
            <w:tcW w:w="449" w:type="pct"/>
            <w:tcBorders>
              <w:top w:val="single" w:sz="8" w:space="0" w:color="000000"/>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No. of respondents</w:t>
            </w:r>
          </w:p>
        </w:tc>
        <w:tc>
          <w:tcPr>
            <w:tcW w:w="449" w:type="pct"/>
            <w:tcBorders>
              <w:top w:val="single" w:sz="8" w:space="0" w:color="000000"/>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Psychiatrist</w:t>
            </w:r>
          </w:p>
        </w:tc>
        <w:tc>
          <w:tcPr>
            <w:tcW w:w="449" w:type="pct"/>
            <w:tcBorders>
              <w:top w:val="single" w:sz="8" w:space="0" w:color="000000"/>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Other Mental Health Specialist</w:t>
            </w:r>
          </w:p>
        </w:tc>
        <w:tc>
          <w:tcPr>
            <w:tcW w:w="449" w:type="pct"/>
            <w:tcBorders>
              <w:top w:val="single" w:sz="8" w:space="0" w:color="000000"/>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Any Mental Health Specialist</w:t>
            </w:r>
          </w:p>
        </w:tc>
        <w:tc>
          <w:tcPr>
            <w:tcW w:w="449" w:type="pct"/>
            <w:tcBorders>
              <w:top w:val="single" w:sz="8" w:space="0" w:color="000000"/>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General Medical</w:t>
            </w:r>
          </w:p>
        </w:tc>
        <w:tc>
          <w:tcPr>
            <w:tcW w:w="449" w:type="pct"/>
            <w:tcBorders>
              <w:top w:val="single" w:sz="8" w:space="0" w:color="000000"/>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Any Health Care</w:t>
            </w:r>
          </w:p>
        </w:tc>
        <w:tc>
          <w:tcPr>
            <w:tcW w:w="449" w:type="pct"/>
            <w:tcBorders>
              <w:top w:val="single" w:sz="8" w:space="0" w:color="000000"/>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Human Services</w:t>
            </w:r>
          </w:p>
        </w:tc>
        <w:tc>
          <w:tcPr>
            <w:tcW w:w="449" w:type="pct"/>
            <w:tcBorders>
              <w:top w:val="single" w:sz="8" w:space="0" w:color="000000"/>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CAM</w:t>
            </w:r>
          </w:p>
        </w:tc>
        <w:tc>
          <w:tcPr>
            <w:tcW w:w="449" w:type="pct"/>
            <w:tcBorders>
              <w:top w:val="single" w:sz="8" w:space="0" w:color="000000"/>
              <w:left w:val="nil"/>
              <w:bottom w:val="nil"/>
              <w:right w:val="single" w:sz="8" w:space="0" w:color="000000"/>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Any Service Use</w:t>
            </w:r>
          </w:p>
        </w:tc>
      </w:tr>
      <w:tr w:rsidR="001B64FD" w:rsidRPr="001B64FD" w:rsidTr="00450103">
        <w:tc>
          <w:tcPr>
            <w:tcW w:w="379" w:type="pct"/>
            <w:tcBorders>
              <w:top w:val="nil"/>
              <w:left w:val="single" w:sz="8" w:space="0" w:color="000000"/>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 </w:t>
            </w:r>
          </w:p>
        </w:tc>
        <w:tc>
          <w:tcPr>
            <w:tcW w:w="583" w:type="pct"/>
            <w:tcBorders>
              <w:top w:val="nil"/>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Survey</w:t>
            </w:r>
          </w:p>
        </w:tc>
        <w:tc>
          <w:tcPr>
            <w:tcW w:w="449" w:type="pct"/>
            <w:tcBorders>
              <w:top w:val="nil"/>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Unweighted n</w:t>
            </w:r>
          </w:p>
        </w:tc>
        <w:tc>
          <w:tcPr>
            <w:tcW w:w="449" w:type="pct"/>
            <w:tcBorders>
              <w:top w:val="nil"/>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 (SE)</w:t>
            </w:r>
          </w:p>
        </w:tc>
        <w:tc>
          <w:tcPr>
            <w:tcW w:w="449" w:type="pct"/>
            <w:tcBorders>
              <w:top w:val="nil"/>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 (SE)</w:t>
            </w:r>
          </w:p>
        </w:tc>
        <w:tc>
          <w:tcPr>
            <w:tcW w:w="449" w:type="pct"/>
            <w:tcBorders>
              <w:top w:val="nil"/>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 (SE)</w:t>
            </w:r>
          </w:p>
        </w:tc>
        <w:tc>
          <w:tcPr>
            <w:tcW w:w="449" w:type="pct"/>
            <w:tcBorders>
              <w:top w:val="nil"/>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 (SE)</w:t>
            </w:r>
          </w:p>
        </w:tc>
        <w:tc>
          <w:tcPr>
            <w:tcW w:w="449" w:type="pct"/>
            <w:tcBorders>
              <w:top w:val="nil"/>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 (SE)</w:t>
            </w:r>
          </w:p>
        </w:tc>
        <w:tc>
          <w:tcPr>
            <w:tcW w:w="449" w:type="pct"/>
            <w:tcBorders>
              <w:top w:val="nil"/>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 (SE)</w:t>
            </w:r>
          </w:p>
        </w:tc>
        <w:tc>
          <w:tcPr>
            <w:tcW w:w="449" w:type="pct"/>
            <w:tcBorders>
              <w:top w:val="nil"/>
              <w:left w:val="nil"/>
              <w:bottom w:val="nil"/>
              <w:right w:val="nil"/>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 (SE)</w:t>
            </w:r>
          </w:p>
        </w:tc>
        <w:tc>
          <w:tcPr>
            <w:tcW w:w="449" w:type="pct"/>
            <w:tcBorders>
              <w:top w:val="nil"/>
              <w:left w:val="nil"/>
              <w:bottom w:val="nil"/>
              <w:right w:val="single" w:sz="8" w:space="0" w:color="000000"/>
            </w:tcBorders>
            <w:shd w:val="clear" w:color="auto" w:fill="auto"/>
            <w:hideMark/>
          </w:tcPr>
          <w:p w:rsidR="001B64FD" w:rsidRPr="001B64FD" w:rsidRDefault="001B64FD" w:rsidP="001B64FD">
            <w:pPr>
              <w:jc w:val="center"/>
              <w:rPr>
                <w:b/>
                <w:bCs/>
                <w:sz w:val="12"/>
                <w:szCs w:val="16"/>
                <w:lang w:val="es-MX" w:eastAsia="es-MX"/>
              </w:rPr>
            </w:pPr>
            <w:r w:rsidRPr="001B64FD">
              <w:rPr>
                <w:b/>
                <w:bCs/>
                <w:sz w:val="12"/>
                <w:szCs w:val="16"/>
                <w:lang w:val="es-MX" w:eastAsia="es-MX"/>
              </w:rPr>
              <w:t>% (SE)</w:t>
            </w:r>
          </w:p>
        </w:tc>
      </w:tr>
      <w:tr w:rsidR="001B64FD" w:rsidRPr="001B64FD" w:rsidTr="00450103">
        <w:tc>
          <w:tcPr>
            <w:tcW w:w="379" w:type="pct"/>
            <w:tcBorders>
              <w:top w:val="single" w:sz="8" w:space="0" w:color="auto"/>
              <w:left w:val="single" w:sz="8" w:space="0" w:color="auto"/>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Any disorder</w:t>
            </w:r>
          </w:p>
        </w:tc>
        <w:tc>
          <w:tcPr>
            <w:tcW w:w="583" w:type="pct"/>
            <w:tcBorders>
              <w:top w:val="single" w:sz="8" w:space="0" w:color="auto"/>
              <w:left w:val="nil"/>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 </w:t>
            </w:r>
          </w:p>
        </w:tc>
        <w:tc>
          <w:tcPr>
            <w:tcW w:w="449" w:type="pct"/>
            <w:tcBorders>
              <w:top w:val="single" w:sz="8" w:space="0" w:color="auto"/>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 </w:t>
            </w:r>
          </w:p>
        </w:tc>
        <w:tc>
          <w:tcPr>
            <w:tcW w:w="449" w:type="pct"/>
            <w:tcBorders>
              <w:top w:val="single" w:sz="8" w:space="0" w:color="auto"/>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 </w:t>
            </w:r>
          </w:p>
        </w:tc>
        <w:tc>
          <w:tcPr>
            <w:tcW w:w="449" w:type="pct"/>
            <w:tcBorders>
              <w:top w:val="single" w:sz="8" w:space="0" w:color="auto"/>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 </w:t>
            </w:r>
          </w:p>
        </w:tc>
        <w:tc>
          <w:tcPr>
            <w:tcW w:w="449" w:type="pct"/>
            <w:tcBorders>
              <w:top w:val="single" w:sz="8" w:space="0" w:color="auto"/>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 </w:t>
            </w:r>
          </w:p>
        </w:tc>
        <w:tc>
          <w:tcPr>
            <w:tcW w:w="449" w:type="pct"/>
            <w:tcBorders>
              <w:top w:val="single" w:sz="8" w:space="0" w:color="auto"/>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 </w:t>
            </w:r>
          </w:p>
        </w:tc>
        <w:tc>
          <w:tcPr>
            <w:tcW w:w="449" w:type="pct"/>
            <w:tcBorders>
              <w:top w:val="single" w:sz="8" w:space="0" w:color="auto"/>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 </w:t>
            </w:r>
          </w:p>
        </w:tc>
        <w:tc>
          <w:tcPr>
            <w:tcW w:w="449" w:type="pct"/>
            <w:tcBorders>
              <w:top w:val="single" w:sz="8" w:space="0" w:color="auto"/>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 </w:t>
            </w:r>
          </w:p>
        </w:tc>
        <w:tc>
          <w:tcPr>
            <w:tcW w:w="449" w:type="pct"/>
            <w:tcBorders>
              <w:top w:val="single" w:sz="8" w:space="0" w:color="auto"/>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 </w:t>
            </w:r>
          </w:p>
        </w:tc>
        <w:tc>
          <w:tcPr>
            <w:tcW w:w="449" w:type="pct"/>
            <w:tcBorders>
              <w:top w:val="single" w:sz="8" w:space="0" w:color="auto"/>
              <w:left w:val="nil"/>
              <w:bottom w:val="single" w:sz="4" w:space="0" w:color="auto"/>
              <w:right w:val="single" w:sz="8"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 </w:t>
            </w:r>
          </w:p>
        </w:tc>
      </w:tr>
      <w:tr w:rsidR="001B64FD" w:rsidRPr="001B64FD" w:rsidTr="00450103">
        <w:tc>
          <w:tcPr>
            <w:tcW w:w="379" w:type="pct"/>
            <w:tcBorders>
              <w:top w:val="nil"/>
              <w:left w:val="single" w:sz="8" w:space="0" w:color="auto"/>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 </w:t>
            </w:r>
          </w:p>
        </w:tc>
        <w:tc>
          <w:tcPr>
            <w:tcW w:w="583" w:type="pct"/>
            <w:tcBorders>
              <w:top w:val="nil"/>
              <w:left w:val="nil"/>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Argentina</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182</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16.8 (3.3)</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34.5 (5.3)</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39.9 (5.0)</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12.4 (3.9)</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42.9 (4.4)</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2.7 (1.4)</w:t>
            </w:r>
          </w:p>
        </w:tc>
        <w:tc>
          <w:tcPr>
            <w:tcW w:w="449" w:type="pct"/>
            <w:tcBorders>
              <w:top w:val="nil"/>
              <w:left w:val="nil"/>
              <w:bottom w:val="single" w:sz="4" w:space="0" w:color="auto"/>
              <w:right w:val="single" w:sz="8"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42.9 (4.4)</w:t>
            </w:r>
          </w:p>
        </w:tc>
      </w:tr>
      <w:tr w:rsidR="001B64FD" w:rsidRPr="001B64FD" w:rsidTr="00450103">
        <w:tc>
          <w:tcPr>
            <w:tcW w:w="379" w:type="pct"/>
            <w:tcBorders>
              <w:top w:val="nil"/>
              <w:left w:val="single" w:sz="8" w:space="0" w:color="auto"/>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 </w:t>
            </w:r>
          </w:p>
        </w:tc>
        <w:tc>
          <w:tcPr>
            <w:tcW w:w="583" w:type="pct"/>
            <w:tcBorders>
              <w:top w:val="nil"/>
              <w:left w:val="nil"/>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Brazil</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332</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29.6 (3.9)</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20.6 (2.4)</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37.6 (3.5)</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8.6 (1.2)</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39.8 (3.5)</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3.8 (1.1)</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5.3 (1.0)</w:t>
            </w:r>
          </w:p>
        </w:tc>
        <w:tc>
          <w:tcPr>
            <w:tcW w:w="449" w:type="pct"/>
            <w:tcBorders>
              <w:top w:val="nil"/>
              <w:left w:val="nil"/>
              <w:bottom w:val="single" w:sz="4" w:space="0" w:color="auto"/>
              <w:right w:val="single" w:sz="8"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39.8 (3.5)</w:t>
            </w:r>
          </w:p>
        </w:tc>
      </w:tr>
      <w:tr w:rsidR="001B64FD" w:rsidRPr="001B64FD" w:rsidTr="00450103">
        <w:tc>
          <w:tcPr>
            <w:tcW w:w="379" w:type="pct"/>
            <w:tcBorders>
              <w:top w:val="nil"/>
              <w:left w:val="single" w:sz="8" w:space="0" w:color="auto"/>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 </w:t>
            </w:r>
          </w:p>
        </w:tc>
        <w:tc>
          <w:tcPr>
            <w:tcW w:w="583" w:type="pct"/>
            <w:tcBorders>
              <w:top w:val="nil"/>
              <w:left w:val="nil"/>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Colombia</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131</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7.7 (2.7)</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8.1 (4.0)</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14.2 (4.5)</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19.8 (5.2)</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0 (0)</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0 (0)</w:t>
            </w:r>
          </w:p>
        </w:tc>
        <w:tc>
          <w:tcPr>
            <w:tcW w:w="449" w:type="pct"/>
            <w:tcBorders>
              <w:top w:val="nil"/>
              <w:left w:val="nil"/>
              <w:bottom w:val="single" w:sz="4" w:space="0" w:color="auto"/>
              <w:right w:val="single" w:sz="8"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19.8 (5.2)</w:t>
            </w:r>
          </w:p>
        </w:tc>
      </w:tr>
      <w:tr w:rsidR="001B64FD" w:rsidRPr="001B64FD" w:rsidTr="00450103">
        <w:tc>
          <w:tcPr>
            <w:tcW w:w="379" w:type="pct"/>
            <w:tcBorders>
              <w:top w:val="nil"/>
              <w:left w:val="single" w:sz="8" w:space="0" w:color="auto"/>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 </w:t>
            </w:r>
          </w:p>
        </w:tc>
        <w:tc>
          <w:tcPr>
            <w:tcW w:w="583" w:type="pct"/>
            <w:tcBorders>
              <w:top w:val="nil"/>
              <w:left w:val="nil"/>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Medellin Colombia</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113</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17.0 (4.1)</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15.1 (4.5)</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22.1 (5.0)</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22.7 (5.0)</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w:t>
            </w:r>
          </w:p>
        </w:tc>
        <w:tc>
          <w:tcPr>
            <w:tcW w:w="449" w:type="pct"/>
            <w:tcBorders>
              <w:top w:val="nil"/>
              <w:left w:val="nil"/>
              <w:bottom w:val="single" w:sz="4" w:space="0" w:color="auto"/>
              <w:right w:val="single" w:sz="8"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22.7 (5.0)</w:t>
            </w:r>
          </w:p>
        </w:tc>
      </w:tr>
      <w:tr w:rsidR="001B64FD" w:rsidRPr="001B64FD" w:rsidTr="00450103">
        <w:tc>
          <w:tcPr>
            <w:tcW w:w="379" w:type="pct"/>
            <w:tcBorders>
              <w:top w:val="nil"/>
              <w:left w:val="single" w:sz="8" w:space="0" w:color="auto"/>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 </w:t>
            </w:r>
          </w:p>
        </w:tc>
        <w:tc>
          <w:tcPr>
            <w:tcW w:w="583" w:type="pct"/>
            <w:tcBorders>
              <w:top w:val="nil"/>
              <w:left w:val="nil"/>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Mexico</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142</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7.4 (2.8)</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11.5 (2.8)</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17.0 (3.1)</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7.7 (2.5)</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21.9 (3.6)</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0 (0)</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w:t>
            </w:r>
          </w:p>
        </w:tc>
        <w:tc>
          <w:tcPr>
            <w:tcW w:w="449" w:type="pct"/>
            <w:tcBorders>
              <w:top w:val="nil"/>
              <w:left w:val="nil"/>
              <w:bottom w:val="single" w:sz="4" w:space="0" w:color="auto"/>
              <w:right w:val="single" w:sz="8"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21.9 (3.6)</w:t>
            </w:r>
          </w:p>
        </w:tc>
      </w:tr>
      <w:tr w:rsidR="001B64FD" w:rsidRPr="001B64FD" w:rsidTr="00450103">
        <w:tc>
          <w:tcPr>
            <w:tcW w:w="379" w:type="pct"/>
            <w:tcBorders>
              <w:top w:val="nil"/>
              <w:left w:val="single" w:sz="8" w:space="0" w:color="auto"/>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 </w:t>
            </w:r>
          </w:p>
        </w:tc>
        <w:tc>
          <w:tcPr>
            <w:tcW w:w="583" w:type="pct"/>
            <w:tcBorders>
              <w:top w:val="nil"/>
              <w:left w:val="nil"/>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Peru</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83</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5.3 (2.3)</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11.5 (3.8)</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12.4 (3.6)</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w:t>
            </w:r>
          </w:p>
        </w:tc>
        <w:tc>
          <w:tcPr>
            <w:tcW w:w="449" w:type="pct"/>
            <w:tcBorders>
              <w:top w:val="nil"/>
              <w:left w:val="nil"/>
              <w:bottom w:val="single" w:sz="4" w:space="0" w:color="auto"/>
              <w:right w:val="single" w:sz="8"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12.4 (3.6)</w:t>
            </w:r>
          </w:p>
        </w:tc>
      </w:tr>
      <w:tr w:rsidR="001B64FD" w:rsidRPr="001B64FD" w:rsidTr="00450103">
        <w:tc>
          <w:tcPr>
            <w:tcW w:w="379" w:type="pct"/>
            <w:tcBorders>
              <w:top w:val="nil"/>
              <w:left w:val="single" w:sz="8" w:space="0" w:color="auto"/>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 </w:t>
            </w:r>
          </w:p>
        </w:tc>
        <w:tc>
          <w:tcPr>
            <w:tcW w:w="583" w:type="pct"/>
            <w:tcBorders>
              <w:top w:val="nil"/>
              <w:left w:val="nil"/>
              <w:bottom w:val="single" w:sz="4"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United States</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1008</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19.9 (1.6)</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28.1 (1.7)</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34.2 (1.6)</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22.2 (1.4)</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38.6 (1.7)</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7.2 (0.9)</w:t>
            </w:r>
          </w:p>
        </w:tc>
        <w:tc>
          <w:tcPr>
            <w:tcW w:w="449" w:type="pct"/>
            <w:tcBorders>
              <w:top w:val="nil"/>
              <w:left w:val="nil"/>
              <w:bottom w:val="single" w:sz="4"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7.4 (0.9)</w:t>
            </w:r>
          </w:p>
        </w:tc>
        <w:tc>
          <w:tcPr>
            <w:tcW w:w="449" w:type="pct"/>
            <w:tcBorders>
              <w:top w:val="nil"/>
              <w:left w:val="nil"/>
              <w:bottom w:val="single" w:sz="4" w:space="0" w:color="auto"/>
              <w:right w:val="single" w:sz="8"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38.6 (1.7)</w:t>
            </w:r>
          </w:p>
        </w:tc>
      </w:tr>
      <w:tr w:rsidR="001B64FD" w:rsidRPr="001B64FD" w:rsidTr="00450103">
        <w:tc>
          <w:tcPr>
            <w:tcW w:w="379" w:type="pct"/>
            <w:tcBorders>
              <w:top w:val="nil"/>
              <w:left w:val="single" w:sz="8" w:space="0" w:color="auto"/>
              <w:bottom w:val="single" w:sz="8"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 </w:t>
            </w:r>
          </w:p>
        </w:tc>
        <w:tc>
          <w:tcPr>
            <w:tcW w:w="583" w:type="pct"/>
            <w:tcBorders>
              <w:top w:val="nil"/>
              <w:left w:val="nil"/>
              <w:bottom w:val="single" w:sz="8" w:space="0" w:color="auto"/>
              <w:right w:val="single" w:sz="4" w:space="0" w:color="auto"/>
            </w:tcBorders>
            <w:shd w:val="clear" w:color="000000" w:fill="FFFFFF"/>
            <w:hideMark/>
          </w:tcPr>
          <w:p w:rsidR="001B64FD" w:rsidRPr="001B64FD" w:rsidRDefault="001B64FD" w:rsidP="001B64FD">
            <w:pPr>
              <w:rPr>
                <w:sz w:val="12"/>
                <w:szCs w:val="16"/>
                <w:lang w:val="es-MX" w:eastAsia="es-MX"/>
              </w:rPr>
            </w:pPr>
            <w:r w:rsidRPr="001B64FD">
              <w:rPr>
                <w:sz w:val="12"/>
                <w:szCs w:val="16"/>
                <w:lang w:val="es-MX" w:eastAsia="es-MX"/>
              </w:rPr>
              <w:t>Overall</w:t>
            </w:r>
          </w:p>
        </w:tc>
        <w:tc>
          <w:tcPr>
            <w:tcW w:w="449" w:type="pct"/>
            <w:tcBorders>
              <w:top w:val="nil"/>
              <w:left w:val="nil"/>
              <w:bottom w:val="single" w:sz="8"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1991</w:t>
            </w:r>
          </w:p>
        </w:tc>
        <w:tc>
          <w:tcPr>
            <w:tcW w:w="449" w:type="pct"/>
            <w:tcBorders>
              <w:top w:val="nil"/>
              <w:left w:val="nil"/>
              <w:bottom w:val="single" w:sz="8"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19.2 (1.2)</w:t>
            </w:r>
          </w:p>
        </w:tc>
        <w:tc>
          <w:tcPr>
            <w:tcW w:w="449" w:type="pct"/>
            <w:tcBorders>
              <w:top w:val="nil"/>
              <w:left w:val="nil"/>
              <w:bottom w:val="single" w:sz="8"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23.7 (1.2)</w:t>
            </w:r>
          </w:p>
        </w:tc>
        <w:tc>
          <w:tcPr>
            <w:tcW w:w="449" w:type="pct"/>
            <w:tcBorders>
              <w:top w:val="nil"/>
              <w:left w:val="nil"/>
              <w:bottom w:val="single" w:sz="8"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31.6 (1.2)</w:t>
            </w:r>
          </w:p>
        </w:tc>
        <w:tc>
          <w:tcPr>
            <w:tcW w:w="449" w:type="pct"/>
            <w:tcBorders>
              <w:top w:val="nil"/>
              <w:left w:val="nil"/>
              <w:bottom w:val="single" w:sz="8"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15.6 (1.0)</w:t>
            </w:r>
          </w:p>
        </w:tc>
        <w:tc>
          <w:tcPr>
            <w:tcW w:w="449" w:type="pct"/>
            <w:tcBorders>
              <w:top w:val="nil"/>
              <w:left w:val="nil"/>
              <w:bottom w:val="single" w:sz="8"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35.3 (1.3)</w:t>
            </w:r>
          </w:p>
        </w:tc>
        <w:tc>
          <w:tcPr>
            <w:tcW w:w="449" w:type="pct"/>
            <w:tcBorders>
              <w:top w:val="nil"/>
              <w:left w:val="nil"/>
              <w:bottom w:val="single" w:sz="8"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5.0 (0.6)</w:t>
            </w:r>
          </w:p>
        </w:tc>
        <w:tc>
          <w:tcPr>
            <w:tcW w:w="449" w:type="pct"/>
            <w:tcBorders>
              <w:top w:val="nil"/>
              <w:left w:val="nil"/>
              <w:bottom w:val="single" w:sz="8" w:space="0" w:color="auto"/>
              <w:right w:val="single" w:sz="4"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5.6 (0.6)</w:t>
            </w:r>
          </w:p>
        </w:tc>
        <w:tc>
          <w:tcPr>
            <w:tcW w:w="449" w:type="pct"/>
            <w:tcBorders>
              <w:top w:val="nil"/>
              <w:left w:val="nil"/>
              <w:bottom w:val="single" w:sz="8" w:space="0" w:color="auto"/>
              <w:right w:val="single" w:sz="8" w:space="0" w:color="auto"/>
            </w:tcBorders>
            <w:shd w:val="clear" w:color="000000" w:fill="FFFFFF"/>
            <w:hideMark/>
          </w:tcPr>
          <w:p w:rsidR="001B64FD" w:rsidRPr="001B64FD" w:rsidRDefault="001B64FD" w:rsidP="001B64FD">
            <w:pPr>
              <w:jc w:val="center"/>
              <w:rPr>
                <w:sz w:val="12"/>
                <w:szCs w:val="16"/>
                <w:lang w:val="es-MX" w:eastAsia="es-MX"/>
              </w:rPr>
            </w:pPr>
            <w:r w:rsidRPr="001B64FD">
              <w:rPr>
                <w:sz w:val="12"/>
                <w:szCs w:val="16"/>
                <w:lang w:val="es-MX" w:eastAsia="es-MX"/>
              </w:rPr>
              <w:t>35.3 (1.3)</w:t>
            </w:r>
          </w:p>
        </w:tc>
      </w:tr>
      <w:tr w:rsidR="001B64FD" w:rsidRPr="001B64FD" w:rsidTr="00450103">
        <w:tc>
          <w:tcPr>
            <w:tcW w:w="5000" w:type="pct"/>
            <w:gridSpan w:val="11"/>
            <w:tcBorders>
              <w:top w:val="single" w:sz="8" w:space="0" w:color="auto"/>
              <w:left w:val="nil"/>
              <w:bottom w:val="nil"/>
              <w:right w:val="nil"/>
            </w:tcBorders>
            <w:shd w:val="clear" w:color="000000" w:fill="FFFFFF"/>
            <w:noWrap/>
            <w:vAlign w:val="bottom"/>
            <w:hideMark/>
          </w:tcPr>
          <w:p w:rsidR="001B64FD" w:rsidRPr="001B64FD" w:rsidRDefault="001B64FD" w:rsidP="001B64FD">
            <w:pPr>
              <w:rPr>
                <w:i/>
                <w:iCs/>
                <w:sz w:val="10"/>
                <w:szCs w:val="10"/>
                <w:lang w:eastAsia="es-MX"/>
              </w:rPr>
            </w:pPr>
            <w:r w:rsidRPr="001B64FD">
              <w:rPr>
                <w:i/>
                <w:iCs/>
                <w:sz w:val="10"/>
                <w:szCs w:val="10"/>
                <w:lang w:eastAsia="es-MX"/>
              </w:rPr>
              <w:t>Abbreviations: CAM, complementary and alternative medicine; WMH, World Mental Health; CIDI, Composite International Diagnostic Interview; SE, Standard Error</w:t>
            </w:r>
          </w:p>
        </w:tc>
      </w:tr>
      <w:tr w:rsidR="001B64FD" w:rsidRPr="001B64FD" w:rsidTr="00450103">
        <w:tc>
          <w:tcPr>
            <w:tcW w:w="5000" w:type="pct"/>
            <w:gridSpan w:val="11"/>
            <w:tcBorders>
              <w:top w:val="nil"/>
              <w:left w:val="nil"/>
              <w:bottom w:val="nil"/>
              <w:right w:val="nil"/>
            </w:tcBorders>
            <w:shd w:val="clear" w:color="000000" w:fill="FFFFFF"/>
            <w:noWrap/>
            <w:vAlign w:val="bottom"/>
            <w:hideMark/>
          </w:tcPr>
          <w:p w:rsidR="001B64FD" w:rsidRPr="001B64FD" w:rsidRDefault="001B64FD" w:rsidP="001B64FD">
            <w:pPr>
              <w:rPr>
                <w:i/>
                <w:iCs/>
                <w:sz w:val="10"/>
                <w:szCs w:val="10"/>
                <w:lang w:eastAsia="es-MX"/>
              </w:rPr>
            </w:pPr>
            <w:r w:rsidRPr="001B64FD">
              <w:rPr>
                <w:i/>
                <w:iCs/>
                <w:sz w:val="10"/>
                <w:szCs w:val="10"/>
                <w:lang w:eastAsia="es-MX"/>
              </w:rPr>
              <w:t>Analyses performed on part II sample</w:t>
            </w:r>
          </w:p>
        </w:tc>
      </w:tr>
      <w:tr w:rsidR="001B64FD" w:rsidRPr="001B64FD" w:rsidTr="00450103">
        <w:tc>
          <w:tcPr>
            <w:tcW w:w="5000" w:type="pct"/>
            <w:gridSpan w:val="11"/>
            <w:tcBorders>
              <w:top w:val="nil"/>
              <w:left w:val="nil"/>
              <w:bottom w:val="nil"/>
              <w:right w:val="nil"/>
            </w:tcBorders>
            <w:shd w:val="clear" w:color="000000" w:fill="FFFFFF"/>
            <w:noWrap/>
            <w:vAlign w:val="bottom"/>
            <w:hideMark/>
          </w:tcPr>
          <w:p w:rsidR="001B64FD" w:rsidRPr="001B64FD" w:rsidRDefault="001B64FD" w:rsidP="001B64FD">
            <w:pPr>
              <w:rPr>
                <w:i/>
                <w:iCs/>
                <w:sz w:val="10"/>
                <w:szCs w:val="10"/>
                <w:lang w:eastAsia="es-MX"/>
              </w:rPr>
            </w:pPr>
            <w:r w:rsidRPr="001B64FD">
              <w:rPr>
                <w:i/>
                <w:iCs/>
                <w:sz w:val="10"/>
                <w:szCs w:val="10"/>
                <w:lang w:eastAsia="es-MX"/>
              </w:rPr>
              <w:t>-- Percentage less than twice the SE or sample size &lt; 30</w:t>
            </w:r>
          </w:p>
        </w:tc>
      </w:tr>
      <w:tr w:rsidR="001B64FD" w:rsidRPr="001B64FD" w:rsidTr="00450103">
        <w:tc>
          <w:tcPr>
            <w:tcW w:w="5000" w:type="pct"/>
            <w:gridSpan w:val="11"/>
            <w:tcBorders>
              <w:top w:val="nil"/>
              <w:left w:val="nil"/>
              <w:bottom w:val="nil"/>
              <w:right w:val="nil"/>
            </w:tcBorders>
            <w:shd w:val="clear" w:color="000000" w:fill="FFFFFF"/>
            <w:noWrap/>
            <w:vAlign w:val="bottom"/>
            <w:hideMark/>
          </w:tcPr>
          <w:p w:rsidR="001B64FD" w:rsidRPr="001B64FD" w:rsidRDefault="001B64FD" w:rsidP="001B64FD">
            <w:pPr>
              <w:rPr>
                <w:i/>
                <w:iCs/>
                <w:sz w:val="10"/>
                <w:szCs w:val="10"/>
                <w:lang w:eastAsia="es-MX"/>
              </w:rPr>
            </w:pPr>
            <w:proofErr w:type="spellStart"/>
            <w:r w:rsidRPr="001B64FD">
              <w:rPr>
                <w:i/>
                <w:iCs/>
                <w:sz w:val="10"/>
                <w:szCs w:val="10"/>
                <w:lang w:eastAsia="es-MX"/>
              </w:rPr>
              <w:t>Interminent</w:t>
            </w:r>
            <w:proofErr w:type="spellEnd"/>
            <w:r w:rsidRPr="001B64FD">
              <w:rPr>
                <w:i/>
                <w:iCs/>
                <w:sz w:val="10"/>
                <w:szCs w:val="10"/>
                <w:lang w:eastAsia="es-MX"/>
              </w:rPr>
              <w:t xml:space="preserve"> explosive disorder was not assessed in Mexico and Medellin, were coded as zero</w:t>
            </w:r>
          </w:p>
        </w:tc>
      </w:tr>
      <w:tr w:rsidR="001B64FD" w:rsidRPr="001B64FD" w:rsidTr="00450103">
        <w:tc>
          <w:tcPr>
            <w:tcW w:w="5000" w:type="pct"/>
            <w:gridSpan w:val="11"/>
            <w:tcBorders>
              <w:top w:val="nil"/>
              <w:left w:val="nil"/>
              <w:bottom w:val="nil"/>
              <w:right w:val="nil"/>
            </w:tcBorders>
            <w:shd w:val="clear" w:color="000000" w:fill="FFFFFF"/>
            <w:noWrap/>
            <w:vAlign w:val="bottom"/>
            <w:hideMark/>
          </w:tcPr>
          <w:p w:rsidR="001B64FD" w:rsidRPr="001B64FD" w:rsidRDefault="001B64FD" w:rsidP="001B64FD">
            <w:pPr>
              <w:rPr>
                <w:i/>
                <w:iCs/>
                <w:sz w:val="10"/>
                <w:szCs w:val="10"/>
                <w:lang w:eastAsia="es-MX"/>
              </w:rPr>
            </w:pPr>
            <w:r w:rsidRPr="001B64FD">
              <w:rPr>
                <w:i/>
                <w:iCs/>
                <w:sz w:val="10"/>
                <w:szCs w:val="10"/>
                <w:lang w:eastAsia="es-MX"/>
              </w:rPr>
              <w:t>Imputed variables for alcohol and drug dependence were used for Colombia, Mexico, Peru and the U.S.</w:t>
            </w:r>
          </w:p>
        </w:tc>
      </w:tr>
      <w:tr w:rsidR="001B64FD" w:rsidRPr="001B64FD" w:rsidTr="00450103">
        <w:tc>
          <w:tcPr>
            <w:tcW w:w="5000" w:type="pct"/>
            <w:gridSpan w:val="11"/>
            <w:tcBorders>
              <w:top w:val="nil"/>
              <w:left w:val="nil"/>
              <w:bottom w:val="nil"/>
              <w:right w:val="nil"/>
            </w:tcBorders>
            <w:shd w:val="clear" w:color="000000" w:fill="FFFFFF"/>
            <w:noWrap/>
            <w:vAlign w:val="bottom"/>
            <w:hideMark/>
          </w:tcPr>
          <w:p w:rsidR="001B64FD" w:rsidRPr="001B64FD" w:rsidRDefault="001B64FD" w:rsidP="001B64FD">
            <w:pPr>
              <w:rPr>
                <w:i/>
                <w:iCs/>
                <w:sz w:val="10"/>
                <w:szCs w:val="10"/>
                <w:lang w:eastAsia="es-MX"/>
              </w:rPr>
            </w:pPr>
            <w:r w:rsidRPr="001B64FD">
              <w:rPr>
                <w:i/>
                <w:iCs/>
                <w:sz w:val="10"/>
                <w:szCs w:val="10"/>
                <w:lang w:eastAsia="es-MX"/>
              </w:rPr>
              <w:t>Lifetime ADHD was used in all countries, and was coded as zero for those with age &gt; 45 in Colombia, Mexico, Peru and the U.S.</w:t>
            </w:r>
          </w:p>
        </w:tc>
      </w:tr>
    </w:tbl>
    <w:p w:rsidR="00872342" w:rsidRDefault="00872342">
      <w:r>
        <w:br w:type="page"/>
      </w:r>
    </w:p>
    <w:p w:rsidR="00025C06" w:rsidRDefault="00025C06"/>
    <w:tbl>
      <w:tblPr>
        <w:tblW w:w="5000" w:type="pct"/>
        <w:tblCellMar>
          <w:left w:w="70" w:type="dxa"/>
          <w:right w:w="70" w:type="dxa"/>
        </w:tblCellMar>
        <w:tblLook w:val="04A0" w:firstRow="1" w:lastRow="0" w:firstColumn="1" w:lastColumn="0" w:noHBand="0" w:noVBand="1"/>
      </w:tblPr>
      <w:tblGrid>
        <w:gridCol w:w="1766"/>
        <w:gridCol w:w="1672"/>
        <w:gridCol w:w="1387"/>
        <w:gridCol w:w="1387"/>
        <w:gridCol w:w="1387"/>
        <w:gridCol w:w="1387"/>
        <w:gridCol w:w="1387"/>
        <w:gridCol w:w="1387"/>
        <w:gridCol w:w="1387"/>
        <w:gridCol w:w="1393"/>
      </w:tblGrid>
      <w:tr w:rsidR="00025C06" w:rsidRPr="00025C06" w:rsidTr="00025C06">
        <w:tc>
          <w:tcPr>
            <w:tcW w:w="5000" w:type="pct"/>
            <w:gridSpan w:val="10"/>
            <w:tcBorders>
              <w:top w:val="nil"/>
              <w:left w:val="nil"/>
              <w:bottom w:val="nil"/>
              <w:right w:val="nil"/>
            </w:tcBorders>
            <w:shd w:val="clear" w:color="000000" w:fill="FFFFFF"/>
            <w:hideMark/>
          </w:tcPr>
          <w:p w:rsidR="00025C06" w:rsidRPr="00025C06" w:rsidRDefault="00025C06" w:rsidP="00025C06">
            <w:pPr>
              <w:rPr>
                <w:b/>
                <w:bCs/>
                <w:color w:val="000000"/>
                <w:sz w:val="16"/>
                <w:szCs w:val="16"/>
                <w:lang w:eastAsia="es-ES_tradnl"/>
              </w:rPr>
            </w:pPr>
            <w:r w:rsidRPr="00025C06">
              <w:rPr>
                <w:b/>
                <w:bCs/>
                <w:noProof/>
                <w:color w:val="000000"/>
                <w:sz w:val="16"/>
                <w:szCs w:val="16"/>
                <w:lang w:val="es-ES" w:eastAsia="es-E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54000" cy="190500"/>
                  <wp:effectExtent l="0" t="0" r="0" b="0"/>
                  <wp:wrapNone/>
                  <wp:docPr id="1" name="Imagen 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190500"/>
                          </a:xfrm>
                          <a:prstGeom prst="rect">
                            <a:avLst/>
                          </a:prstGeom>
                          <a:noFill/>
                        </pic:spPr>
                      </pic:pic>
                    </a:graphicData>
                  </a:graphic>
                  <wp14:sizeRelH relativeFrom="page">
                    <wp14:pctWidth>0</wp14:pctWidth>
                  </wp14:sizeRelH>
                  <wp14:sizeRelV relativeFrom="page">
                    <wp14:pctHeight>0</wp14:pctHeight>
                  </wp14:sizeRelV>
                </wp:anchor>
              </w:drawing>
            </w:r>
            <w:bookmarkStart w:id="4" w:name="RANGE!A1"/>
            <w:r w:rsidRPr="00025C06">
              <w:rPr>
                <w:b/>
                <w:bCs/>
                <w:color w:val="000000"/>
                <w:sz w:val="16"/>
                <w:szCs w:val="16"/>
                <w:lang w:eastAsia="es-ES_tradnl"/>
              </w:rPr>
              <w:t xml:space="preserve">Annex - Table </w:t>
            </w:r>
            <w:r w:rsidR="00872342">
              <w:rPr>
                <w:b/>
                <w:bCs/>
                <w:color w:val="000000"/>
                <w:sz w:val="16"/>
                <w:szCs w:val="16"/>
                <w:lang w:eastAsia="es-ES_tradnl"/>
              </w:rPr>
              <w:t>3</w:t>
            </w:r>
            <w:r w:rsidRPr="00025C06">
              <w:rPr>
                <w:b/>
                <w:bCs/>
                <w:color w:val="000000"/>
                <w:sz w:val="16"/>
                <w:szCs w:val="16"/>
                <w:lang w:eastAsia="es-ES_tradnl"/>
              </w:rPr>
              <w:t>S: Adequacy of treatment among WMH respondents with any 12-month DSM-IV/CIDI disorders with any service use, by number of disorders and severity, by survey in the PAHO region (n=1991).</w:t>
            </w:r>
            <w:bookmarkEnd w:id="4"/>
          </w:p>
        </w:tc>
      </w:tr>
      <w:tr w:rsidR="00025C06" w:rsidRPr="00025C06" w:rsidTr="00025C06">
        <w:tc>
          <w:tcPr>
            <w:tcW w:w="607" w:type="pct"/>
            <w:tcBorders>
              <w:top w:val="single" w:sz="8" w:space="0" w:color="000000"/>
              <w:left w:val="single" w:sz="8" w:space="0" w:color="000000"/>
              <w:bottom w:val="nil"/>
              <w:right w:val="nil"/>
            </w:tcBorders>
            <w:shd w:val="clear" w:color="auto" w:fill="auto"/>
            <w:hideMark/>
          </w:tcPr>
          <w:p w:rsidR="00025C06" w:rsidRPr="00025C06" w:rsidRDefault="00025C06" w:rsidP="00025C06">
            <w:pPr>
              <w:rPr>
                <w:b/>
                <w:bCs/>
                <w:color w:val="000000"/>
                <w:sz w:val="11"/>
                <w:szCs w:val="11"/>
                <w:lang w:eastAsia="es-ES_tradnl"/>
              </w:rPr>
            </w:pPr>
            <w:r w:rsidRPr="00025C06">
              <w:rPr>
                <w:b/>
                <w:bCs/>
                <w:color w:val="000000"/>
                <w:sz w:val="11"/>
                <w:szCs w:val="11"/>
                <w:lang w:eastAsia="es-ES_tradnl"/>
              </w:rPr>
              <w:t> </w:t>
            </w:r>
          </w:p>
        </w:tc>
        <w:tc>
          <w:tcPr>
            <w:tcW w:w="575" w:type="pct"/>
            <w:tcBorders>
              <w:top w:val="single" w:sz="8" w:space="0" w:color="000000"/>
              <w:left w:val="nil"/>
              <w:bottom w:val="nil"/>
              <w:right w:val="nil"/>
            </w:tcBorders>
            <w:shd w:val="clear" w:color="auto" w:fill="auto"/>
            <w:hideMark/>
          </w:tcPr>
          <w:p w:rsidR="00025C06" w:rsidRPr="00025C06" w:rsidRDefault="00025C06" w:rsidP="00025C06">
            <w:pPr>
              <w:rPr>
                <w:b/>
                <w:bCs/>
                <w:color w:val="000000"/>
                <w:sz w:val="11"/>
                <w:szCs w:val="11"/>
                <w:lang w:eastAsia="es-ES_tradnl"/>
              </w:rPr>
            </w:pPr>
            <w:r w:rsidRPr="00025C06">
              <w:rPr>
                <w:b/>
                <w:bCs/>
                <w:color w:val="000000"/>
                <w:sz w:val="11"/>
                <w:szCs w:val="11"/>
                <w:lang w:eastAsia="es-ES_tradnl"/>
              </w:rPr>
              <w:t> </w:t>
            </w:r>
          </w:p>
        </w:tc>
        <w:tc>
          <w:tcPr>
            <w:tcW w:w="477" w:type="pct"/>
            <w:vMerge w:val="restart"/>
            <w:tcBorders>
              <w:top w:val="single" w:sz="8" w:space="0" w:color="000000"/>
              <w:left w:val="nil"/>
              <w:bottom w:val="nil"/>
              <w:right w:val="nil"/>
            </w:tcBorders>
            <w:shd w:val="clear" w:color="auto" w:fill="auto"/>
            <w:hideMark/>
          </w:tcPr>
          <w:p w:rsidR="00025C06" w:rsidRPr="00025C06" w:rsidRDefault="00025C06" w:rsidP="00025C06">
            <w:pPr>
              <w:jc w:val="center"/>
              <w:rPr>
                <w:b/>
                <w:bCs/>
                <w:color w:val="000000"/>
                <w:sz w:val="11"/>
                <w:szCs w:val="11"/>
                <w:lang w:val="es-MX" w:eastAsia="es-ES_tradnl"/>
              </w:rPr>
            </w:pPr>
            <w:r w:rsidRPr="00025C06">
              <w:rPr>
                <w:b/>
                <w:bCs/>
                <w:color w:val="000000"/>
                <w:sz w:val="11"/>
                <w:szCs w:val="11"/>
                <w:lang w:val="es-MX" w:eastAsia="es-ES_tradnl"/>
              </w:rPr>
              <w:t>Number of disorders / Severity</w:t>
            </w:r>
          </w:p>
        </w:tc>
        <w:tc>
          <w:tcPr>
            <w:tcW w:w="477" w:type="pct"/>
            <w:tcBorders>
              <w:top w:val="single" w:sz="8" w:space="0" w:color="000000"/>
              <w:left w:val="nil"/>
              <w:bottom w:val="nil"/>
              <w:right w:val="nil"/>
            </w:tcBorders>
            <w:shd w:val="clear" w:color="auto" w:fill="auto"/>
            <w:hideMark/>
          </w:tcPr>
          <w:p w:rsidR="00025C06" w:rsidRPr="00025C06" w:rsidRDefault="00025C06" w:rsidP="00025C06">
            <w:pPr>
              <w:jc w:val="center"/>
              <w:rPr>
                <w:b/>
                <w:bCs/>
                <w:color w:val="000000"/>
                <w:sz w:val="11"/>
                <w:szCs w:val="11"/>
                <w:lang w:eastAsia="es-ES_tradnl"/>
              </w:rPr>
            </w:pPr>
            <w:r w:rsidRPr="00025C06">
              <w:rPr>
                <w:b/>
                <w:bCs/>
                <w:color w:val="000000"/>
                <w:sz w:val="11"/>
                <w:szCs w:val="11"/>
                <w:lang w:eastAsia="es-ES_tradnl"/>
              </w:rPr>
              <w:t>No. of respondents with disorder</w:t>
            </w:r>
          </w:p>
        </w:tc>
        <w:tc>
          <w:tcPr>
            <w:tcW w:w="954" w:type="pct"/>
            <w:gridSpan w:val="2"/>
            <w:tcBorders>
              <w:top w:val="single" w:sz="8" w:space="0" w:color="000000"/>
              <w:left w:val="nil"/>
              <w:bottom w:val="nil"/>
              <w:right w:val="nil"/>
            </w:tcBorders>
            <w:shd w:val="clear" w:color="auto" w:fill="auto"/>
            <w:hideMark/>
          </w:tcPr>
          <w:p w:rsidR="00025C06" w:rsidRPr="00025C06" w:rsidRDefault="00025C06" w:rsidP="00025C06">
            <w:pPr>
              <w:jc w:val="center"/>
              <w:rPr>
                <w:b/>
                <w:bCs/>
                <w:color w:val="000000"/>
                <w:sz w:val="11"/>
                <w:szCs w:val="11"/>
                <w:lang w:eastAsia="es-ES_tradnl"/>
              </w:rPr>
            </w:pPr>
            <w:r w:rsidRPr="00025C06">
              <w:rPr>
                <w:b/>
                <w:bCs/>
                <w:color w:val="000000"/>
                <w:sz w:val="11"/>
                <w:szCs w:val="11"/>
                <w:lang w:eastAsia="es-ES_tradnl"/>
              </w:rPr>
              <w:t>Minimally adequate treatment ('stringent' definition)</w:t>
            </w:r>
          </w:p>
        </w:tc>
        <w:tc>
          <w:tcPr>
            <w:tcW w:w="954" w:type="pct"/>
            <w:gridSpan w:val="2"/>
            <w:tcBorders>
              <w:top w:val="single" w:sz="8" w:space="0" w:color="000000"/>
              <w:left w:val="nil"/>
              <w:bottom w:val="nil"/>
              <w:right w:val="nil"/>
            </w:tcBorders>
            <w:shd w:val="clear" w:color="auto" w:fill="auto"/>
            <w:hideMark/>
          </w:tcPr>
          <w:p w:rsidR="00025C06" w:rsidRPr="00025C06" w:rsidRDefault="00025C06" w:rsidP="00025C06">
            <w:pPr>
              <w:jc w:val="center"/>
              <w:rPr>
                <w:b/>
                <w:bCs/>
                <w:color w:val="000000"/>
                <w:sz w:val="11"/>
                <w:szCs w:val="11"/>
                <w:lang w:eastAsia="es-ES_tradnl"/>
              </w:rPr>
            </w:pPr>
            <w:r w:rsidRPr="00025C06">
              <w:rPr>
                <w:b/>
                <w:bCs/>
                <w:color w:val="000000"/>
                <w:sz w:val="11"/>
                <w:szCs w:val="11"/>
                <w:lang w:eastAsia="es-ES_tradnl"/>
              </w:rPr>
              <w:t>Minimally adequate treatment ('light' definition)</w:t>
            </w:r>
          </w:p>
        </w:tc>
        <w:tc>
          <w:tcPr>
            <w:tcW w:w="954" w:type="pct"/>
            <w:gridSpan w:val="2"/>
            <w:tcBorders>
              <w:top w:val="single" w:sz="8" w:space="0" w:color="000000"/>
              <w:left w:val="nil"/>
              <w:bottom w:val="nil"/>
              <w:right w:val="single" w:sz="8" w:space="0" w:color="000000"/>
            </w:tcBorders>
            <w:shd w:val="clear" w:color="auto" w:fill="auto"/>
            <w:hideMark/>
          </w:tcPr>
          <w:p w:rsidR="00025C06" w:rsidRPr="00025C06" w:rsidRDefault="00025C06" w:rsidP="00025C06">
            <w:pPr>
              <w:jc w:val="center"/>
              <w:rPr>
                <w:b/>
                <w:bCs/>
                <w:color w:val="000000"/>
                <w:sz w:val="11"/>
                <w:szCs w:val="11"/>
                <w:lang w:eastAsia="es-ES_tradnl"/>
              </w:rPr>
            </w:pPr>
            <w:r w:rsidRPr="00025C06">
              <w:rPr>
                <w:b/>
                <w:bCs/>
                <w:color w:val="000000"/>
                <w:sz w:val="11"/>
                <w:szCs w:val="11"/>
                <w:lang w:eastAsia="es-ES_tradnl"/>
              </w:rPr>
              <w:t>Follow-up treatment ('very light' definition)</w:t>
            </w:r>
          </w:p>
        </w:tc>
      </w:tr>
      <w:tr w:rsidR="00025C06" w:rsidRPr="00025C06" w:rsidTr="00025C06">
        <w:tc>
          <w:tcPr>
            <w:tcW w:w="607" w:type="pct"/>
            <w:tcBorders>
              <w:top w:val="nil"/>
              <w:left w:val="single" w:sz="8" w:space="0" w:color="000000"/>
              <w:bottom w:val="nil"/>
              <w:right w:val="nil"/>
            </w:tcBorders>
            <w:shd w:val="clear" w:color="auto" w:fill="auto"/>
            <w:hideMark/>
          </w:tcPr>
          <w:p w:rsidR="00025C06" w:rsidRPr="00025C06" w:rsidRDefault="00025C06" w:rsidP="00025C06">
            <w:pPr>
              <w:jc w:val="center"/>
              <w:rPr>
                <w:b/>
                <w:bCs/>
                <w:color w:val="000000"/>
                <w:sz w:val="11"/>
                <w:szCs w:val="11"/>
                <w:lang w:val="es-MX" w:eastAsia="es-ES_tradnl"/>
              </w:rPr>
            </w:pPr>
            <w:r w:rsidRPr="00025C06">
              <w:rPr>
                <w:b/>
                <w:bCs/>
                <w:color w:val="000000"/>
                <w:sz w:val="11"/>
                <w:szCs w:val="11"/>
                <w:lang w:val="es-MX" w:eastAsia="es-ES_tradnl"/>
              </w:rPr>
              <w:t>Variable</w:t>
            </w:r>
          </w:p>
        </w:tc>
        <w:tc>
          <w:tcPr>
            <w:tcW w:w="575" w:type="pct"/>
            <w:tcBorders>
              <w:top w:val="nil"/>
              <w:left w:val="nil"/>
              <w:bottom w:val="nil"/>
              <w:right w:val="nil"/>
            </w:tcBorders>
            <w:shd w:val="clear" w:color="auto" w:fill="auto"/>
            <w:hideMark/>
          </w:tcPr>
          <w:p w:rsidR="00025C06" w:rsidRPr="00025C06" w:rsidRDefault="00025C06" w:rsidP="00025C06">
            <w:pPr>
              <w:jc w:val="center"/>
              <w:rPr>
                <w:b/>
                <w:bCs/>
                <w:color w:val="000000"/>
                <w:sz w:val="11"/>
                <w:szCs w:val="11"/>
                <w:lang w:val="es-MX" w:eastAsia="es-ES_tradnl"/>
              </w:rPr>
            </w:pPr>
            <w:r w:rsidRPr="00025C06">
              <w:rPr>
                <w:b/>
                <w:bCs/>
                <w:color w:val="000000"/>
                <w:sz w:val="11"/>
                <w:szCs w:val="11"/>
                <w:lang w:val="es-MX" w:eastAsia="es-ES_tradnl"/>
              </w:rPr>
              <w:t>Survey</w:t>
            </w:r>
          </w:p>
        </w:tc>
        <w:tc>
          <w:tcPr>
            <w:tcW w:w="477" w:type="pct"/>
            <w:vMerge/>
            <w:tcBorders>
              <w:top w:val="single" w:sz="8" w:space="0" w:color="000000"/>
              <w:left w:val="nil"/>
              <w:bottom w:val="nil"/>
              <w:right w:val="nil"/>
            </w:tcBorders>
            <w:hideMark/>
          </w:tcPr>
          <w:p w:rsidR="00025C06" w:rsidRPr="00025C06" w:rsidRDefault="00025C06" w:rsidP="00025C06">
            <w:pPr>
              <w:rPr>
                <w:b/>
                <w:bCs/>
                <w:color w:val="000000"/>
                <w:sz w:val="11"/>
                <w:szCs w:val="11"/>
                <w:lang w:val="es-MX" w:eastAsia="es-ES_tradnl"/>
              </w:rPr>
            </w:pPr>
          </w:p>
        </w:tc>
        <w:tc>
          <w:tcPr>
            <w:tcW w:w="477" w:type="pct"/>
            <w:tcBorders>
              <w:top w:val="nil"/>
              <w:left w:val="nil"/>
              <w:bottom w:val="nil"/>
              <w:right w:val="nil"/>
            </w:tcBorders>
            <w:shd w:val="clear" w:color="auto" w:fill="auto"/>
            <w:hideMark/>
          </w:tcPr>
          <w:p w:rsidR="00025C06" w:rsidRPr="00025C06" w:rsidRDefault="00025C06" w:rsidP="00025C06">
            <w:pPr>
              <w:jc w:val="center"/>
              <w:rPr>
                <w:b/>
                <w:bCs/>
                <w:color w:val="000000"/>
                <w:sz w:val="11"/>
                <w:szCs w:val="11"/>
                <w:lang w:val="es-MX" w:eastAsia="es-ES_tradnl"/>
              </w:rPr>
            </w:pPr>
            <w:r w:rsidRPr="00025C06">
              <w:rPr>
                <w:b/>
                <w:bCs/>
                <w:color w:val="000000"/>
                <w:sz w:val="11"/>
                <w:szCs w:val="11"/>
                <w:lang w:val="es-MX" w:eastAsia="es-ES_tradnl"/>
              </w:rPr>
              <w:t>Unweighted n</w:t>
            </w:r>
          </w:p>
        </w:tc>
        <w:tc>
          <w:tcPr>
            <w:tcW w:w="477" w:type="pct"/>
            <w:tcBorders>
              <w:top w:val="nil"/>
              <w:left w:val="nil"/>
              <w:bottom w:val="nil"/>
              <w:right w:val="nil"/>
            </w:tcBorders>
            <w:shd w:val="clear" w:color="auto" w:fill="auto"/>
            <w:hideMark/>
          </w:tcPr>
          <w:p w:rsidR="00025C06" w:rsidRPr="00025C06" w:rsidRDefault="00025C06" w:rsidP="00025C06">
            <w:pPr>
              <w:jc w:val="center"/>
              <w:rPr>
                <w:b/>
                <w:bCs/>
                <w:color w:val="000000"/>
                <w:sz w:val="11"/>
                <w:szCs w:val="11"/>
                <w:lang w:val="es-MX" w:eastAsia="es-ES_tradnl"/>
              </w:rPr>
            </w:pPr>
            <w:r w:rsidRPr="00025C06">
              <w:rPr>
                <w:b/>
                <w:bCs/>
                <w:color w:val="000000"/>
                <w:sz w:val="11"/>
                <w:szCs w:val="11"/>
                <w:lang w:val="es-MX" w:eastAsia="es-ES_tradnl"/>
              </w:rPr>
              <w:t>Unweighted n</w:t>
            </w:r>
          </w:p>
        </w:tc>
        <w:tc>
          <w:tcPr>
            <w:tcW w:w="477" w:type="pct"/>
            <w:tcBorders>
              <w:top w:val="nil"/>
              <w:left w:val="nil"/>
              <w:bottom w:val="nil"/>
              <w:right w:val="nil"/>
            </w:tcBorders>
            <w:shd w:val="clear" w:color="auto" w:fill="auto"/>
            <w:hideMark/>
          </w:tcPr>
          <w:p w:rsidR="00025C06" w:rsidRPr="00025C06" w:rsidRDefault="00025C06" w:rsidP="00025C06">
            <w:pPr>
              <w:jc w:val="center"/>
              <w:rPr>
                <w:b/>
                <w:bCs/>
                <w:color w:val="000000"/>
                <w:sz w:val="11"/>
                <w:szCs w:val="11"/>
                <w:lang w:val="es-MX" w:eastAsia="es-ES_tradnl"/>
              </w:rPr>
            </w:pPr>
            <w:r w:rsidRPr="00025C06">
              <w:rPr>
                <w:b/>
                <w:bCs/>
                <w:color w:val="000000"/>
                <w:sz w:val="11"/>
                <w:szCs w:val="11"/>
                <w:lang w:val="es-MX" w:eastAsia="es-ES_tradnl"/>
              </w:rPr>
              <w:t>% (SE)</w:t>
            </w:r>
          </w:p>
        </w:tc>
        <w:tc>
          <w:tcPr>
            <w:tcW w:w="477" w:type="pct"/>
            <w:tcBorders>
              <w:top w:val="nil"/>
              <w:left w:val="nil"/>
              <w:bottom w:val="nil"/>
              <w:right w:val="nil"/>
            </w:tcBorders>
            <w:shd w:val="clear" w:color="auto" w:fill="auto"/>
            <w:hideMark/>
          </w:tcPr>
          <w:p w:rsidR="00025C06" w:rsidRPr="00025C06" w:rsidRDefault="00025C06" w:rsidP="00025C06">
            <w:pPr>
              <w:jc w:val="center"/>
              <w:rPr>
                <w:b/>
                <w:bCs/>
                <w:color w:val="000000"/>
                <w:sz w:val="11"/>
                <w:szCs w:val="11"/>
                <w:lang w:val="es-MX" w:eastAsia="es-ES_tradnl"/>
              </w:rPr>
            </w:pPr>
            <w:r w:rsidRPr="00025C06">
              <w:rPr>
                <w:b/>
                <w:bCs/>
                <w:color w:val="000000"/>
                <w:sz w:val="11"/>
                <w:szCs w:val="11"/>
                <w:lang w:val="es-MX" w:eastAsia="es-ES_tradnl"/>
              </w:rPr>
              <w:t>Unweighted n</w:t>
            </w:r>
          </w:p>
        </w:tc>
        <w:tc>
          <w:tcPr>
            <w:tcW w:w="477" w:type="pct"/>
            <w:tcBorders>
              <w:top w:val="nil"/>
              <w:left w:val="nil"/>
              <w:bottom w:val="nil"/>
              <w:right w:val="nil"/>
            </w:tcBorders>
            <w:shd w:val="clear" w:color="auto" w:fill="auto"/>
            <w:hideMark/>
          </w:tcPr>
          <w:p w:rsidR="00025C06" w:rsidRPr="00025C06" w:rsidRDefault="00025C06" w:rsidP="00025C06">
            <w:pPr>
              <w:jc w:val="center"/>
              <w:rPr>
                <w:b/>
                <w:bCs/>
                <w:color w:val="000000"/>
                <w:sz w:val="11"/>
                <w:szCs w:val="11"/>
                <w:lang w:val="es-MX" w:eastAsia="es-ES_tradnl"/>
              </w:rPr>
            </w:pPr>
            <w:r w:rsidRPr="00025C06">
              <w:rPr>
                <w:b/>
                <w:bCs/>
                <w:color w:val="000000"/>
                <w:sz w:val="11"/>
                <w:szCs w:val="11"/>
                <w:lang w:val="es-MX" w:eastAsia="es-ES_tradnl"/>
              </w:rPr>
              <w:t>% (SE)</w:t>
            </w:r>
          </w:p>
        </w:tc>
        <w:tc>
          <w:tcPr>
            <w:tcW w:w="477" w:type="pct"/>
            <w:tcBorders>
              <w:top w:val="nil"/>
              <w:left w:val="nil"/>
              <w:bottom w:val="nil"/>
              <w:right w:val="nil"/>
            </w:tcBorders>
            <w:shd w:val="clear" w:color="auto" w:fill="auto"/>
            <w:hideMark/>
          </w:tcPr>
          <w:p w:rsidR="00025C06" w:rsidRPr="00025C06" w:rsidRDefault="00025C06" w:rsidP="00025C06">
            <w:pPr>
              <w:jc w:val="center"/>
              <w:rPr>
                <w:b/>
                <w:bCs/>
                <w:color w:val="000000"/>
                <w:sz w:val="11"/>
                <w:szCs w:val="11"/>
                <w:lang w:val="es-MX" w:eastAsia="es-ES_tradnl"/>
              </w:rPr>
            </w:pPr>
            <w:r w:rsidRPr="00025C06">
              <w:rPr>
                <w:b/>
                <w:bCs/>
                <w:color w:val="000000"/>
                <w:sz w:val="11"/>
                <w:szCs w:val="11"/>
                <w:lang w:val="es-MX" w:eastAsia="es-ES_tradnl"/>
              </w:rPr>
              <w:t>Unweighted n</w:t>
            </w:r>
          </w:p>
        </w:tc>
        <w:tc>
          <w:tcPr>
            <w:tcW w:w="477" w:type="pct"/>
            <w:tcBorders>
              <w:top w:val="nil"/>
              <w:left w:val="nil"/>
              <w:bottom w:val="nil"/>
              <w:right w:val="single" w:sz="8" w:space="0" w:color="000000"/>
            </w:tcBorders>
            <w:shd w:val="clear" w:color="auto" w:fill="auto"/>
            <w:hideMark/>
          </w:tcPr>
          <w:p w:rsidR="00025C06" w:rsidRPr="00025C06" w:rsidRDefault="00025C06" w:rsidP="00025C06">
            <w:pPr>
              <w:jc w:val="center"/>
              <w:rPr>
                <w:b/>
                <w:bCs/>
                <w:color w:val="000000"/>
                <w:sz w:val="11"/>
                <w:szCs w:val="11"/>
                <w:lang w:val="es-MX" w:eastAsia="es-ES_tradnl"/>
              </w:rPr>
            </w:pPr>
            <w:r w:rsidRPr="00025C06">
              <w:rPr>
                <w:b/>
                <w:bCs/>
                <w:color w:val="000000"/>
                <w:sz w:val="11"/>
                <w:szCs w:val="11"/>
                <w:lang w:val="es-MX" w:eastAsia="es-ES_tradnl"/>
              </w:rPr>
              <w:t>% (SE)</w:t>
            </w:r>
          </w:p>
        </w:tc>
      </w:tr>
      <w:tr w:rsidR="00025C06" w:rsidRPr="00025C06" w:rsidTr="00025C06">
        <w:tc>
          <w:tcPr>
            <w:tcW w:w="607" w:type="pct"/>
            <w:tcBorders>
              <w:top w:val="single" w:sz="8" w:space="0" w:color="auto"/>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Number of disorders</w:t>
            </w:r>
          </w:p>
        </w:tc>
        <w:tc>
          <w:tcPr>
            <w:tcW w:w="575" w:type="pct"/>
            <w:tcBorders>
              <w:top w:val="single" w:sz="8" w:space="0" w:color="auto"/>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477" w:type="pct"/>
            <w:tcBorders>
              <w:top w:val="single" w:sz="8" w:space="0" w:color="auto"/>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477" w:type="pct"/>
            <w:tcBorders>
              <w:top w:val="single" w:sz="8" w:space="0" w:color="auto"/>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single" w:sz="8" w:space="0" w:color="auto"/>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single" w:sz="8" w:space="0" w:color="auto"/>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single" w:sz="8" w:space="0" w:color="auto"/>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single" w:sz="8" w:space="0" w:color="auto"/>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single" w:sz="8" w:space="0" w:color="auto"/>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single" w:sz="8" w:space="0" w:color="auto"/>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Argentina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100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40.5 (5.8)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71.3 (7.3)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88</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88.6 (3.5)</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Argentina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54.7 (9.8)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80.7 (5.5)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36</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87.9 (4.5)</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Argentina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14</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Argentina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20</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Brazil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148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30.9 (4.3)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104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70.3 (4.1)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129</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86.0 (3.7)</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Brazil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44.7 (8.0)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74.7 (6.6)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66</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91.7 (3.7)</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Brazil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40.5 (8.3)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81.5 (5.9)</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52</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94.8 (2.6)</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Brazil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57.6 (8.3)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83.9 (7.2)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45</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86.0 (7.0)</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20.6 (8.0)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49.5 (8.8)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41</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67.6 (8.1)</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16.5 (7.7)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70.9 (7.4)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35</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91.6 (4.4)</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12</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11</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Medellin 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18.3 (6.0)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62.4 (8.2)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44</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80.4 (7.7)</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Medellin 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26</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Medellin 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13</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Medellin 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11</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Mexico</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21.2 (5.2)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54.4 (7.5)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57</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78.5 (5.2)</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Mexico</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25.8 (9.4)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67.2 (9.4)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29</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88.0 (4.7)</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Mexico</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16</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Mexico</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Peru</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44.7 (8.0)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29</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63.3 (5.9)</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Peru</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18</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Peru</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Peru</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United States</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388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135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33.6 (2.8)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293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74.7 (2.5)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341</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87.1 (2.2)</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United States</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264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34.3 (2.6)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207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76.1 (4.0)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242</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89.3 (3.1)</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United States</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153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41.5 (6.1)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124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77.1 (5.6)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140</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88.5 (4.1)</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United States</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203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102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52.0 (3.5)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170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84.7 (2.7)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192</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94.8 (1.5)</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Overall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876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262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29.5 (1.8)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595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68.3 (1.9)</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729</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83.5 (1.5)</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Overall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508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165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36.2 (2.4)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378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75.5 (2.7)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452</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89.7 (2.0)</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Overall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290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103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36.1 (4.2)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216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72.2 (3.8)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256</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87.4 (2.7)</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Overall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317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148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49.3 (3.0)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255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81.6 (2.5)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290</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92.5 (1.6)</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Severity</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 </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Argentina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Severe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37.2 (9.0)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74.3 (6.7)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52</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82.2 (5.5)</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Argentina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Moderate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49.5 (6.3)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74.8 (6.7)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65</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92.1 (3.4)</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Argentina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Mild</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49</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38.5 (9.2)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68.6 (9.2)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41</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84.5 (6.1)</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Brazil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Severe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170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45.6 (5.8)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136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82.1 (2.9)</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155</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92.0 (2.4)</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Brazil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Moderate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36.8 (5.7)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77.4 (4.8)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83</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90.4 (3.4)</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Brazil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Mild</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29.1 (5.1)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52.9 (7.1)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54</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78.2 (7.0)</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Severe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23.1 (8.5)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75.6 (6.0)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49</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92.6 (3.5)</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Moderate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21.7 (10.5)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50.7 (10.1)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31</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73.1 (7.9)</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Mild</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23.4 (8.7)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19</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53.2 (10.8)</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Medellin 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Severe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37.0 (8.5)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77.3 (7.4)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44</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86.0 (6.5)</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Medellin 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Moderate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13.2 (5.6)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60.3 (10.8)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31</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80.8 (10.4)</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Medellin Colombia</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Mild</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19</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Mexico</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Severe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11.3 (4.5)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49.9 (8.4)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40</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85.5 (4.2)</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Mexico</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Moderate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28.6 (6.3)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62.2 (7.5)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41</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76.6 (6.7)</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Mexico</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Mild</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27.1 (8.8)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21</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60.1 (9.4)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29</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86.5 (6.0)</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Peru</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Severe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24</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Peru</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Moderate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54.0 (9.5)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20</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64.7 (10.2)</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Peru</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Mild</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15</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United States</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Severe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385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192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50.8 (2.8)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329</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85.1 (2.2)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362</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93.2 (1.7)</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United States</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Moderate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395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140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34.5 (2.5)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298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73.6 (2.4)</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357</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88.8 (2.0)</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United States</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Mild</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228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26.3 (2.9)</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167</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71.7 (3.5)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196</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84.6 (2.8)</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Overall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Severe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798</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333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43.4 (2.2)</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635</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80.5 (1.6)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726</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91.5 (1.2)</w:t>
            </w:r>
          </w:p>
        </w:tc>
      </w:tr>
      <w:tr w:rsidR="00025C06" w:rsidRPr="00025C06" w:rsidTr="00025C06">
        <w:tc>
          <w:tcPr>
            <w:tcW w:w="607" w:type="pct"/>
            <w:tcBorders>
              <w:top w:val="nil"/>
              <w:left w:val="single" w:sz="8" w:space="0" w:color="auto"/>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Overall</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Moderate</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733</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229</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33.0 (2.0)</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516</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71.1 (1.9)</w:t>
            </w:r>
          </w:p>
        </w:tc>
        <w:tc>
          <w:tcPr>
            <w:tcW w:w="477" w:type="pct"/>
            <w:tcBorders>
              <w:top w:val="nil"/>
              <w:left w:val="nil"/>
              <w:bottom w:val="single" w:sz="4"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628</w:t>
            </w:r>
          </w:p>
        </w:tc>
        <w:tc>
          <w:tcPr>
            <w:tcW w:w="477" w:type="pct"/>
            <w:tcBorders>
              <w:top w:val="nil"/>
              <w:left w:val="nil"/>
              <w:bottom w:val="single" w:sz="4"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86.5 (1.5)</w:t>
            </w:r>
          </w:p>
        </w:tc>
      </w:tr>
      <w:tr w:rsidR="00025C06" w:rsidRPr="00025C06" w:rsidTr="00025C06">
        <w:tc>
          <w:tcPr>
            <w:tcW w:w="607" w:type="pct"/>
            <w:tcBorders>
              <w:top w:val="nil"/>
              <w:left w:val="single" w:sz="8" w:space="0" w:color="auto"/>
              <w:bottom w:val="single" w:sz="8"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 </w:t>
            </w:r>
          </w:p>
        </w:tc>
        <w:tc>
          <w:tcPr>
            <w:tcW w:w="575" w:type="pct"/>
            <w:tcBorders>
              <w:top w:val="nil"/>
              <w:left w:val="nil"/>
              <w:bottom w:val="single" w:sz="8"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Overall</w:t>
            </w:r>
          </w:p>
        </w:tc>
        <w:tc>
          <w:tcPr>
            <w:tcW w:w="477" w:type="pct"/>
            <w:tcBorders>
              <w:top w:val="nil"/>
              <w:left w:val="nil"/>
              <w:bottom w:val="single" w:sz="8" w:space="0" w:color="auto"/>
              <w:right w:val="single" w:sz="4" w:space="0" w:color="auto"/>
            </w:tcBorders>
            <w:shd w:val="clear" w:color="000000" w:fill="FFFFFF"/>
            <w:hideMark/>
          </w:tcPr>
          <w:p w:rsidR="00025C06" w:rsidRPr="00025C06" w:rsidRDefault="00025C06" w:rsidP="00025C06">
            <w:pPr>
              <w:rPr>
                <w:color w:val="000000"/>
                <w:sz w:val="11"/>
                <w:szCs w:val="11"/>
                <w:lang w:val="es-MX" w:eastAsia="es-ES_tradnl"/>
              </w:rPr>
            </w:pPr>
            <w:r w:rsidRPr="00025C06">
              <w:rPr>
                <w:color w:val="000000"/>
                <w:sz w:val="11"/>
                <w:szCs w:val="11"/>
                <w:lang w:val="es-MX" w:eastAsia="es-ES_tradnl"/>
              </w:rPr>
              <w:t>Mild</w:t>
            </w:r>
          </w:p>
        </w:tc>
        <w:tc>
          <w:tcPr>
            <w:tcW w:w="477" w:type="pct"/>
            <w:tcBorders>
              <w:top w:val="nil"/>
              <w:left w:val="nil"/>
              <w:bottom w:val="single" w:sz="8"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460</w:t>
            </w:r>
          </w:p>
        </w:tc>
        <w:tc>
          <w:tcPr>
            <w:tcW w:w="477" w:type="pct"/>
            <w:tcBorders>
              <w:top w:val="nil"/>
              <w:left w:val="nil"/>
              <w:bottom w:val="single" w:sz="8"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116</w:t>
            </w:r>
          </w:p>
        </w:tc>
        <w:tc>
          <w:tcPr>
            <w:tcW w:w="477" w:type="pct"/>
            <w:tcBorders>
              <w:top w:val="nil"/>
              <w:left w:val="nil"/>
              <w:bottom w:val="single" w:sz="8"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25.9 (2.2)</w:t>
            </w:r>
          </w:p>
        </w:tc>
        <w:tc>
          <w:tcPr>
            <w:tcW w:w="477" w:type="pct"/>
            <w:tcBorders>
              <w:top w:val="nil"/>
              <w:left w:val="nil"/>
              <w:bottom w:val="single" w:sz="8"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293</w:t>
            </w:r>
          </w:p>
        </w:tc>
        <w:tc>
          <w:tcPr>
            <w:tcW w:w="477" w:type="pct"/>
            <w:tcBorders>
              <w:top w:val="nil"/>
              <w:left w:val="nil"/>
              <w:bottom w:val="single" w:sz="8"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63.1 (2.6)</w:t>
            </w:r>
          </w:p>
        </w:tc>
        <w:tc>
          <w:tcPr>
            <w:tcW w:w="477" w:type="pct"/>
            <w:tcBorders>
              <w:top w:val="nil"/>
              <w:left w:val="nil"/>
              <w:bottom w:val="single" w:sz="8" w:space="0" w:color="auto"/>
              <w:right w:val="single" w:sz="4"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373</w:t>
            </w:r>
          </w:p>
        </w:tc>
        <w:tc>
          <w:tcPr>
            <w:tcW w:w="477" w:type="pct"/>
            <w:tcBorders>
              <w:top w:val="nil"/>
              <w:left w:val="nil"/>
              <w:bottom w:val="single" w:sz="8" w:space="0" w:color="auto"/>
              <w:right w:val="single" w:sz="8" w:space="0" w:color="auto"/>
            </w:tcBorders>
            <w:shd w:val="clear" w:color="000000" w:fill="FFFFFF"/>
            <w:hideMark/>
          </w:tcPr>
          <w:p w:rsidR="00025C06" w:rsidRPr="00025C06" w:rsidRDefault="00025C06" w:rsidP="00025C06">
            <w:pPr>
              <w:jc w:val="center"/>
              <w:rPr>
                <w:color w:val="000000"/>
                <w:sz w:val="11"/>
                <w:szCs w:val="11"/>
                <w:lang w:val="es-MX" w:eastAsia="es-ES_tradnl"/>
              </w:rPr>
            </w:pPr>
            <w:r w:rsidRPr="00025C06">
              <w:rPr>
                <w:color w:val="000000"/>
                <w:sz w:val="11"/>
                <w:szCs w:val="11"/>
                <w:lang w:val="es-MX" w:eastAsia="es-ES_tradnl"/>
              </w:rPr>
              <w:t>81.0 (2.1)</w:t>
            </w:r>
          </w:p>
        </w:tc>
      </w:tr>
      <w:tr w:rsidR="00025C06" w:rsidRPr="00025C06" w:rsidTr="00025C06">
        <w:tc>
          <w:tcPr>
            <w:tcW w:w="5000" w:type="pct"/>
            <w:gridSpan w:val="10"/>
            <w:tcBorders>
              <w:top w:val="single" w:sz="8" w:space="0" w:color="auto"/>
              <w:left w:val="nil"/>
              <w:bottom w:val="nil"/>
              <w:right w:val="nil"/>
            </w:tcBorders>
            <w:shd w:val="clear" w:color="000000" w:fill="FFFFFF"/>
            <w:noWrap/>
            <w:hideMark/>
          </w:tcPr>
          <w:p w:rsidR="00025C06" w:rsidRPr="00025C06" w:rsidRDefault="00025C06" w:rsidP="00025C06">
            <w:pPr>
              <w:rPr>
                <w:bCs/>
                <w:i/>
                <w:iCs/>
                <w:color w:val="000000"/>
                <w:sz w:val="11"/>
                <w:szCs w:val="11"/>
                <w:lang w:eastAsia="es-ES_tradnl"/>
              </w:rPr>
            </w:pPr>
            <w:r w:rsidRPr="00025C06">
              <w:rPr>
                <w:bCs/>
                <w:i/>
                <w:iCs/>
                <w:color w:val="000000"/>
                <w:sz w:val="11"/>
                <w:szCs w:val="11"/>
                <w:lang w:eastAsia="es-ES_tradnl"/>
              </w:rPr>
              <w:t>Abbreviations: WMH, World Mental Health; CIDI, Composite International Diagnostic Interview; SE, Standard Error</w:t>
            </w:r>
          </w:p>
        </w:tc>
      </w:tr>
      <w:tr w:rsidR="00025C06" w:rsidRPr="00025C06" w:rsidTr="00025C06">
        <w:tc>
          <w:tcPr>
            <w:tcW w:w="5000" w:type="pct"/>
            <w:gridSpan w:val="10"/>
            <w:tcBorders>
              <w:top w:val="nil"/>
              <w:left w:val="nil"/>
              <w:bottom w:val="nil"/>
              <w:right w:val="nil"/>
            </w:tcBorders>
            <w:shd w:val="clear" w:color="000000" w:fill="FFFFFF"/>
            <w:hideMark/>
          </w:tcPr>
          <w:p w:rsidR="00025C06" w:rsidRPr="00025C06" w:rsidRDefault="00025C06" w:rsidP="00025C06">
            <w:pPr>
              <w:rPr>
                <w:bCs/>
                <w:i/>
                <w:iCs/>
                <w:color w:val="000000"/>
                <w:sz w:val="11"/>
                <w:szCs w:val="11"/>
                <w:lang w:eastAsia="es-ES_tradnl"/>
              </w:rPr>
            </w:pPr>
            <w:r w:rsidRPr="00025C06">
              <w:rPr>
                <w:bCs/>
                <w:i/>
                <w:iCs/>
                <w:color w:val="000000"/>
                <w:sz w:val="11"/>
                <w:szCs w:val="11"/>
                <w:lang w:eastAsia="es-ES_tradnl"/>
              </w:rPr>
              <w:t>-- Percentage less than twice the SE or sample size &lt; 30</w:t>
            </w:r>
          </w:p>
        </w:tc>
      </w:tr>
      <w:tr w:rsidR="00025C06" w:rsidRPr="00025C06" w:rsidTr="00025C06">
        <w:tc>
          <w:tcPr>
            <w:tcW w:w="5000" w:type="pct"/>
            <w:gridSpan w:val="10"/>
            <w:tcBorders>
              <w:top w:val="nil"/>
              <w:left w:val="nil"/>
              <w:bottom w:val="nil"/>
              <w:right w:val="nil"/>
            </w:tcBorders>
            <w:shd w:val="clear" w:color="000000" w:fill="FFFFFF"/>
            <w:hideMark/>
          </w:tcPr>
          <w:p w:rsidR="00025C06" w:rsidRPr="00025C06" w:rsidRDefault="00025C06" w:rsidP="00025C06">
            <w:pPr>
              <w:rPr>
                <w:bCs/>
                <w:i/>
                <w:iCs/>
                <w:color w:val="000000"/>
                <w:sz w:val="11"/>
                <w:szCs w:val="11"/>
                <w:lang w:eastAsia="es-ES_tradnl"/>
              </w:rPr>
            </w:pPr>
            <w:r w:rsidRPr="00025C06">
              <w:rPr>
                <w:bCs/>
                <w:i/>
                <w:iCs/>
                <w:color w:val="000000"/>
                <w:sz w:val="11"/>
                <w:szCs w:val="11"/>
                <w:lang w:eastAsia="es-ES_tradnl"/>
              </w:rPr>
              <w:t>Analyses performed on part II sample</w:t>
            </w:r>
          </w:p>
        </w:tc>
      </w:tr>
      <w:tr w:rsidR="00025C06" w:rsidRPr="00025C06" w:rsidTr="00025C06">
        <w:tc>
          <w:tcPr>
            <w:tcW w:w="5000" w:type="pct"/>
            <w:gridSpan w:val="10"/>
            <w:tcBorders>
              <w:top w:val="nil"/>
              <w:left w:val="nil"/>
              <w:bottom w:val="nil"/>
              <w:right w:val="nil"/>
            </w:tcBorders>
            <w:shd w:val="clear" w:color="000000" w:fill="FFFFFF"/>
            <w:hideMark/>
          </w:tcPr>
          <w:p w:rsidR="00025C06" w:rsidRPr="00025C06" w:rsidRDefault="00025C06" w:rsidP="00025C06">
            <w:pPr>
              <w:rPr>
                <w:bCs/>
                <w:i/>
                <w:iCs/>
                <w:color w:val="000000"/>
                <w:sz w:val="11"/>
                <w:szCs w:val="11"/>
                <w:lang w:eastAsia="es-ES_tradnl"/>
              </w:rPr>
            </w:pPr>
            <w:r w:rsidRPr="00025C06">
              <w:rPr>
                <w:bCs/>
                <w:i/>
                <w:iCs/>
                <w:color w:val="000000"/>
                <w:sz w:val="11"/>
                <w:szCs w:val="11"/>
                <w:lang w:eastAsia="es-ES_tradnl"/>
              </w:rPr>
              <w:t>Light treatment was defined as at least 4 visits in the prior year to any type of provider, or at least 2 visits and any type of medication, or currently in treatment at the time of the interview. Follow-up treatment was defined as at least 2 visits in any service sector in the past 12 months or currently in treatment</w:t>
            </w:r>
          </w:p>
        </w:tc>
      </w:tr>
      <w:tr w:rsidR="00025C06" w:rsidRPr="00025C06" w:rsidTr="00025C06">
        <w:tc>
          <w:tcPr>
            <w:tcW w:w="5000" w:type="pct"/>
            <w:gridSpan w:val="10"/>
            <w:tcBorders>
              <w:top w:val="nil"/>
              <w:left w:val="nil"/>
              <w:bottom w:val="nil"/>
              <w:right w:val="nil"/>
            </w:tcBorders>
            <w:shd w:val="clear" w:color="000000" w:fill="FFFFFF"/>
            <w:hideMark/>
          </w:tcPr>
          <w:p w:rsidR="00025C06" w:rsidRPr="00025C06" w:rsidRDefault="00025C06" w:rsidP="00025C06">
            <w:pPr>
              <w:rPr>
                <w:bCs/>
                <w:i/>
                <w:iCs/>
                <w:color w:val="000000"/>
                <w:sz w:val="11"/>
                <w:szCs w:val="11"/>
                <w:lang w:eastAsia="es-ES_tradnl"/>
              </w:rPr>
            </w:pPr>
            <w:r w:rsidRPr="00025C06">
              <w:rPr>
                <w:bCs/>
                <w:i/>
                <w:iCs/>
                <w:color w:val="000000"/>
                <w:sz w:val="11"/>
                <w:szCs w:val="11"/>
                <w:lang w:eastAsia="es-ES_tradnl"/>
              </w:rPr>
              <w:t>Anxiety disorders: Panic disorder and/or agoraphobia, Specific phobia, Social phobia, Generalized anxiety disorder, Adult separation anxiety disorder and PTSD; Mood disorders: Major depressive disorder/Dysthymia and Bipolar broad; Substance use disorders: Alcohol and drug abuse/dependence; Externalized disorders: Attention-deficit/hyperactivity disorder and Intermittent explosive disorder.</w:t>
            </w:r>
          </w:p>
        </w:tc>
      </w:tr>
      <w:tr w:rsidR="00025C06" w:rsidRPr="00025C06" w:rsidTr="00025C06">
        <w:tc>
          <w:tcPr>
            <w:tcW w:w="5000" w:type="pct"/>
            <w:gridSpan w:val="10"/>
            <w:tcBorders>
              <w:top w:val="nil"/>
              <w:left w:val="nil"/>
              <w:bottom w:val="nil"/>
              <w:right w:val="nil"/>
            </w:tcBorders>
            <w:shd w:val="clear" w:color="000000" w:fill="FFFFFF"/>
            <w:hideMark/>
          </w:tcPr>
          <w:p w:rsidR="00025C06" w:rsidRPr="00025C06" w:rsidRDefault="00025C06" w:rsidP="00025C06">
            <w:pPr>
              <w:rPr>
                <w:bCs/>
                <w:i/>
                <w:iCs/>
                <w:color w:val="000000"/>
                <w:sz w:val="11"/>
                <w:szCs w:val="11"/>
                <w:lang w:eastAsia="es-ES_tradnl"/>
              </w:rPr>
            </w:pPr>
            <w:r w:rsidRPr="00025C06">
              <w:rPr>
                <w:bCs/>
                <w:i/>
                <w:iCs/>
                <w:color w:val="000000"/>
                <w:sz w:val="11"/>
                <w:szCs w:val="11"/>
                <w:lang w:eastAsia="es-ES_tradnl"/>
              </w:rPr>
              <w:t>Intermittent explosive disorder was not assessed in Mexico and Medellin, were coded as zero</w:t>
            </w:r>
          </w:p>
        </w:tc>
      </w:tr>
      <w:tr w:rsidR="00025C06" w:rsidRPr="00025C06" w:rsidTr="00025C06">
        <w:tc>
          <w:tcPr>
            <w:tcW w:w="5000" w:type="pct"/>
            <w:gridSpan w:val="10"/>
            <w:tcBorders>
              <w:top w:val="nil"/>
              <w:left w:val="nil"/>
              <w:bottom w:val="nil"/>
              <w:right w:val="nil"/>
            </w:tcBorders>
            <w:shd w:val="clear" w:color="000000" w:fill="FFFFFF"/>
            <w:hideMark/>
          </w:tcPr>
          <w:p w:rsidR="00025C06" w:rsidRPr="00025C06" w:rsidRDefault="00025C06" w:rsidP="00025C06">
            <w:pPr>
              <w:rPr>
                <w:bCs/>
                <w:i/>
                <w:iCs/>
                <w:color w:val="000000"/>
                <w:sz w:val="11"/>
                <w:szCs w:val="11"/>
                <w:lang w:eastAsia="es-ES_tradnl"/>
              </w:rPr>
            </w:pPr>
            <w:r w:rsidRPr="00025C06">
              <w:rPr>
                <w:bCs/>
                <w:i/>
                <w:iCs/>
                <w:color w:val="000000"/>
                <w:sz w:val="11"/>
                <w:szCs w:val="11"/>
                <w:lang w:eastAsia="es-ES_tradnl"/>
              </w:rPr>
              <w:t>Imputed variables for alcohol and drug dependence were used for Colombia, Mexico, Peru and the U.S.</w:t>
            </w:r>
          </w:p>
        </w:tc>
      </w:tr>
      <w:tr w:rsidR="00025C06" w:rsidRPr="00025C06" w:rsidTr="00025C06">
        <w:tc>
          <w:tcPr>
            <w:tcW w:w="5000" w:type="pct"/>
            <w:gridSpan w:val="10"/>
            <w:tcBorders>
              <w:top w:val="nil"/>
              <w:left w:val="nil"/>
              <w:bottom w:val="nil"/>
              <w:right w:val="nil"/>
            </w:tcBorders>
            <w:shd w:val="clear" w:color="000000" w:fill="FFFFFF"/>
            <w:hideMark/>
          </w:tcPr>
          <w:p w:rsidR="00025C06" w:rsidRPr="00025C06" w:rsidRDefault="00025C06" w:rsidP="00025C06">
            <w:pPr>
              <w:rPr>
                <w:bCs/>
                <w:i/>
                <w:iCs/>
                <w:color w:val="000000"/>
                <w:sz w:val="11"/>
                <w:szCs w:val="11"/>
                <w:lang w:eastAsia="es-ES_tradnl"/>
              </w:rPr>
            </w:pPr>
            <w:r w:rsidRPr="00025C06">
              <w:rPr>
                <w:bCs/>
                <w:i/>
                <w:iCs/>
                <w:color w:val="000000"/>
                <w:sz w:val="11"/>
                <w:szCs w:val="11"/>
                <w:lang w:eastAsia="es-ES_tradnl"/>
              </w:rPr>
              <w:t>Lifetime ADHD was used in all countries and was coded as zero for those with age &gt; 45 in Colombia, Mexico, Peru and the U.S.</w:t>
            </w:r>
          </w:p>
        </w:tc>
      </w:tr>
    </w:tbl>
    <w:p w:rsidR="00357845" w:rsidRDefault="00357845" w:rsidP="00884137"/>
    <w:p w:rsidR="009B3C6D" w:rsidRDefault="009B3C6D">
      <w:r>
        <w:br w:type="page"/>
      </w:r>
    </w:p>
    <w:tbl>
      <w:tblPr>
        <w:tblW w:w="5000" w:type="pct"/>
        <w:tblCellMar>
          <w:left w:w="70" w:type="dxa"/>
          <w:right w:w="70" w:type="dxa"/>
        </w:tblCellMar>
        <w:tblLook w:val="04A0" w:firstRow="1" w:lastRow="0" w:firstColumn="1" w:lastColumn="0" w:noHBand="0" w:noVBand="1"/>
      </w:tblPr>
      <w:tblGrid>
        <w:gridCol w:w="770"/>
        <w:gridCol w:w="1114"/>
        <w:gridCol w:w="605"/>
        <w:gridCol w:w="977"/>
        <w:gridCol w:w="605"/>
        <w:gridCol w:w="977"/>
        <w:gridCol w:w="605"/>
        <w:gridCol w:w="977"/>
        <w:gridCol w:w="605"/>
        <w:gridCol w:w="977"/>
        <w:gridCol w:w="605"/>
        <w:gridCol w:w="977"/>
        <w:gridCol w:w="605"/>
        <w:gridCol w:w="977"/>
        <w:gridCol w:w="605"/>
        <w:gridCol w:w="977"/>
        <w:gridCol w:w="605"/>
        <w:gridCol w:w="977"/>
      </w:tblGrid>
      <w:tr w:rsidR="009B3C6D" w:rsidRPr="009B3C6D" w:rsidTr="009B3C6D">
        <w:tc>
          <w:tcPr>
            <w:tcW w:w="5000" w:type="pct"/>
            <w:gridSpan w:val="18"/>
            <w:tcBorders>
              <w:top w:val="nil"/>
              <w:left w:val="nil"/>
              <w:bottom w:val="nil"/>
              <w:right w:val="nil"/>
            </w:tcBorders>
            <w:shd w:val="clear" w:color="auto" w:fill="auto"/>
            <w:hideMark/>
          </w:tcPr>
          <w:p w:rsidR="009B3C6D" w:rsidRPr="009B3C6D" w:rsidRDefault="009B3C6D" w:rsidP="009B3C6D">
            <w:pPr>
              <w:rPr>
                <w:b/>
                <w:bCs/>
                <w:color w:val="000000"/>
                <w:sz w:val="16"/>
                <w:szCs w:val="16"/>
                <w:lang w:eastAsia="es-ES_tradnl"/>
              </w:rPr>
            </w:pPr>
            <w:r w:rsidRPr="009B3C6D">
              <w:rPr>
                <w:b/>
                <w:bCs/>
                <w:noProof/>
                <w:color w:val="000000"/>
                <w:sz w:val="16"/>
                <w:szCs w:val="16"/>
                <w:lang w:val="es-ES" w:eastAsia="es-ES"/>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54000" cy="190500"/>
                  <wp:effectExtent l="0" t="0" r="0" b="0"/>
                  <wp:wrapNone/>
                  <wp:docPr id="2" name="Imagen 2"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190500"/>
                          </a:xfrm>
                          <a:prstGeom prst="rect">
                            <a:avLst/>
                          </a:prstGeom>
                          <a:noFill/>
                        </pic:spPr>
                      </pic:pic>
                    </a:graphicData>
                  </a:graphic>
                  <wp14:sizeRelH relativeFrom="page">
                    <wp14:pctWidth>0</wp14:pctWidth>
                  </wp14:sizeRelH>
                  <wp14:sizeRelV relativeFrom="page">
                    <wp14:pctHeight>0</wp14:pctHeight>
                  </wp14:sizeRelV>
                </wp:anchor>
              </w:drawing>
            </w:r>
            <w:r w:rsidRPr="009B3C6D">
              <w:rPr>
                <w:b/>
                <w:bCs/>
                <w:color w:val="000000"/>
                <w:sz w:val="16"/>
                <w:szCs w:val="16"/>
                <w:lang w:eastAsia="es-ES_tradnl"/>
              </w:rPr>
              <w:t xml:space="preserve">Annex - Table </w:t>
            </w:r>
            <w:r w:rsidR="00872342">
              <w:rPr>
                <w:b/>
                <w:bCs/>
                <w:color w:val="000000"/>
                <w:sz w:val="16"/>
                <w:szCs w:val="16"/>
                <w:lang w:eastAsia="es-ES_tradnl"/>
              </w:rPr>
              <w:t>4</w:t>
            </w:r>
            <w:r w:rsidRPr="009B3C6D">
              <w:rPr>
                <w:b/>
                <w:bCs/>
                <w:color w:val="000000"/>
                <w:sz w:val="16"/>
                <w:szCs w:val="16"/>
                <w:lang w:eastAsia="es-ES_tradnl"/>
              </w:rPr>
              <w:t>S: Socio-demographic predictors for adequacy of treatment (light definition) among WMH respondents with 12-month DSM-IV/CIDI disorders and any service use in the WMH-PAHO Surveys, country effect vs. overall effect.</w:t>
            </w:r>
          </w:p>
        </w:tc>
      </w:tr>
      <w:tr w:rsidR="009B3C6D" w:rsidRPr="009B3C6D" w:rsidTr="009B3C6D">
        <w:tc>
          <w:tcPr>
            <w:tcW w:w="648" w:type="pct"/>
            <w:gridSpan w:val="2"/>
            <w:tcBorders>
              <w:top w:val="single" w:sz="8" w:space="0" w:color="000000"/>
              <w:left w:val="single" w:sz="8" w:space="0" w:color="000000"/>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Variable</w:t>
            </w:r>
          </w:p>
        </w:tc>
        <w:tc>
          <w:tcPr>
            <w:tcW w:w="544" w:type="pct"/>
            <w:gridSpan w:val="2"/>
            <w:tcBorders>
              <w:top w:val="single" w:sz="8" w:space="0" w:color="000000"/>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Overall (n = 1991)</w:t>
            </w:r>
          </w:p>
        </w:tc>
        <w:tc>
          <w:tcPr>
            <w:tcW w:w="544" w:type="pct"/>
            <w:gridSpan w:val="2"/>
            <w:tcBorders>
              <w:top w:val="single" w:sz="8" w:space="0" w:color="000000"/>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Argentina (n = 182)</w:t>
            </w:r>
          </w:p>
        </w:tc>
        <w:tc>
          <w:tcPr>
            <w:tcW w:w="544" w:type="pct"/>
            <w:gridSpan w:val="2"/>
            <w:tcBorders>
              <w:top w:val="single" w:sz="8" w:space="0" w:color="000000"/>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Brazil (n = 332)</w:t>
            </w:r>
          </w:p>
        </w:tc>
        <w:tc>
          <w:tcPr>
            <w:tcW w:w="544" w:type="pct"/>
            <w:gridSpan w:val="2"/>
            <w:tcBorders>
              <w:top w:val="single" w:sz="8" w:space="0" w:color="000000"/>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Colombia (n = 131)</w:t>
            </w:r>
          </w:p>
        </w:tc>
        <w:tc>
          <w:tcPr>
            <w:tcW w:w="544" w:type="pct"/>
            <w:gridSpan w:val="2"/>
            <w:tcBorders>
              <w:top w:val="single" w:sz="8" w:space="0" w:color="000000"/>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Medellin, Colombia (n = 113)</w:t>
            </w:r>
          </w:p>
        </w:tc>
        <w:tc>
          <w:tcPr>
            <w:tcW w:w="544" w:type="pct"/>
            <w:gridSpan w:val="2"/>
            <w:tcBorders>
              <w:top w:val="single" w:sz="8" w:space="0" w:color="000000"/>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Mexico (n = 142)</w:t>
            </w:r>
          </w:p>
        </w:tc>
        <w:tc>
          <w:tcPr>
            <w:tcW w:w="544" w:type="pct"/>
            <w:gridSpan w:val="2"/>
            <w:tcBorders>
              <w:top w:val="single" w:sz="8" w:space="0" w:color="000000"/>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Peru (n = 83)</w:t>
            </w:r>
          </w:p>
        </w:tc>
        <w:tc>
          <w:tcPr>
            <w:tcW w:w="544" w:type="pct"/>
            <w:gridSpan w:val="2"/>
            <w:tcBorders>
              <w:top w:val="single" w:sz="8" w:space="0" w:color="000000"/>
              <w:left w:val="nil"/>
              <w:bottom w:val="nil"/>
              <w:right w:val="single" w:sz="8" w:space="0" w:color="000000"/>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United States (n = 1008)</w:t>
            </w:r>
          </w:p>
        </w:tc>
      </w:tr>
      <w:tr w:rsidR="009B3C6D" w:rsidRPr="009B3C6D" w:rsidTr="009B3C6D">
        <w:tc>
          <w:tcPr>
            <w:tcW w:w="648" w:type="pct"/>
            <w:gridSpan w:val="2"/>
            <w:tcBorders>
              <w:top w:val="nil"/>
              <w:left w:val="single" w:sz="8" w:space="0" w:color="000000"/>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 </w:t>
            </w:r>
          </w:p>
        </w:tc>
        <w:tc>
          <w:tcPr>
            <w:tcW w:w="208"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aOR</w:t>
            </w:r>
            <w:r w:rsidRPr="009B3C6D">
              <w:rPr>
                <w:b/>
                <w:bCs/>
                <w:color w:val="000000"/>
                <w:sz w:val="13"/>
                <w:szCs w:val="13"/>
                <w:vertAlign w:val="superscript"/>
                <w:lang w:val="es-MX" w:eastAsia="es-ES_tradnl"/>
              </w:rPr>
              <w:t>a</w:t>
            </w:r>
          </w:p>
        </w:tc>
        <w:tc>
          <w:tcPr>
            <w:tcW w:w="336"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(95% CI)</w:t>
            </w:r>
          </w:p>
        </w:tc>
        <w:tc>
          <w:tcPr>
            <w:tcW w:w="208"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aOR</w:t>
            </w:r>
            <w:r w:rsidRPr="009B3C6D">
              <w:rPr>
                <w:b/>
                <w:bCs/>
                <w:color w:val="000000"/>
                <w:sz w:val="13"/>
                <w:szCs w:val="13"/>
                <w:vertAlign w:val="superscript"/>
                <w:lang w:val="es-MX" w:eastAsia="es-ES_tradnl"/>
              </w:rPr>
              <w:t>a</w:t>
            </w:r>
          </w:p>
        </w:tc>
        <w:tc>
          <w:tcPr>
            <w:tcW w:w="336"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(95% CI)</w:t>
            </w:r>
          </w:p>
        </w:tc>
        <w:tc>
          <w:tcPr>
            <w:tcW w:w="208"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aOR</w:t>
            </w:r>
            <w:r w:rsidRPr="009B3C6D">
              <w:rPr>
                <w:b/>
                <w:bCs/>
                <w:color w:val="000000"/>
                <w:sz w:val="13"/>
                <w:szCs w:val="13"/>
                <w:vertAlign w:val="superscript"/>
                <w:lang w:val="es-MX" w:eastAsia="es-ES_tradnl"/>
              </w:rPr>
              <w:t>a</w:t>
            </w:r>
          </w:p>
        </w:tc>
        <w:tc>
          <w:tcPr>
            <w:tcW w:w="336"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(95% CI)</w:t>
            </w:r>
          </w:p>
        </w:tc>
        <w:tc>
          <w:tcPr>
            <w:tcW w:w="208"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aOR</w:t>
            </w:r>
            <w:r w:rsidRPr="009B3C6D">
              <w:rPr>
                <w:b/>
                <w:bCs/>
                <w:color w:val="000000"/>
                <w:sz w:val="13"/>
                <w:szCs w:val="13"/>
                <w:vertAlign w:val="superscript"/>
                <w:lang w:val="es-MX" w:eastAsia="es-ES_tradnl"/>
              </w:rPr>
              <w:t>a</w:t>
            </w:r>
          </w:p>
        </w:tc>
        <w:tc>
          <w:tcPr>
            <w:tcW w:w="336"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(95% CI)</w:t>
            </w:r>
          </w:p>
        </w:tc>
        <w:tc>
          <w:tcPr>
            <w:tcW w:w="208"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aOR</w:t>
            </w:r>
            <w:r w:rsidRPr="009B3C6D">
              <w:rPr>
                <w:b/>
                <w:bCs/>
                <w:color w:val="000000"/>
                <w:sz w:val="13"/>
                <w:szCs w:val="13"/>
                <w:vertAlign w:val="superscript"/>
                <w:lang w:val="es-MX" w:eastAsia="es-ES_tradnl"/>
              </w:rPr>
              <w:t>a</w:t>
            </w:r>
          </w:p>
        </w:tc>
        <w:tc>
          <w:tcPr>
            <w:tcW w:w="336"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(95% CI)</w:t>
            </w:r>
          </w:p>
        </w:tc>
        <w:tc>
          <w:tcPr>
            <w:tcW w:w="208"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aOR</w:t>
            </w:r>
            <w:r w:rsidRPr="009B3C6D">
              <w:rPr>
                <w:b/>
                <w:bCs/>
                <w:color w:val="000000"/>
                <w:sz w:val="13"/>
                <w:szCs w:val="13"/>
                <w:vertAlign w:val="superscript"/>
                <w:lang w:val="es-MX" w:eastAsia="es-ES_tradnl"/>
              </w:rPr>
              <w:t>a</w:t>
            </w:r>
          </w:p>
        </w:tc>
        <w:tc>
          <w:tcPr>
            <w:tcW w:w="336"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(95% CI)</w:t>
            </w:r>
          </w:p>
        </w:tc>
        <w:tc>
          <w:tcPr>
            <w:tcW w:w="208"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aOR</w:t>
            </w:r>
            <w:r w:rsidRPr="009B3C6D">
              <w:rPr>
                <w:b/>
                <w:bCs/>
                <w:color w:val="000000"/>
                <w:sz w:val="13"/>
                <w:szCs w:val="13"/>
                <w:vertAlign w:val="superscript"/>
                <w:lang w:val="es-MX" w:eastAsia="es-ES_tradnl"/>
              </w:rPr>
              <w:t>a</w:t>
            </w:r>
          </w:p>
        </w:tc>
        <w:tc>
          <w:tcPr>
            <w:tcW w:w="336"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(95% CI)</w:t>
            </w:r>
          </w:p>
        </w:tc>
        <w:tc>
          <w:tcPr>
            <w:tcW w:w="208" w:type="pct"/>
            <w:tcBorders>
              <w:top w:val="nil"/>
              <w:left w:val="nil"/>
              <w:bottom w:val="nil"/>
              <w:right w:val="nil"/>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aOR</w:t>
            </w:r>
            <w:r w:rsidRPr="009B3C6D">
              <w:rPr>
                <w:b/>
                <w:bCs/>
                <w:color w:val="000000"/>
                <w:sz w:val="13"/>
                <w:szCs w:val="13"/>
                <w:vertAlign w:val="superscript"/>
                <w:lang w:val="es-MX" w:eastAsia="es-ES_tradnl"/>
              </w:rPr>
              <w:t>a</w:t>
            </w:r>
          </w:p>
        </w:tc>
        <w:tc>
          <w:tcPr>
            <w:tcW w:w="336" w:type="pct"/>
            <w:tcBorders>
              <w:top w:val="nil"/>
              <w:left w:val="nil"/>
              <w:bottom w:val="nil"/>
              <w:right w:val="single" w:sz="8" w:space="0" w:color="000000"/>
            </w:tcBorders>
            <w:shd w:val="clear" w:color="auto" w:fill="auto"/>
            <w:hideMark/>
          </w:tcPr>
          <w:p w:rsidR="009B3C6D" w:rsidRPr="009B3C6D" w:rsidRDefault="009B3C6D" w:rsidP="009B3C6D">
            <w:pPr>
              <w:jc w:val="center"/>
              <w:rPr>
                <w:b/>
                <w:bCs/>
                <w:color w:val="000000"/>
                <w:sz w:val="13"/>
                <w:szCs w:val="13"/>
                <w:lang w:val="es-MX" w:eastAsia="es-ES_tradnl"/>
              </w:rPr>
            </w:pPr>
            <w:r w:rsidRPr="009B3C6D">
              <w:rPr>
                <w:b/>
                <w:bCs/>
                <w:color w:val="000000"/>
                <w:sz w:val="13"/>
                <w:szCs w:val="13"/>
                <w:lang w:val="es-MX" w:eastAsia="es-ES_tradnl"/>
              </w:rPr>
              <w:t>(95% CI)</w:t>
            </w:r>
          </w:p>
        </w:tc>
      </w:tr>
      <w:tr w:rsidR="009B3C6D" w:rsidRPr="009B3C6D" w:rsidTr="009B3C6D">
        <w:tc>
          <w:tcPr>
            <w:tcW w:w="265" w:type="pct"/>
            <w:tcBorders>
              <w:top w:val="single" w:sz="8" w:space="0" w:color="auto"/>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Sex</w:t>
            </w:r>
          </w:p>
        </w:tc>
        <w:tc>
          <w:tcPr>
            <w:tcW w:w="383"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208"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single" w:sz="8"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single" w:sz="8" w:space="0" w:color="auto"/>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Female</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(0.7-1.4)</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(0.4-1.5)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(0.4-1.7)</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(0.3-2.2)</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(0.3-3.0)</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1.9</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(0.8-4.6)</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0.9</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(0.3-2.7)</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(0.7-1.8)</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Male</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χ</w:t>
            </w:r>
            <w:r w:rsidRPr="009B3C6D">
              <w:rPr>
                <w:color w:val="000000"/>
                <w:sz w:val="13"/>
                <w:szCs w:val="13"/>
                <w:vertAlign w:val="superscript"/>
                <w:lang w:val="es-MX" w:eastAsia="es-ES_tradnl"/>
              </w:rPr>
              <w:t>2</w:t>
            </w:r>
            <w:r w:rsidRPr="009B3C6D">
              <w:rPr>
                <w:color w:val="000000"/>
                <w:sz w:val="13"/>
                <w:szCs w:val="13"/>
                <w:vertAlign w:val="subscript"/>
                <w:lang w:val="es-MX" w:eastAsia="es-ES_tradnl"/>
              </w:rPr>
              <w:t>1</w:t>
            </w:r>
            <w:r w:rsidRPr="009B3C6D">
              <w:rPr>
                <w:color w:val="000000"/>
                <w:sz w:val="13"/>
                <w:szCs w:val="13"/>
                <w:lang w:val="es-MX" w:eastAsia="es-ES_tradnl"/>
              </w:rPr>
              <w:t xml:space="preserve"> (p-value)</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0.0 (0.870)</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 (0.389)</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 (0.620)</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 (0.665)</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0.0 (0.982)</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1.9 (0.170)</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0.0 (0.883)</w:t>
            </w:r>
          </w:p>
        </w:tc>
        <w:tc>
          <w:tcPr>
            <w:tcW w:w="544" w:type="pct"/>
            <w:gridSpan w:val="2"/>
            <w:tcBorders>
              <w:top w:val="single" w:sz="4" w:space="0" w:color="auto"/>
              <w:left w:val="nil"/>
              <w:bottom w:val="single" w:sz="4" w:space="0" w:color="auto"/>
              <w:right w:val="single" w:sz="8" w:space="0" w:color="000000"/>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 (0.493)</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Age</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Age 18-34</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(0.3-1.9)</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(0.0-1.3)</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5.2*</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(1.1-25.1)</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(0.4-3.4)</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(0.1-3.1)</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(0.1-6.9)</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3.1</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(0.2-53.5)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(0.2-2.2)</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Age 35-49</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(0.3-2.0)</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(0.1-2.7)</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4.8*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(1.2-19.1)</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0.9</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(0.3-2.5)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(0.0-0.9)</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(0.1-9.3)</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2.5</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(0.2-31.9)</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0.9</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(0.3-2.7)</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Age 50-64</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1.3</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(0.5-3.3)</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(0.1-1.2)</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3.6</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(1.0-13.5)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0.9</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(0.1-6.4)</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2.1</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(0.1-40.2)</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(0.2-1.8)</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Age ≥65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χ</w:t>
            </w:r>
            <w:r w:rsidRPr="009B3C6D">
              <w:rPr>
                <w:color w:val="000000"/>
                <w:sz w:val="13"/>
                <w:szCs w:val="13"/>
                <w:vertAlign w:val="superscript"/>
                <w:lang w:val="es-MX" w:eastAsia="es-ES_tradnl"/>
              </w:rPr>
              <w:t>2</w:t>
            </w:r>
            <w:r w:rsidRPr="009B3C6D">
              <w:rPr>
                <w:color w:val="000000"/>
                <w:sz w:val="13"/>
                <w:szCs w:val="13"/>
                <w:vertAlign w:val="subscript"/>
                <w:lang w:val="es-MX" w:eastAsia="es-ES_tradnl"/>
              </w:rPr>
              <w:t>2-3</w:t>
            </w:r>
            <w:r w:rsidRPr="009B3C6D">
              <w:rPr>
                <w:color w:val="000000"/>
                <w:sz w:val="13"/>
                <w:szCs w:val="13"/>
                <w:lang w:val="es-MX" w:eastAsia="es-ES_tradnl"/>
              </w:rPr>
              <w:t xml:space="preserve"> (p-value)</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6.6 (0.086)</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5.2 (0.158)</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5.4 (0.145)</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 (0.823)</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6.3* (0.042)</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 (0.921)</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0.9 (0.831)</w:t>
            </w:r>
          </w:p>
        </w:tc>
        <w:tc>
          <w:tcPr>
            <w:tcW w:w="544" w:type="pct"/>
            <w:gridSpan w:val="2"/>
            <w:tcBorders>
              <w:top w:val="single" w:sz="4" w:space="0" w:color="auto"/>
              <w:left w:val="nil"/>
              <w:bottom w:val="single" w:sz="4" w:space="0" w:color="auto"/>
              <w:right w:val="single" w:sz="8" w:space="0" w:color="000000"/>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2.2 (0.540)</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Education</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Low</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(0.3-1.0)</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(0.1-0.7)</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1.9</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(0.6-6.5)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(0.2-2.1)</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(0.1-5.0)</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(0.2-2.2)</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3.5</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(0.6-21.0)</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3.3*</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(1.4-7.7)</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Low average</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(0.4-1.2)</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(0.1-1.8)</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(0.4-3.6)</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(0.2-2.5)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(0.4-9.4)</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(0.1-2.0)</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2.5*</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(1.2-4.9)</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High average</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(0.5-1.3)</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(0.1-0.7)</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1.6</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(0.6-4.1)</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0.9</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(0.2-3.9)</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(0.2-2.8)</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(0.3-3.1)</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2.2</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(0.8-6.0)</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1.7</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(0.9-3.0)</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High</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χ</w:t>
            </w:r>
            <w:r w:rsidRPr="009B3C6D">
              <w:rPr>
                <w:color w:val="000000"/>
                <w:sz w:val="13"/>
                <w:szCs w:val="13"/>
                <w:vertAlign w:val="superscript"/>
                <w:lang w:val="es-MX" w:eastAsia="es-ES_tradnl"/>
              </w:rPr>
              <w:t>2</w:t>
            </w:r>
            <w:r w:rsidRPr="009B3C6D">
              <w:rPr>
                <w:color w:val="000000"/>
                <w:sz w:val="13"/>
                <w:szCs w:val="13"/>
                <w:vertAlign w:val="subscript"/>
                <w:lang w:val="es-MX" w:eastAsia="es-ES_tradnl"/>
              </w:rPr>
              <w:t>2-3</w:t>
            </w:r>
            <w:r w:rsidRPr="009B3C6D">
              <w:rPr>
                <w:color w:val="000000"/>
                <w:sz w:val="13"/>
                <w:szCs w:val="13"/>
                <w:lang w:val="es-MX" w:eastAsia="es-ES_tradnl"/>
              </w:rPr>
              <w:t xml:space="preserve"> (p-value)</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3.7 (0.292)</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11.0* (0.012)</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2.3 (0.519)</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 (0.853)</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2.6 (0.466)</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1.4 (0.708)</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3.0 (0.224)</w:t>
            </w:r>
          </w:p>
        </w:tc>
        <w:tc>
          <w:tcPr>
            <w:tcW w:w="544" w:type="pct"/>
            <w:gridSpan w:val="2"/>
            <w:tcBorders>
              <w:top w:val="single" w:sz="4" w:space="0" w:color="auto"/>
              <w:left w:val="nil"/>
              <w:bottom w:val="single" w:sz="4" w:space="0" w:color="auto"/>
              <w:right w:val="single" w:sz="8" w:space="0" w:color="000000"/>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9.5* (0.024)</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Marital status</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Married-cohabitating</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Previously married</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(0.8-1.9)</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1.3</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(0.4-5.0)</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(0.3-1.8)</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(0.3-2.1)</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(0.5-7.5)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(0.2-2.0)</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(0.3-3.7)</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(0.6-1.8)</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Never married</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1.1</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(0.7-1.7)</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1.3</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(0.5-3.9)</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(0.2-1.5)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0.9</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(0.4-2.2)</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(0.3-2.4)</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2.3</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(0.8-6.8)</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(0.2-1.6)</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(0.7-2.0)</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χ</w:t>
            </w:r>
            <w:r w:rsidRPr="009B3C6D">
              <w:rPr>
                <w:color w:val="000000"/>
                <w:sz w:val="13"/>
                <w:szCs w:val="13"/>
                <w:vertAlign w:val="superscript"/>
                <w:lang w:val="es-MX" w:eastAsia="es-ES_tradnl"/>
              </w:rPr>
              <w:t>2</w:t>
            </w:r>
            <w:r w:rsidRPr="009B3C6D">
              <w:rPr>
                <w:color w:val="000000"/>
                <w:sz w:val="13"/>
                <w:szCs w:val="13"/>
                <w:vertAlign w:val="subscript"/>
                <w:lang w:val="es-MX" w:eastAsia="es-ES_tradnl"/>
              </w:rPr>
              <w:t>2</w:t>
            </w:r>
            <w:r w:rsidRPr="009B3C6D">
              <w:rPr>
                <w:color w:val="000000"/>
                <w:sz w:val="13"/>
                <w:szCs w:val="13"/>
                <w:lang w:val="es-MX" w:eastAsia="es-ES_tradnl"/>
              </w:rPr>
              <w:t xml:space="preserve"> (p-value)</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 (0.720)</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 (0.851)</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 (0.537)</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 (0.834)</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1.4 (0.501)</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4.9 (0.088)</w:t>
            </w:r>
          </w:p>
        </w:tc>
        <w:tc>
          <w:tcPr>
            <w:tcW w:w="544" w:type="pct"/>
            <w:gridSpan w:val="2"/>
            <w:tcBorders>
              <w:top w:val="single" w:sz="4" w:space="0" w:color="auto"/>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 (0.552)</w:t>
            </w:r>
          </w:p>
        </w:tc>
        <w:tc>
          <w:tcPr>
            <w:tcW w:w="544" w:type="pct"/>
            <w:gridSpan w:val="2"/>
            <w:tcBorders>
              <w:top w:val="single" w:sz="4" w:space="0" w:color="auto"/>
              <w:left w:val="nil"/>
              <w:bottom w:val="single" w:sz="4" w:space="0" w:color="auto"/>
              <w:right w:val="single" w:sz="8" w:space="0" w:color="000000"/>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 (0.794)</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Income</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 </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Low</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(0.5-1.3)</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(0.3-4.4)</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1.6</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(0.7-3.9)</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(0.3-4.5)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1.3</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(0.4-4.5)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(0.2-2.4)</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(0.2-1.7)</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(0.4-1.6)</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Low average</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1.1</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(0.7-1.8)</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2.4</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(0.8-7.3)</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(0.4-2.4)</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(0.2-2.5)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(0.4-7.2)</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(0.3-2.0)</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(0.1-3.5)</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0.7</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(0.3-1.3)</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High average</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0.9</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(0.5-1.6)</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(0.6-5.3)</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1.3</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(0.4-4.6)</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(0.1-1.7)</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2.8</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(0.4-18.1)</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0.9</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(0.3-3.2)</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(0.1-2.4)</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0.8</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(0.4-1.6)</w:t>
            </w:r>
          </w:p>
        </w:tc>
      </w:tr>
      <w:tr w:rsidR="009B3C6D" w:rsidRPr="009B3C6D" w:rsidTr="009B3C6D">
        <w:tc>
          <w:tcPr>
            <w:tcW w:w="265" w:type="pct"/>
            <w:tcBorders>
              <w:top w:val="nil"/>
              <w:left w:val="single" w:sz="8" w:space="0" w:color="auto"/>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4"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High</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c>
          <w:tcPr>
            <w:tcW w:w="208" w:type="pct"/>
            <w:tcBorders>
              <w:top w:val="nil"/>
              <w:left w:val="nil"/>
              <w:bottom w:val="single" w:sz="4"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1.0</w:t>
            </w:r>
          </w:p>
        </w:tc>
        <w:tc>
          <w:tcPr>
            <w:tcW w:w="336" w:type="pct"/>
            <w:tcBorders>
              <w:top w:val="nil"/>
              <w:left w:val="nil"/>
              <w:bottom w:val="single" w:sz="4" w:space="0" w:color="auto"/>
              <w:right w:val="single" w:sz="8"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w:t>
            </w:r>
          </w:p>
        </w:tc>
      </w:tr>
      <w:tr w:rsidR="009B3C6D" w:rsidRPr="009B3C6D" w:rsidTr="009B3C6D">
        <w:tc>
          <w:tcPr>
            <w:tcW w:w="265" w:type="pct"/>
            <w:tcBorders>
              <w:top w:val="nil"/>
              <w:left w:val="single" w:sz="8" w:space="0" w:color="auto"/>
              <w:bottom w:val="single" w:sz="8"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 </w:t>
            </w:r>
          </w:p>
        </w:tc>
        <w:tc>
          <w:tcPr>
            <w:tcW w:w="383" w:type="pct"/>
            <w:tcBorders>
              <w:top w:val="nil"/>
              <w:left w:val="nil"/>
              <w:bottom w:val="single" w:sz="8" w:space="0" w:color="auto"/>
              <w:right w:val="single" w:sz="4" w:space="0" w:color="auto"/>
            </w:tcBorders>
            <w:shd w:val="clear" w:color="auto" w:fill="auto"/>
            <w:hideMark/>
          </w:tcPr>
          <w:p w:rsidR="009B3C6D" w:rsidRPr="009B3C6D" w:rsidRDefault="009B3C6D" w:rsidP="009B3C6D">
            <w:pPr>
              <w:rPr>
                <w:color w:val="000000"/>
                <w:sz w:val="13"/>
                <w:szCs w:val="13"/>
                <w:lang w:val="es-MX" w:eastAsia="es-ES_tradnl"/>
              </w:rPr>
            </w:pPr>
            <w:r w:rsidRPr="009B3C6D">
              <w:rPr>
                <w:color w:val="000000"/>
                <w:sz w:val="13"/>
                <w:szCs w:val="13"/>
                <w:lang w:val="es-MX" w:eastAsia="es-ES_tradnl"/>
              </w:rPr>
              <w:t>χ</w:t>
            </w:r>
            <w:r w:rsidRPr="009B3C6D">
              <w:rPr>
                <w:color w:val="000000"/>
                <w:sz w:val="13"/>
                <w:szCs w:val="13"/>
                <w:vertAlign w:val="superscript"/>
                <w:lang w:val="es-MX" w:eastAsia="es-ES_tradnl"/>
              </w:rPr>
              <w:t>2</w:t>
            </w:r>
            <w:r w:rsidRPr="009B3C6D">
              <w:rPr>
                <w:color w:val="000000"/>
                <w:sz w:val="13"/>
                <w:szCs w:val="13"/>
                <w:vertAlign w:val="subscript"/>
                <w:lang w:val="es-MX" w:eastAsia="es-ES_tradnl"/>
              </w:rPr>
              <w:t>3</w:t>
            </w:r>
            <w:r w:rsidRPr="009B3C6D">
              <w:rPr>
                <w:color w:val="000000"/>
                <w:sz w:val="13"/>
                <w:szCs w:val="13"/>
                <w:lang w:val="es-MX" w:eastAsia="es-ES_tradnl"/>
              </w:rPr>
              <w:t xml:space="preserve"> (p-value)</w:t>
            </w:r>
          </w:p>
        </w:tc>
        <w:tc>
          <w:tcPr>
            <w:tcW w:w="544" w:type="pct"/>
            <w:gridSpan w:val="2"/>
            <w:tcBorders>
              <w:top w:val="single" w:sz="4" w:space="0" w:color="auto"/>
              <w:left w:val="nil"/>
              <w:bottom w:val="single" w:sz="8"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1.2 (0.755)</w:t>
            </w:r>
          </w:p>
        </w:tc>
        <w:tc>
          <w:tcPr>
            <w:tcW w:w="544" w:type="pct"/>
            <w:gridSpan w:val="2"/>
            <w:tcBorders>
              <w:top w:val="single" w:sz="4" w:space="0" w:color="auto"/>
              <w:left w:val="nil"/>
              <w:bottom w:val="single" w:sz="8"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4.6 (0.200)</w:t>
            </w:r>
          </w:p>
        </w:tc>
        <w:tc>
          <w:tcPr>
            <w:tcW w:w="544" w:type="pct"/>
            <w:gridSpan w:val="2"/>
            <w:tcBorders>
              <w:top w:val="single" w:sz="4" w:space="0" w:color="auto"/>
              <w:left w:val="nil"/>
              <w:bottom w:val="single" w:sz="8"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1.6 (0.660)</w:t>
            </w:r>
          </w:p>
        </w:tc>
        <w:tc>
          <w:tcPr>
            <w:tcW w:w="544" w:type="pct"/>
            <w:gridSpan w:val="2"/>
            <w:tcBorders>
              <w:top w:val="single" w:sz="4" w:space="0" w:color="auto"/>
              <w:left w:val="nil"/>
              <w:bottom w:val="single" w:sz="8"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3.0 (0.396)</w:t>
            </w:r>
          </w:p>
        </w:tc>
        <w:tc>
          <w:tcPr>
            <w:tcW w:w="544" w:type="pct"/>
            <w:gridSpan w:val="2"/>
            <w:tcBorders>
              <w:top w:val="single" w:sz="4" w:space="0" w:color="auto"/>
              <w:left w:val="nil"/>
              <w:bottom w:val="single" w:sz="8"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1.4 (0.695)</w:t>
            </w:r>
          </w:p>
        </w:tc>
        <w:tc>
          <w:tcPr>
            <w:tcW w:w="544" w:type="pct"/>
            <w:gridSpan w:val="2"/>
            <w:tcBorders>
              <w:top w:val="single" w:sz="4" w:space="0" w:color="auto"/>
              <w:left w:val="nil"/>
              <w:bottom w:val="single" w:sz="8"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0.5 (0.920)</w:t>
            </w:r>
          </w:p>
        </w:tc>
        <w:tc>
          <w:tcPr>
            <w:tcW w:w="544" w:type="pct"/>
            <w:gridSpan w:val="2"/>
            <w:tcBorders>
              <w:top w:val="single" w:sz="4" w:space="0" w:color="auto"/>
              <w:left w:val="nil"/>
              <w:bottom w:val="single" w:sz="8" w:space="0" w:color="auto"/>
              <w:right w:val="single" w:sz="4" w:space="0" w:color="auto"/>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1.3 (0.739)</w:t>
            </w:r>
          </w:p>
        </w:tc>
        <w:tc>
          <w:tcPr>
            <w:tcW w:w="544" w:type="pct"/>
            <w:gridSpan w:val="2"/>
            <w:tcBorders>
              <w:top w:val="single" w:sz="4" w:space="0" w:color="auto"/>
              <w:left w:val="nil"/>
              <w:bottom w:val="single" w:sz="8" w:space="0" w:color="auto"/>
              <w:right w:val="single" w:sz="8" w:space="0" w:color="000000"/>
            </w:tcBorders>
            <w:shd w:val="clear" w:color="auto" w:fill="auto"/>
            <w:hideMark/>
          </w:tcPr>
          <w:p w:rsidR="009B3C6D" w:rsidRPr="009B3C6D" w:rsidRDefault="009B3C6D" w:rsidP="009B3C6D">
            <w:pPr>
              <w:jc w:val="center"/>
              <w:rPr>
                <w:color w:val="000000"/>
                <w:sz w:val="13"/>
                <w:szCs w:val="13"/>
                <w:lang w:val="es-MX" w:eastAsia="es-ES_tradnl"/>
              </w:rPr>
            </w:pPr>
            <w:r w:rsidRPr="009B3C6D">
              <w:rPr>
                <w:color w:val="000000"/>
                <w:sz w:val="13"/>
                <w:szCs w:val="13"/>
                <w:lang w:val="es-MX" w:eastAsia="es-ES_tradnl"/>
              </w:rPr>
              <w:t>1.4 (0.713)</w:t>
            </w:r>
          </w:p>
        </w:tc>
      </w:tr>
      <w:tr w:rsidR="009B3C6D" w:rsidRPr="009B3C6D" w:rsidTr="009B3C6D">
        <w:tc>
          <w:tcPr>
            <w:tcW w:w="5000" w:type="pct"/>
            <w:gridSpan w:val="18"/>
            <w:tcBorders>
              <w:top w:val="single" w:sz="8" w:space="0" w:color="auto"/>
              <w:left w:val="nil"/>
              <w:bottom w:val="nil"/>
              <w:right w:val="nil"/>
            </w:tcBorders>
            <w:shd w:val="clear" w:color="auto" w:fill="auto"/>
            <w:hideMark/>
          </w:tcPr>
          <w:p w:rsidR="009B3C6D" w:rsidRPr="009B3C6D" w:rsidRDefault="009B3C6D" w:rsidP="009B3C6D">
            <w:pPr>
              <w:rPr>
                <w:i/>
                <w:iCs/>
                <w:color w:val="000000"/>
                <w:sz w:val="10"/>
                <w:szCs w:val="10"/>
                <w:lang w:eastAsia="es-ES_tradnl"/>
              </w:rPr>
            </w:pPr>
            <w:r w:rsidRPr="009B3C6D">
              <w:rPr>
                <w:i/>
                <w:iCs/>
                <w:color w:val="000000"/>
                <w:sz w:val="10"/>
                <w:szCs w:val="10"/>
                <w:vertAlign w:val="superscript"/>
                <w:lang w:eastAsia="es-ES_tradnl"/>
              </w:rPr>
              <w:t>a</w:t>
            </w:r>
            <w:r w:rsidRPr="009B3C6D">
              <w:rPr>
                <w:i/>
                <w:iCs/>
                <w:color w:val="000000"/>
                <w:sz w:val="10"/>
                <w:szCs w:val="10"/>
                <w:lang w:eastAsia="es-ES_tradnl"/>
              </w:rPr>
              <w:t>Data are given as adjusted odds ratios (95% confidence interval) unless otherwise indicated</w:t>
            </w:r>
          </w:p>
        </w:tc>
      </w:tr>
      <w:tr w:rsidR="009B3C6D" w:rsidRPr="009B3C6D" w:rsidTr="009B3C6D">
        <w:tc>
          <w:tcPr>
            <w:tcW w:w="5000" w:type="pct"/>
            <w:gridSpan w:val="18"/>
            <w:tcBorders>
              <w:top w:val="nil"/>
              <w:left w:val="nil"/>
              <w:bottom w:val="nil"/>
              <w:right w:val="nil"/>
            </w:tcBorders>
            <w:shd w:val="clear" w:color="auto" w:fill="auto"/>
            <w:hideMark/>
          </w:tcPr>
          <w:p w:rsidR="009B3C6D" w:rsidRPr="009B3C6D" w:rsidRDefault="009B3C6D" w:rsidP="009B3C6D">
            <w:pPr>
              <w:rPr>
                <w:i/>
                <w:iCs/>
                <w:color w:val="000000"/>
                <w:sz w:val="10"/>
                <w:szCs w:val="10"/>
                <w:lang w:eastAsia="es-ES_tradnl"/>
              </w:rPr>
            </w:pPr>
            <w:r w:rsidRPr="009B3C6D">
              <w:rPr>
                <w:i/>
                <w:iCs/>
                <w:color w:val="000000"/>
                <w:sz w:val="10"/>
                <w:szCs w:val="10"/>
                <w:lang w:eastAsia="es-ES_tradnl"/>
              </w:rPr>
              <w:t>*Significant at p = .05, 2-sided test</w:t>
            </w:r>
          </w:p>
        </w:tc>
      </w:tr>
      <w:tr w:rsidR="009B3C6D" w:rsidRPr="009B3C6D" w:rsidTr="009B3C6D">
        <w:tc>
          <w:tcPr>
            <w:tcW w:w="5000" w:type="pct"/>
            <w:gridSpan w:val="18"/>
            <w:tcBorders>
              <w:top w:val="nil"/>
              <w:left w:val="nil"/>
              <w:bottom w:val="nil"/>
              <w:right w:val="nil"/>
            </w:tcBorders>
            <w:shd w:val="clear" w:color="auto" w:fill="auto"/>
            <w:hideMark/>
          </w:tcPr>
          <w:p w:rsidR="009B3C6D" w:rsidRPr="009B3C6D" w:rsidRDefault="009B3C6D" w:rsidP="009B3C6D">
            <w:pPr>
              <w:rPr>
                <w:i/>
                <w:iCs/>
                <w:color w:val="000000"/>
                <w:sz w:val="10"/>
                <w:szCs w:val="10"/>
                <w:lang w:eastAsia="es-ES_tradnl"/>
              </w:rPr>
            </w:pPr>
            <w:r w:rsidRPr="009B3C6D">
              <w:rPr>
                <w:i/>
                <w:iCs/>
                <w:color w:val="000000"/>
                <w:sz w:val="10"/>
                <w:szCs w:val="10"/>
                <w:lang w:eastAsia="es-ES_tradnl"/>
              </w:rPr>
              <w:t>Reference categories are denoted as 1.0 -; Age groups 50-64 and 65+ were collapsed for Colombia and Medellin, Colombia. The Low Average category for Peru was excluded due to cells with zero-count.</w:t>
            </w:r>
          </w:p>
        </w:tc>
      </w:tr>
      <w:tr w:rsidR="009B3C6D" w:rsidRPr="009B3C6D" w:rsidTr="009B3C6D">
        <w:tc>
          <w:tcPr>
            <w:tcW w:w="5000" w:type="pct"/>
            <w:gridSpan w:val="18"/>
            <w:tcBorders>
              <w:top w:val="nil"/>
              <w:left w:val="nil"/>
              <w:bottom w:val="nil"/>
              <w:right w:val="nil"/>
            </w:tcBorders>
            <w:shd w:val="clear" w:color="auto" w:fill="auto"/>
            <w:hideMark/>
          </w:tcPr>
          <w:p w:rsidR="009B3C6D" w:rsidRPr="009B3C6D" w:rsidRDefault="009B3C6D" w:rsidP="009B3C6D">
            <w:pPr>
              <w:rPr>
                <w:i/>
                <w:iCs/>
                <w:color w:val="000000"/>
                <w:sz w:val="10"/>
                <w:szCs w:val="10"/>
                <w:lang w:eastAsia="es-ES_tradnl"/>
              </w:rPr>
            </w:pPr>
            <w:r w:rsidRPr="009B3C6D">
              <w:rPr>
                <w:i/>
                <w:iCs/>
                <w:color w:val="000000"/>
                <w:sz w:val="10"/>
                <w:szCs w:val="10"/>
                <w:lang w:eastAsia="es-ES_tradnl"/>
              </w:rPr>
              <w:t>The degrees of freedom for each chi-square test is based upon the number of groups available in each main category</w:t>
            </w:r>
          </w:p>
        </w:tc>
      </w:tr>
      <w:tr w:rsidR="009B3C6D" w:rsidRPr="009B3C6D" w:rsidTr="009B3C6D">
        <w:tc>
          <w:tcPr>
            <w:tcW w:w="5000" w:type="pct"/>
            <w:gridSpan w:val="18"/>
            <w:tcBorders>
              <w:top w:val="nil"/>
              <w:left w:val="nil"/>
              <w:bottom w:val="nil"/>
              <w:right w:val="nil"/>
            </w:tcBorders>
            <w:shd w:val="clear" w:color="auto" w:fill="auto"/>
            <w:hideMark/>
          </w:tcPr>
          <w:p w:rsidR="009B3C6D" w:rsidRPr="009B3C6D" w:rsidRDefault="009B3C6D" w:rsidP="009B3C6D">
            <w:pPr>
              <w:rPr>
                <w:i/>
                <w:iCs/>
                <w:color w:val="000000"/>
                <w:sz w:val="10"/>
                <w:szCs w:val="10"/>
                <w:lang w:eastAsia="es-ES_tradnl"/>
              </w:rPr>
            </w:pPr>
            <w:r w:rsidRPr="009B3C6D">
              <w:rPr>
                <w:i/>
                <w:iCs/>
                <w:color w:val="000000"/>
                <w:sz w:val="10"/>
                <w:szCs w:val="10"/>
                <w:lang w:eastAsia="es-ES_tradnl"/>
              </w:rPr>
              <w:t>Note: each row shows a separate logistic regression model with 12-month service use as the outcome variable, controlling for the other predictor variables (rows), survey, and all predictor-by-survey interaction dummies. The second column shows the overall adjusted predictor variable effect; the survey columns show to what extent the survey-specific adjusted predictor variable effect deviates from the overall adjusted predictor variable effect. For example, the survey-specific effect for females (versus males) in the U.S. can be obtained by multiplying the aOR = 1.2 (the overall effect) by the aOR = 1.0 (the country-specific deviation), i.e., aOR = 1.2</w:t>
            </w:r>
          </w:p>
        </w:tc>
      </w:tr>
      <w:tr w:rsidR="009B3C6D" w:rsidRPr="009B3C6D" w:rsidTr="009B3C6D">
        <w:tc>
          <w:tcPr>
            <w:tcW w:w="5000" w:type="pct"/>
            <w:gridSpan w:val="18"/>
            <w:tcBorders>
              <w:top w:val="nil"/>
              <w:left w:val="nil"/>
              <w:bottom w:val="nil"/>
              <w:right w:val="nil"/>
            </w:tcBorders>
            <w:shd w:val="clear" w:color="auto" w:fill="auto"/>
            <w:hideMark/>
          </w:tcPr>
          <w:p w:rsidR="009B3C6D" w:rsidRPr="009B3C6D" w:rsidRDefault="009B3C6D" w:rsidP="009B3C6D">
            <w:pPr>
              <w:rPr>
                <w:i/>
                <w:iCs/>
                <w:color w:val="000000"/>
                <w:sz w:val="10"/>
                <w:szCs w:val="10"/>
                <w:lang w:eastAsia="es-ES_tradnl"/>
              </w:rPr>
            </w:pPr>
            <w:r w:rsidRPr="009B3C6D">
              <w:rPr>
                <w:i/>
                <w:iCs/>
                <w:color w:val="000000"/>
                <w:sz w:val="10"/>
                <w:szCs w:val="10"/>
                <w:lang w:eastAsia="es-ES_tradnl"/>
              </w:rPr>
              <w:t>Models include controls for groups of 12-Month DSM-IV / WMH CIDI disorders (any anxiety, any mood, any substance and any externalized)</w:t>
            </w:r>
          </w:p>
        </w:tc>
      </w:tr>
      <w:tr w:rsidR="009B3C6D" w:rsidRPr="009B3C6D" w:rsidTr="009B3C6D">
        <w:tc>
          <w:tcPr>
            <w:tcW w:w="5000" w:type="pct"/>
            <w:gridSpan w:val="18"/>
            <w:tcBorders>
              <w:top w:val="nil"/>
              <w:left w:val="nil"/>
              <w:bottom w:val="nil"/>
              <w:right w:val="nil"/>
            </w:tcBorders>
            <w:shd w:val="clear" w:color="auto" w:fill="auto"/>
            <w:hideMark/>
          </w:tcPr>
          <w:p w:rsidR="009B3C6D" w:rsidRPr="009B3C6D" w:rsidRDefault="009B3C6D" w:rsidP="009B3C6D">
            <w:pPr>
              <w:rPr>
                <w:i/>
                <w:iCs/>
                <w:color w:val="000000"/>
                <w:sz w:val="10"/>
                <w:szCs w:val="10"/>
                <w:lang w:eastAsia="es-ES_tradnl"/>
              </w:rPr>
            </w:pPr>
            <w:r w:rsidRPr="009B3C6D">
              <w:rPr>
                <w:i/>
                <w:iCs/>
                <w:color w:val="000000"/>
                <w:sz w:val="10"/>
                <w:szCs w:val="10"/>
                <w:lang w:eastAsia="es-ES_tradnl"/>
              </w:rPr>
              <w:t>Intermittent explosive disorder was not assessed in Mexico and Medellin, were coded as zero; Imputed variables for alcohol and drug dependence were used for Colombia, Mexico, Peru and the U.S.; Lifetime ADHD was used in all countries, and was coded as zero for those with age &gt; 45 in Colombia, Mexico, Peru and the U.S.</w:t>
            </w:r>
          </w:p>
        </w:tc>
      </w:tr>
    </w:tbl>
    <w:p w:rsidR="00357845" w:rsidRDefault="00357845"/>
    <w:p w:rsidR="00357845" w:rsidRDefault="00357845"/>
    <w:sectPr w:rsidR="00357845" w:rsidSect="00BE4C6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ABA"/>
    <w:multiLevelType w:val="hybridMultilevel"/>
    <w:tmpl w:val="864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25"/>
    <w:rsid w:val="00006FAF"/>
    <w:rsid w:val="00012CB9"/>
    <w:rsid w:val="00022211"/>
    <w:rsid w:val="00022649"/>
    <w:rsid w:val="00023506"/>
    <w:rsid w:val="00024E70"/>
    <w:rsid w:val="00024EB3"/>
    <w:rsid w:val="00025C06"/>
    <w:rsid w:val="00045A4B"/>
    <w:rsid w:val="00050782"/>
    <w:rsid w:val="00073D54"/>
    <w:rsid w:val="00084842"/>
    <w:rsid w:val="00084FAE"/>
    <w:rsid w:val="000A1216"/>
    <w:rsid w:val="000B1892"/>
    <w:rsid w:val="000B3AE3"/>
    <w:rsid w:val="000D1C77"/>
    <w:rsid w:val="000D2D46"/>
    <w:rsid w:val="000D363D"/>
    <w:rsid w:val="000E28D6"/>
    <w:rsid w:val="000E2A64"/>
    <w:rsid w:val="000F2422"/>
    <w:rsid w:val="000F52C2"/>
    <w:rsid w:val="00106471"/>
    <w:rsid w:val="0012481B"/>
    <w:rsid w:val="00124A0B"/>
    <w:rsid w:val="001302C1"/>
    <w:rsid w:val="001405B9"/>
    <w:rsid w:val="001429F6"/>
    <w:rsid w:val="001636BF"/>
    <w:rsid w:val="0017471C"/>
    <w:rsid w:val="00176524"/>
    <w:rsid w:val="001835BC"/>
    <w:rsid w:val="001A2600"/>
    <w:rsid w:val="001B3755"/>
    <w:rsid w:val="001B64FD"/>
    <w:rsid w:val="001D0BB0"/>
    <w:rsid w:val="001E2065"/>
    <w:rsid w:val="001E7DB7"/>
    <w:rsid w:val="001F3FED"/>
    <w:rsid w:val="0020708C"/>
    <w:rsid w:val="0021346A"/>
    <w:rsid w:val="0022780B"/>
    <w:rsid w:val="00234FFD"/>
    <w:rsid w:val="00265812"/>
    <w:rsid w:val="00274E51"/>
    <w:rsid w:val="00284631"/>
    <w:rsid w:val="002969FF"/>
    <w:rsid w:val="002B1033"/>
    <w:rsid w:val="002B6F19"/>
    <w:rsid w:val="002B78DC"/>
    <w:rsid w:val="002D339C"/>
    <w:rsid w:val="002D3B48"/>
    <w:rsid w:val="002E4CF8"/>
    <w:rsid w:val="002F30F7"/>
    <w:rsid w:val="002F6FA6"/>
    <w:rsid w:val="003045C1"/>
    <w:rsid w:val="003075D2"/>
    <w:rsid w:val="0031094B"/>
    <w:rsid w:val="00311046"/>
    <w:rsid w:val="0032262A"/>
    <w:rsid w:val="0034276B"/>
    <w:rsid w:val="00344FF7"/>
    <w:rsid w:val="00357845"/>
    <w:rsid w:val="00362B36"/>
    <w:rsid w:val="0036530E"/>
    <w:rsid w:val="00376969"/>
    <w:rsid w:val="003838AC"/>
    <w:rsid w:val="00386432"/>
    <w:rsid w:val="00387144"/>
    <w:rsid w:val="00395C73"/>
    <w:rsid w:val="003A264E"/>
    <w:rsid w:val="003A6075"/>
    <w:rsid w:val="003B399F"/>
    <w:rsid w:val="003C0E18"/>
    <w:rsid w:val="003C33D3"/>
    <w:rsid w:val="003E71D2"/>
    <w:rsid w:val="00402E75"/>
    <w:rsid w:val="0041398F"/>
    <w:rsid w:val="00415919"/>
    <w:rsid w:val="00434C81"/>
    <w:rsid w:val="004375DA"/>
    <w:rsid w:val="0044089D"/>
    <w:rsid w:val="00450103"/>
    <w:rsid w:val="004544DF"/>
    <w:rsid w:val="00470564"/>
    <w:rsid w:val="00470C8C"/>
    <w:rsid w:val="00484D64"/>
    <w:rsid w:val="00486C98"/>
    <w:rsid w:val="004A3F32"/>
    <w:rsid w:val="004C38DF"/>
    <w:rsid w:val="004D00E0"/>
    <w:rsid w:val="004D3534"/>
    <w:rsid w:val="004E20BC"/>
    <w:rsid w:val="004F1F2E"/>
    <w:rsid w:val="00523E4E"/>
    <w:rsid w:val="00557D7F"/>
    <w:rsid w:val="00560459"/>
    <w:rsid w:val="00560D56"/>
    <w:rsid w:val="00582BFC"/>
    <w:rsid w:val="00594D81"/>
    <w:rsid w:val="00597FBC"/>
    <w:rsid w:val="005A346C"/>
    <w:rsid w:val="005B23D4"/>
    <w:rsid w:val="005C436C"/>
    <w:rsid w:val="005D19F2"/>
    <w:rsid w:val="005E3B36"/>
    <w:rsid w:val="005F2F02"/>
    <w:rsid w:val="00605F60"/>
    <w:rsid w:val="006127F4"/>
    <w:rsid w:val="006417E6"/>
    <w:rsid w:val="00641AAF"/>
    <w:rsid w:val="00642EE7"/>
    <w:rsid w:val="00671EDA"/>
    <w:rsid w:val="0069033C"/>
    <w:rsid w:val="00693E0C"/>
    <w:rsid w:val="006A71FC"/>
    <w:rsid w:val="006B6D1F"/>
    <w:rsid w:val="006C5125"/>
    <w:rsid w:val="006D39DD"/>
    <w:rsid w:val="006D5617"/>
    <w:rsid w:val="006D59F0"/>
    <w:rsid w:val="006E1A79"/>
    <w:rsid w:val="006E32D1"/>
    <w:rsid w:val="006F5D98"/>
    <w:rsid w:val="007109F9"/>
    <w:rsid w:val="0071333D"/>
    <w:rsid w:val="007160BB"/>
    <w:rsid w:val="00720F44"/>
    <w:rsid w:val="007278BA"/>
    <w:rsid w:val="00734AF8"/>
    <w:rsid w:val="00741067"/>
    <w:rsid w:val="007500DD"/>
    <w:rsid w:val="00754BA3"/>
    <w:rsid w:val="007732A0"/>
    <w:rsid w:val="007801BF"/>
    <w:rsid w:val="0078426A"/>
    <w:rsid w:val="007A3380"/>
    <w:rsid w:val="007B1E73"/>
    <w:rsid w:val="007B5F76"/>
    <w:rsid w:val="007C19D8"/>
    <w:rsid w:val="007E6A5A"/>
    <w:rsid w:val="0080304B"/>
    <w:rsid w:val="0083086F"/>
    <w:rsid w:val="00842214"/>
    <w:rsid w:val="00851AD4"/>
    <w:rsid w:val="008715F8"/>
    <w:rsid w:val="00872342"/>
    <w:rsid w:val="0087604F"/>
    <w:rsid w:val="00883AA9"/>
    <w:rsid w:val="00884137"/>
    <w:rsid w:val="008858E6"/>
    <w:rsid w:val="00893569"/>
    <w:rsid w:val="00893E10"/>
    <w:rsid w:val="00897A7C"/>
    <w:rsid w:val="008A015E"/>
    <w:rsid w:val="008A22BA"/>
    <w:rsid w:val="008A6FD3"/>
    <w:rsid w:val="008B28DC"/>
    <w:rsid w:val="008D6432"/>
    <w:rsid w:val="00904C63"/>
    <w:rsid w:val="00914695"/>
    <w:rsid w:val="00942BFA"/>
    <w:rsid w:val="009437BE"/>
    <w:rsid w:val="00944F1A"/>
    <w:rsid w:val="0094721F"/>
    <w:rsid w:val="00953A9B"/>
    <w:rsid w:val="009708CB"/>
    <w:rsid w:val="00987AC6"/>
    <w:rsid w:val="00991648"/>
    <w:rsid w:val="009936F3"/>
    <w:rsid w:val="009A2650"/>
    <w:rsid w:val="009A2B69"/>
    <w:rsid w:val="009A6049"/>
    <w:rsid w:val="009A7922"/>
    <w:rsid w:val="009A7D7E"/>
    <w:rsid w:val="009B3C6D"/>
    <w:rsid w:val="009C4456"/>
    <w:rsid w:val="009D3564"/>
    <w:rsid w:val="009E2D81"/>
    <w:rsid w:val="009E5390"/>
    <w:rsid w:val="009F4812"/>
    <w:rsid w:val="00A04E59"/>
    <w:rsid w:val="00A07F90"/>
    <w:rsid w:val="00A10832"/>
    <w:rsid w:val="00A20704"/>
    <w:rsid w:val="00A5164A"/>
    <w:rsid w:val="00A644D2"/>
    <w:rsid w:val="00AC2264"/>
    <w:rsid w:val="00AD46C6"/>
    <w:rsid w:val="00AF3F39"/>
    <w:rsid w:val="00B0425D"/>
    <w:rsid w:val="00B051A9"/>
    <w:rsid w:val="00B17E38"/>
    <w:rsid w:val="00B25E8A"/>
    <w:rsid w:val="00B2632A"/>
    <w:rsid w:val="00B322DF"/>
    <w:rsid w:val="00B34B64"/>
    <w:rsid w:val="00B367F1"/>
    <w:rsid w:val="00B75EAC"/>
    <w:rsid w:val="00B77555"/>
    <w:rsid w:val="00B94FBF"/>
    <w:rsid w:val="00BA5E63"/>
    <w:rsid w:val="00BB4995"/>
    <w:rsid w:val="00BD15DD"/>
    <w:rsid w:val="00BD32B5"/>
    <w:rsid w:val="00BE4C63"/>
    <w:rsid w:val="00BE64C4"/>
    <w:rsid w:val="00BE7AE5"/>
    <w:rsid w:val="00C02F0F"/>
    <w:rsid w:val="00C1582F"/>
    <w:rsid w:val="00C21CF8"/>
    <w:rsid w:val="00C26139"/>
    <w:rsid w:val="00C33313"/>
    <w:rsid w:val="00C35798"/>
    <w:rsid w:val="00C54541"/>
    <w:rsid w:val="00C66F18"/>
    <w:rsid w:val="00C675CF"/>
    <w:rsid w:val="00C70E3E"/>
    <w:rsid w:val="00C72314"/>
    <w:rsid w:val="00C81EAF"/>
    <w:rsid w:val="00CB3676"/>
    <w:rsid w:val="00CB4DE6"/>
    <w:rsid w:val="00CC08F9"/>
    <w:rsid w:val="00CC25F5"/>
    <w:rsid w:val="00CC6BE2"/>
    <w:rsid w:val="00CE6975"/>
    <w:rsid w:val="00CE6D1A"/>
    <w:rsid w:val="00CF21DD"/>
    <w:rsid w:val="00D00476"/>
    <w:rsid w:val="00D0389B"/>
    <w:rsid w:val="00D042E8"/>
    <w:rsid w:val="00D107E9"/>
    <w:rsid w:val="00D1192B"/>
    <w:rsid w:val="00D11C16"/>
    <w:rsid w:val="00D155DB"/>
    <w:rsid w:val="00D247AA"/>
    <w:rsid w:val="00D26417"/>
    <w:rsid w:val="00D34054"/>
    <w:rsid w:val="00D4594B"/>
    <w:rsid w:val="00D5291E"/>
    <w:rsid w:val="00D71671"/>
    <w:rsid w:val="00D76AFB"/>
    <w:rsid w:val="00D91E18"/>
    <w:rsid w:val="00D91FF6"/>
    <w:rsid w:val="00DD41D1"/>
    <w:rsid w:val="00DD4A49"/>
    <w:rsid w:val="00DE4183"/>
    <w:rsid w:val="00DE4729"/>
    <w:rsid w:val="00E11AD4"/>
    <w:rsid w:val="00E2373E"/>
    <w:rsid w:val="00E3560F"/>
    <w:rsid w:val="00E35C58"/>
    <w:rsid w:val="00E37D26"/>
    <w:rsid w:val="00E64A65"/>
    <w:rsid w:val="00E65C1B"/>
    <w:rsid w:val="00E71AC1"/>
    <w:rsid w:val="00E74D1F"/>
    <w:rsid w:val="00E96D39"/>
    <w:rsid w:val="00EA3E14"/>
    <w:rsid w:val="00EB1514"/>
    <w:rsid w:val="00EB5DEC"/>
    <w:rsid w:val="00EE2060"/>
    <w:rsid w:val="00EF0BC3"/>
    <w:rsid w:val="00EF5301"/>
    <w:rsid w:val="00F10BD3"/>
    <w:rsid w:val="00F14703"/>
    <w:rsid w:val="00F26171"/>
    <w:rsid w:val="00F36631"/>
    <w:rsid w:val="00F702D8"/>
    <w:rsid w:val="00F77AA6"/>
    <w:rsid w:val="00F807CE"/>
    <w:rsid w:val="00F87DAB"/>
    <w:rsid w:val="00F97FDD"/>
    <w:rsid w:val="00FA2D23"/>
    <w:rsid w:val="00FA6922"/>
    <w:rsid w:val="00FA6DC6"/>
    <w:rsid w:val="00FA7C25"/>
    <w:rsid w:val="00FC4675"/>
    <w:rsid w:val="00FC54F9"/>
    <w:rsid w:val="00FE02E2"/>
    <w:rsid w:val="00FF1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25"/>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71F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1FC"/>
    <w:rPr>
      <w:rFonts w:ascii="Tahoma" w:eastAsia="Times New Roman" w:hAnsi="Tahoma" w:cs="Tahoma"/>
      <w:sz w:val="16"/>
      <w:szCs w:val="16"/>
    </w:rPr>
  </w:style>
  <w:style w:type="character" w:styleId="Hipervnculo">
    <w:name w:val="Hyperlink"/>
    <w:basedOn w:val="Fuentedeprrafopredeter"/>
    <w:uiPriority w:val="99"/>
    <w:unhideWhenUsed/>
    <w:rsid w:val="009936F3"/>
    <w:rPr>
      <w:color w:val="0000FF" w:themeColor="hyperlink"/>
      <w:u w:val="single"/>
    </w:rPr>
  </w:style>
  <w:style w:type="character" w:styleId="Refdecomentario">
    <w:name w:val="annotation reference"/>
    <w:basedOn w:val="Fuentedeprrafopredeter"/>
    <w:uiPriority w:val="99"/>
    <w:semiHidden/>
    <w:unhideWhenUsed/>
    <w:rsid w:val="009F4812"/>
    <w:rPr>
      <w:sz w:val="16"/>
      <w:szCs w:val="16"/>
    </w:rPr>
  </w:style>
  <w:style w:type="paragraph" w:styleId="Textocomentario">
    <w:name w:val="annotation text"/>
    <w:basedOn w:val="Normal"/>
    <w:link w:val="TextocomentarioCar"/>
    <w:uiPriority w:val="99"/>
    <w:semiHidden/>
    <w:unhideWhenUsed/>
    <w:rsid w:val="009F4812"/>
    <w:rPr>
      <w:sz w:val="20"/>
      <w:szCs w:val="20"/>
    </w:rPr>
  </w:style>
  <w:style w:type="character" w:customStyle="1" w:styleId="TextocomentarioCar">
    <w:name w:val="Texto comentario Car"/>
    <w:basedOn w:val="Fuentedeprrafopredeter"/>
    <w:link w:val="Textocomentario"/>
    <w:uiPriority w:val="99"/>
    <w:semiHidden/>
    <w:rsid w:val="009F4812"/>
    <w:rPr>
      <w:rFonts w:ascii="Times New Roman" w:eastAsia="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F4812"/>
    <w:rPr>
      <w:b/>
      <w:bCs/>
    </w:rPr>
  </w:style>
  <w:style w:type="character" w:customStyle="1" w:styleId="AsuntodelcomentarioCar">
    <w:name w:val="Asunto del comentario Car"/>
    <w:basedOn w:val="TextocomentarioCar"/>
    <w:link w:val="Asuntodelcomentario"/>
    <w:uiPriority w:val="99"/>
    <w:semiHidden/>
    <w:rsid w:val="009F4812"/>
    <w:rPr>
      <w:rFonts w:ascii="Times New Roman" w:eastAsia="Times New Roman" w:hAnsi="Times New Roman"/>
      <w:b/>
      <w:bCs/>
      <w:sz w:val="20"/>
      <w:szCs w:val="20"/>
    </w:rPr>
  </w:style>
  <w:style w:type="character" w:styleId="Hipervnculovisitado">
    <w:name w:val="FollowedHyperlink"/>
    <w:basedOn w:val="Fuentedeprrafopredeter"/>
    <w:uiPriority w:val="99"/>
    <w:semiHidden/>
    <w:unhideWhenUsed/>
    <w:rsid w:val="0032262A"/>
    <w:rPr>
      <w:color w:val="800080" w:themeColor="followedHyperlink"/>
      <w:u w:val="single"/>
    </w:rPr>
  </w:style>
  <w:style w:type="paragraph" w:styleId="Prrafodelista">
    <w:name w:val="List Paragraph"/>
    <w:basedOn w:val="Normal"/>
    <w:uiPriority w:val="34"/>
    <w:qFormat/>
    <w:rsid w:val="00B0425D"/>
    <w:pPr>
      <w:ind w:left="720"/>
      <w:contextualSpacing/>
    </w:pPr>
  </w:style>
  <w:style w:type="table" w:styleId="Tablaconcuadrcula">
    <w:name w:val="Table Grid"/>
    <w:basedOn w:val="Tablanormal"/>
    <w:locked/>
    <w:rsid w:val="0087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25"/>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71F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1FC"/>
    <w:rPr>
      <w:rFonts w:ascii="Tahoma" w:eastAsia="Times New Roman" w:hAnsi="Tahoma" w:cs="Tahoma"/>
      <w:sz w:val="16"/>
      <w:szCs w:val="16"/>
    </w:rPr>
  </w:style>
  <w:style w:type="character" w:styleId="Hipervnculo">
    <w:name w:val="Hyperlink"/>
    <w:basedOn w:val="Fuentedeprrafopredeter"/>
    <w:uiPriority w:val="99"/>
    <w:unhideWhenUsed/>
    <w:rsid w:val="009936F3"/>
    <w:rPr>
      <w:color w:val="0000FF" w:themeColor="hyperlink"/>
      <w:u w:val="single"/>
    </w:rPr>
  </w:style>
  <w:style w:type="character" w:styleId="Refdecomentario">
    <w:name w:val="annotation reference"/>
    <w:basedOn w:val="Fuentedeprrafopredeter"/>
    <w:uiPriority w:val="99"/>
    <w:semiHidden/>
    <w:unhideWhenUsed/>
    <w:rsid w:val="009F4812"/>
    <w:rPr>
      <w:sz w:val="16"/>
      <w:szCs w:val="16"/>
    </w:rPr>
  </w:style>
  <w:style w:type="paragraph" w:styleId="Textocomentario">
    <w:name w:val="annotation text"/>
    <w:basedOn w:val="Normal"/>
    <w:link w:val="TextocomentarioCar"/>
    <w:uiPriority w:val="99"/>
    <w:semiHidden/>
    <w:unhideWhenUsed/>
    <w:rsid w:val="009F4812"/>
    <w:rPr>
      <w:sz w:val="20"/>
      <w:szCs w:val="20"/>
    </w:rPr>
  </w:style>
  <w:style w:type="character" w:customStyle="1" w:styleId="TextocomentarioCar">
    <w:name w:val="Texto comentario Car"/>
    <w:basedOn w:val="Fuentedeprrafopredeter"/>
    <w:link w:val="Textocomentario"/>
    <w:uiPriority w:val="99"/>
    <w:semiHidden/>
    <w:rsid w:val="009F4812"/>
    <w:rPr>
      <w:rFonts w:ascii="Times New Roman" w:eastAsia="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F4812"/>
    <w:rPr>
      <w:b/>
      <w:bCs/>
    </w:rPr>
  </w:style>
  <w:style w:type="character" w:customStyle="1" w:styleId="AsuntodelcomentarioCar">
    <w:name w:val="Asunto del comentario Car"/>
    <w:basedOn w:val="TextocomentarioCar"/>
    <w:link w:val="Asuntodelcomentario"/>
    <w:uiPriority w:val="99"/>
    <w:semiHidden/>
    <w:rsid w:val="009F4812"/>
    <w:rPr>
      <w:rFonts w:ascii="Times New Roman" w:eastAsia="Times New Roman" w:hAnsi="Times New Roman"/>
      <w:b/>
      <w:bCs/>
      <w:sz w:val="20"/>
      <w:szCs w:val="20"/>
    </w:rPr>
  </w:style>
  <w:style w:type="character" w:styleId="Hipervnculovisitado">
    <w:name w:val="FollowedHyperlink"/>
    <w:basedOn w:val="Fuentedeprrafopredeter"/>
    <w:uiPriority w:val="99"/>
    <w:semiHidden/>
    <w:unhideWhenUsed/>
    <w:rsid w:val="0032262A"/>
    <w:rPr>
      <w:color w:val="800080" w:themeColor="followedHyperlink"/>
      <w:u w:val="single"/>
    </w:rPr>
  </w:style>
  <w:style w:type="paragraph" w:styleId="Prrafodelista">
    <w:name w:val="List Paragraph"/>
    <w:basedOn w:val="Normal"/>
    <w:uiPriority w:val="34"/>
    <w:qFormat/>
    <w:rsid w:val="00B0425D"/>
    <w:pPr>
      <w:ind w:left="720"/>
      <w:contextualSpacing/>
    </w:pPr>
  </w:style>
  <w:style w:type="table" w:styleId="Tablaconcuadrcula">
    <w:name w:val="Table Grid"/>
    <w:basedOn w:val="Tablanormal"/>
    <w:locked/>
    <w:rsid w:val="0087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9611">
      <w:bodyDiv w:val="1"/>
      <w:marLeft w:val="0"/>
      <w:marRight w:val="0"/>
      <w:marTop w:val="0"/>
      <w:marBottom w:val="0"/>
      <w:divBdr>
        <w:top w:val="none" w:sz="0" w:space="0" w:color="auto"/>
        <w:left w:val="none" w:sz="0" w:space="0" w:color="auto"/>
        <w:bottom w:val="none" w:sz="0" w:space="0" w:color="auto"/>
        <w:right w:val="none" w:sz="0" w:space="0" w:color="auto"/>
      </w:divBdr>
    </w:div>
    <w:div w:id="340861276">
      <w:bodyDiv w:val="1"/>
      <w:marLeft w:val="0"/>
      <w:marRight w:val="0"/>
      <w:marTop w:val="0"/>
      <w:marBottom w:val="0"/>
      <w:divBdr>
        <w:top w:val="none" w:sz="0" w:space="0" w:color="auto"/>
        <w:left w:val="none" w:sz="0" w:space="0" w:color="auto"/>
        <w:bottom w:val="none" w:sz="0" w:space="0" w:color="auto"/>
        <w:right w:val="none" w:sz="0" w:space="0" w:color="auto"/>
      </w:divBdr>
    </w:div>
    <w:div w:id="362832134">
      <w:bodyDiv w:val="1"/>
      <w:marLeft w:val="0"/>
      <w:marRight w:val="0"/>
      <w:marTop w:val="0"/>
      <w:marBottom w:val="0"/>
      <w:divBdr>
        <w:top w:val="none" w:sz="0" w:space="0" w:color="auto"/>
        <w:left w:val="none" w:sz="0" w:space="0" w:color="auto"/>
        <w:bottom w:val="none" w:sz="0" w:space="0" w:color="auto"/>
        <w:right w:val="none" w:sz="0" w:space="0" w:color="auto"/>
      </w:divBdr>
    </w:div>
    <w:div w:id="373121065">
      <w:bodyDiv w:val="1"/>
      <w:marLeft w:val="0"/>
      <w:marRight w:val="0"/>
      <w:marTop w:val="0"/>
      <w:marBottom w:val="0"/>
      <w:divBdr>
        <w:top w:val="none" w:sz="0" w:space="0" w:color="auto"/>
        <w:left w:val="none" w:sz="0" w:space="0" w:color="auto"/>
        <w:bottom w:val="none" w:sz="0" w:space="0" w:color="auto"/>
        <w:right w:val="none" w:sz="0" w:space="0" w:color="auto"/>
      </w:divBdr>
    </w:div>
    <w:div w:id="519441869">
      <w:bodyDiv w:val="1"/>
      <w:marLeft w:val="0"/>
      <w:marRight w:val="0"/>
      <w:marTop w:val="0"/>
      <w:marBottom w:val="0"/>
      <w:divBdr>
        <w:top w:val="none" w:sz="0" w:space="0" w:color="auto"/>
        <w:left w:val="none" w:sz="0" w:space="0" w:color="auto"/>
        <w:bottom w:val="none" w:sz="0" w:space="0" w:color="auto"/>
        <w:right w:val="none" w:sz="0" w:space="0" w:color="auto"/>
      </w:divBdr>
    </w:div>
    <w:div w:id="538279795">
      <w:bodyDiv w:val="1"/>
      <w:marLeft w:val="0"/>
      <w:marRight w:val="0"/>
      <w:marTop w:val="0"/>
      <w:marBottom w:val="0"/>
      <w:divBdr>
        <w:top w:val="none" w:sz="0" w:space="0" w:color="auto"/>
        <w:left w:val="none" w:sz="0" w:space="0" w:color="auto"/>
        <w:bottom w:val="none" w:sz="0" w:space="0" w:color="auto"/>
        <w:right w:val="none" w:sz="0" w:space="0" w:color="auto"/>
      </w:divBdr>
    </w:div>
    <w:div w:id="630139592">
      <w:bodyDiv w:val="1"/>
      <w:marLeft w:val="0"/>
      <w:marRight w:val="0"/>
      <w:marTop w:val="0"/>
      <w:marBottom w:val="0"/>
      <w:divBdr>
        <w:top w:val="none" w:sz="0" w:space="0" w:color="auto"/>
        <w:left w:val="none" w:sz="0" w:space="0" w:color="auto"/>
        <w:bottom w:val="none" w:sz="0" w:space="0" w:color="auto"/>
        <w:right w:val="none" w:sz="0" w:space="0" w:color="auto"/>
      </w:divBdr>
    </w:div>
    <w:div w:id="738358528">
      <w:bodyDiv w:val="1"/>
      <w:marLeft w:val="0"/>
      <w:marRight w:val="0"/>
      <w:marTop w:val="0"/>
      <w:marBottom w:val="0"/>
      <w:divBdr>
        <w:top w:val="none" w:sz="0" w:space="0" w:color="auto"/>
        <w:left w:val="none" w:sz="0" w:space="0" w:color="auto"/>
        <w:bottom w:val="none" w:sz="0" w:space="0" w:color="auto"/>
        <w:right w:val="none" w:sz="0" w:space="0" w:color="auto"/>
      </w:divBdr>
    </w:div>
    <w:div w:id="1096905996">
      <w:bodyDiv w:val="1"/>
      <w:marLeft w:val="0"/>
      <w:marRight w:val="0"/>
      <w:marTop w:val="0"/>
      <w:marBottom w:val="0"/>
      <w:divBdr>
        <w:top w:val="none" w:sz="0" w:space="0" w:color="auto"/>
        <w:left w:val="none" w:sz="0" w:space="0" w:color="auto"/>
        <w:bottom w:val="none" w:sz="0" w:space="0" w:color="auto"/>
        <w:right w:val="none" w:sz="0" w:space="0" w:color="auto"/>
      </w:divBdr>
    </w:div>
    <w:div w:id="1147821903">
      <w:bodyDiv w:val="1"/>
      <w:marLeft w:val="0"/>
      <w:marRight w:val="0"/>
      <w:marTop w:val="0"/>
      <w:marBottom w:val="0"/>
      <w:divBdr>
        <w:top w:val="none" w:sz="0" w:space="0" w:color="auto"/>
        <w:left w:val="none" w:sz="0" w:space="0" w:color="auto"/>
        <w:bottom w:val="none" w:sz="0" w:space="0" w:color="auto"/>
        <w:right w:val="none" w:sz="0" w:space="0" w:color="auto"/>
      </w:divBdr>
    </w:div>
    <w:div w:id="1345592111">
      <w:bodyDiv w:val="1"/>
      <w:marLeft w:val="0"/>
      <w:marRight w:val="0"/>
      <w:marTop w:val="0"/>
      <w:marBottom w:val="0"/>
      <w:divBdr>
        <w:top w:val="none" w:sz="0" w:space="0" w:color="auto"/>
        <w:left w:val="none" w:sz="0" w:space="0" w:color="auto"/>
        <w:bottom w:val="none" w:sz="0" w:space="0" w:color="auto"/>
        <w:right w:val="none" w:sz="0" w:space="0" w:color="auto"/>
      </w:divBdr>
    </w:div>
    <w:div w:id="1419327325">
      <w:bodyDiv w:val="1"/>
      <w:marLeft w:val="0"/>
      <w:marRight w:val="0"/>
      <w:marTop w:val="0"/>
      <w:marBottom w:val="0"/>
      <w:divBdr>
        <w:top w:val="none" w:sz="0" w:space="0" w:color="auto"/>
        <w:left w:val="none" w:sz="0" w:space="0" w:color="auto"/>
        <w:bottom w:val="none" w:sz="0" w:space="0" w:color="auto"/>
        <w:right w:val="none" w:sz="0" w:space="0" w:color="auto"/>
      </w:divBdr>
    </w:div>
    <w:div w:id="1446315428">
      <w:bodyDiv w:val="1"/>
      <w:marLeft w:val="0"/>
      <w:marRight w:val="0"/>
      <w:marTop w:val="0"/>
      <w:marBottom w:val="0"/>
      <w:divBdr>
        <w:top w:val="none" w:sz="0" w:space="0" w:color="auto"/>
        <w:left w:val="none" w:sz="0" w:space="0" w:color="auto"/>
        <w:bottom w:val="none" w:sz="0" w:space="0" w:color="auto"/>
        <w:right w:val="none" w:sz="0" w:space="0" w:color="auto"/>
      </w:divBdr>
    </w:div>
    <w:div w:id="1500265673">
      <w:bodyDiv w:val="1"/>
      <w:marLeft w:val="0"/>
      <w:marRight w:val="0"/>
      <w:marTop w:val="0"/>
      <w:marBottom w:val="0"/>
      <w:divBdr>
        <w:top w:val="none" w:sz="0" w:space="0" w:color="auto"/>
        <w:left w:val="none" w:sz="0" w:space="0" w:color="auto"/>
        <w:bottom w:val="none" w:sz="0" w:space="0" w:color="auto"/>
        <w:right w:val="none" w:sz="0" w:space="0" w:color="auto"/>
      </w:divBdr>
    </w:div>
    <w:div w:id="1588613970">
      <w:bodyDiv w:val="1"/>
      <w:marLeft w:val="0"/>
      <w:marRight w:val="0"/>
      <w:marTop w:val="0"/>
      <w:marBottom w:val="0"/>
      <w:divBdr>
        <w:top w:val="none" w:sz="0" w:space="0" w:color="auto"/>
        <w:left w:val="none" w:sz="0" w:space="0" w:color="auto"/>
        <w:bottom w:val="none" w:sz="0" w:space="0" w:color="auto"/>
        <w:right w:val="none" w:sz="0" w:space="0" w:color="auto"/>
      </w:divBdr>
    </w:div>
    <w:div w:id="1856730007">
      <w:bodyDiv w:val="1"/>
      <w:marLeft w:val="0"/>
      <w:marRight w:val="0"/>
      <w:marTop w:val="0"/>
      <w:marBottom w:val="0"/>
      <w:divBdr>
        <w:top w:val="none" w:sz="0" w:space="0" w:color="auto"/>
        <w:left w:val="none" w:sz="0" w:space="0" w:color="auto"/>
        <w:bottom w:val="none" w:sz="0" w:space="0" w:color="auto"/>
        <w:right w:val="none" w:sz="0" w:space="0" w:color="auto"/>
      </w:divBdr>
    </w:div>
    <w:div w:id="2018145035">
      <w:bodyDiv w:val="1"/>
      <w:marLeft w:val="0"/>
      <w:marRight w:val="0"/>
      <w:marTop w:val="0"/>
      <w:marBottom w:val="0"/>
      <w:divBdr>
        <w:top w:val="none" w:sz="0" w:space="0" w:color="auto"/>
        <w:left w:val="none" w:sz="0" w:space="0" w:color="auto"/>
        <w:bottom w:val="none" w:sz="0" w:space="0" w:color="auto"/>
        <w:right w:val="none" w:sz="0" w:space="0" w:color="auto"/>
      </w:divBdr>
    </w:div>
    <w:div w:id="2018382923">
      <w:bodyDiv w:val="1"/>
      <w:marLeft w:val="0"/>
      <w:marRight w:val="0"/>
      <w:marTop w:val="0"/>
      <w:marBottom w:val="0"/>
      <w:divBdr>
        <w:top w:val="none" w:sz="0" w:space="0" w:color="auto"/>
        <w:left w:val="none" w:sz="0" w:space="0" w:color="auto"/>
        <w:bottom w:val="none" w:sz="0" w:space="0" w:color="auto"/>
        <w:right w:val="none" w:sz="0" w:space="0" w:color="auto"/>
      </w:divBdr>
    </w:div>
    <w:div w:id="20903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data.worldbank.org/country"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7484-AD12-1144-BF74-4C4ED3A9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2230</Words>
  <Characters>12269</Characters>
  <Application>Microsoft Macintosh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Table 3</vt:lpstr>
      <vt:lpstr>Table 3</vt:lpstr>
    </vt:vector>
  </TitlesOfParts>
  <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3</dc:title>
  <dc:creator>Jerry Garcia</dc:creator>
  <cp:lastModifiedBy>Guillerme  Borges</cp:lastModifiedBy>
  <cp:revision>2</cp:revision>
  <cp:lastPrinted>2017-10-18T14:14:00Z</cp:lastPrinted>
  <dcterms:created xsi:type="dcterms:W3CDTF">2019-07-10T15:08:00Z</dcterms:created>
  <dcterms:modified xsi:type="dcterms:W3CDTF">2019-07-10T15:08:00Z</dcterms:modified>
</cp:coreProperties>
</file>