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164"/>
        <w:tblW w:w="126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0"/>
        <w:gridCol w:w="870"/>
        <w:gridCol w:w="831"/>
        <w:gridCol w:w="870"/>
        <w:gridCol w:w="690"/>
        <w:gridCol w:w="2126"/>
        <w:gridCol w:w="2234"/>
        <w:gridCol w:w="2268"/>
      </w:tblGrid>
      <w:tr w:rsidR="00725086" w:rsidRPr="00725086" w:rsidTr="004022B6">
        <w:trPr>
          <w:trHeight w:val="266"/>
        </w:trPr>
        <w:tc>
          <w:tcPr>
            <w:tcW w:w="1265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ind w:rightChars="-352" w:right="-845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lang w:val="en-GB"/>
              </w:rPr>
              <w:t xml:space="preserve">Table S1. </w:t>
            </w:r>
            <w:r w:rsidRPr="00725086">
              <w:rPr>
                <w:rFonts w:eastAsia="Meiryo UI"/>
                <w:color w:val="000000" w:themeColor="text1"/>
                <w:lang w:val="en-GB"/>
              </w:rPr>
              <w:t>Effects</w:t>
            </w:r>
            <w:r w:rsidRPr="00725086">
              <w:rPr>
                <w:color w:val="000000" w:themeColor="text1"/>
                <w:lang w:val="en-GB"/>
              </w:rPr>
              <w:t xml:space="preserve"> of BMM and RCM</w:t>
            </w:r>
            <w:r w:rsidRPr="00725086">
              <w:rPr>
                <w:rFonts w:hint="eastAsia"/>
                <w:color w:val="000000" w:themeColor="text1"/>
                <w:lang w:val="en-GB"/>
              </w:rPr>
              <w:t xml:space="preserve"> </w:t>
            </w:r>
            <w:r w:rsidRPr="00725086">
              <w:rPr>
                <w:color w:val="000000" w:themeColor="text1"/>
                <w:lang w:val="en-GB"/>
              </w:rPr>
              <w:t>interventions on stigma</w:t>
            </w:r>
          </w:p>
        </w:tc>
      </w:tr>
      <w:tr w:rsidR="00725086" w:rsidRPr="00725086" w:rsidTr="004022B6">
        <w:trPr>
          <w:trHeight w:val="1238"/>
        </w:trPr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Biomedical messages 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video lecture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(BMM)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Mean ± SD</w:t>
            </w:r>
          </w:p>
          <w:p w:rsidR="006759B4" w:rsidRPr="00725086" w:rsidRDefault="006759B4" w:rsidP="004022B6">
            <w:pPr>
              <w:rPr>
                <w:color w:val="000000" w:themeColor="text1"/>
                <w:sz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(Effect size)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a)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Recommended messages video lecture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(RCM)</w:t>
            </w:r>
          </w:p>
          <w:p w:rsidR="006759B4" w:rsidRPr="00725086" w:rsidRDefault="006759B4" w:rsidP="004022B6">
            <w:pPr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Mean ± SD</w:t>
            </w:r>
          </w:p>
          <w:p w:rsidR="006759B4" w:rsidRPr="00725086" w:rsidRDefault="006759B4" w:rsidP="004022B6">
            <w:pPr>
              <w:rPr>
                <w:color w:val="000000" w:themeColor="text1"/>
                <w:sz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(Effect size)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vertAlign w:val="superscript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Main effect of Time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Main effect of Group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vertAlign w:val="superscript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Time x Group interaction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b)</w:t>
            </w:r>
          </w:p>
        </w:tc>
      </w:tr>
      <w:tr w:rsidR="00725086" w:rsidRPr="00725086" w:rsidTr="004022B6">
        <w:trPr>
          <w:trHeight w:val="630"/>
        </w:trPr>
        <w:tc>
          <w:tcPr>
            <w:tcW w:w="277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vertAlign w:val="superscript"/>
                <w:lang w:val="en-GB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vertAlign w:val="superscript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B [95% CI]</w:t>
            </w:r>
          </w:p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value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B [95% CI]</w:t>
            </w:r>
          </w:p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value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B [95% CI]</w:t>
            </w:r>
          </w:p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value</w:t>
            </w:r>
          </w:p>
        </w:tc>
      </w:tr>
      <w:tr w:rsidR="00725086" w:rsidRPr="00725086" w:rsidTr="004022B6">
        <w:trPr>
          <w:trHeight w:val="295"/>
        </w:trPr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MIDUS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Baseline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16.60 ± 6.93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17.84 ± 7.53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1.24 [–0.83, 3.31]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rFonts w:eastAsia="ＭＳ Ｐゴシック"/>
                <w:color w:val="000000" w:themeColor="text1"/>
                <w:sz w:val="22"/>
                <w:lang w:val="en-GB"/>
              </w:rPr>
              <w:t xml:space="preserve"> Post-test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10.49 ± 6.12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(0.93)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12.57 ± 7.27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(0.71)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–6.11 [–7.42, –4.81]</w:t>
            </w:r>
          </w:p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p &lt; .001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0.84 [–1.01, 2.69]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.37</w:t>
            </w: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ind w:firstLineChars="50" w:firstLine="110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1-month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11.04 ± 7.07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(0.79)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14.17 ± 8.71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(0.45)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–5.87 [–7.44, –4.30]</w:t>
            </w:r>
          </w:p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p &lt; .001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2.20 [–0.02, 4.42]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.05</w:t>
            </w: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1-year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14.34 ± 8.58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(0.29)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16.43 ± 8.28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(0.18)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–2.56 [–4.27, –0.85]</w:t>
            </w:r>
          </w:p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p &lt; .01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0.67 [–1.78, 3.13]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.59</w:t>
            </w: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RIBS-J future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Baseline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12.49 ± 3.73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12.04 ± 3.61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  <w:tc>
          <w:tcPr>
            <w:tcW w:w="2234" w:type="dxa"/>
            <w:vMerge w:val="restart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–0.44 [–1.44, 0.55]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rFonts w:eastAsia="ＭＳ Ｐゴシック"/>
                <w:color w:val="000000" w:themeColor="text1"/>
                <w:sz w:val="22"/>
                <w:lang w:val="en-GB"/>
              </w:rPr>
              <w:t xml:space="preserve"> Post-test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14.30 ± 3.23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(0.52)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14.57 ± 3.71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(0.69)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1.81 [1.22, 2.40]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p &lt; .001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0.72 [–0.11, 1.55]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= .09</w:t>
            </w: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ind w:firstLineChars="50" w:firstLine="110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1-month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14.07 ± 2.91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(0.47)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13.74 ± 3.23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(0.50)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1.51 [0.90, 2.12]</w:t>
            </w:r>
          </w:p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p &lt; .001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0.24 –0.62, 1,11]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.58</w:t>
            </w: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1-year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13.10 ± 3.47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(0.17)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11.88 ± 4.02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(0.04)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0.68 [–0.06, 1.43]</w:t>
            </w:r>
          </w:p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= .07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–0.72 [–1.80, 0.35]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.19</w:t>
            </w: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RIBS-J past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ind w:firstLineChars="50" w:firstLine="110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Baseline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0.62 ± 0.89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0.79 ± 1.06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  <w:tc>
          <w:tcPr>
            <w:tcW w:w="2234" w:type="dxa"/>
            <w:vMerge w:val="restart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0.16 [–0.12, 0.45]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.26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</w:tr>
      <w:tr w:rsidR="00725086" w:rsidRPr="00725086" w:rsidTr="004022B6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1-year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0.81 ± 1.09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0.57 ± 0.92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(0.22)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0.15 [–0.05, 0.34]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.14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–0.38 [–0.66, –0.10]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p &lt; .01</w:t>
            </w:r>
          </w:p>
        </w:tc>
      </w:tr>
      <w:tr w:rsidR="00725086" w:rsidRPr="00725086" w:rsidTr="004022B6">
        <w:trPr>
          <w:trHeight w:val="535"/>
        </w:trPr>
        <w:tc>
          <w:tcPr>
            <w:tcW w:w="12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B: Non-standardized regression coefficients; SD: Standard deviation; CI: Confidence interval; ref: Reference; RIBS-J: Japanese version of Reported and Intended Behaviour Scale; MIDUS, Mental Illness and Disorder Understanding Scale; 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a) Cohen’s d, d = (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M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Timet</w:t>
            </w:r>
            <w:r w:rsidRPr="00725086">
              <w:rPr>
                <w:color w:val="000000" w:themeColor="text1"/>
                <w:sz w:val="22"/>
                <w:lang w:val="en-GB"/>
              </w:rPr>
              <w:t> – 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M</w:t>
            </w:r>
            <w:r w:rsidRPr="00725086">
              <w:rPr>
                <w:i/>
                <w:color w:val="000000" w:themeColor="text1"/>
                <w:sz w:val="22"/>
                <w:vertAlign w:val="subscript"/>
                <w:lang w:val="en-GB"/>
              </w:rPr>
              <w:t>Time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0</w:t>
            </w:r>
            <w:r w:rsidRPr="00725086">
              <w:rPr>
                <w:color w:val="000000" w:themeColor="text1"/>
                <w:sz w:val="22"/>
                <w:lang w:val="en-GB"/>
              </w:rPr>
              <w:t>) ⁄ 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 xml:space="preserve">pooled, 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pooled</w:t>
            </w:r>
            <w:r w:rsidRPr="00725086">
              <w:rPr>
                <w:color w:val="000000" w:themeColor="text1"/>
                <w:sz w:val="22"/>
                <w:lang w:val="en-GB"/>
              </w:rPr>
              <w:t> = √((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Timet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2</w:t>
            </w:r>
            <w:r w:rsidRPr="00725086">
              <w:rPr>
                <w:color w:val="000000" w:themeColor="text1"/>
                <w:sz w:val="22"/>
                <w:lang w:val="en-GB"/>
              </w:rPr>
              <w:t> + 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Time0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2</w:t>
            </w:r>
            <w:r w:rsidRPr="00725086">
              <w:rPr>
                <w:color w:val="000000" w:themeColor="text1"/>
                <w:sz w:val="22"/>
                <w:lang w:val="en-GB"/>
              </w:rPr>
              <w:t xml:space="preserve">) ⁄ 2), </w:t>
            </w:r>
            <w:r w:rsidRPr="00725086">
              <w:rPr>
                <w:rFonts w:eastAsia="Times New Roman"/>
                <w:color w:val="000000" w:themeColor="text1"/>
                <w:sz w:val="22"/>
                <w:lang w:val="en-GB"/>
              </w:rPr>
              <w:t>Time</w:t>
            </w:r>
            <w:r w:rsidRPr="00725086">
              <w:rPr>
                <w:color w:val="000000" w:themeColor="text1"/>
                <w:sz w:val="22"/>
                <w:lang w:val="en-GB"/>
              </w:rPr>
              <w:t>t = 1 (post</w:t>
            </w:r>
            <w:r w:rsidRPr="00725086">
              <w:rPr>
                <w:rFonts w:eastAsia="Times New Roman"/>
                <w:color w:val="000000" w:themeColor="text1"/>
                <w:sz w:val="22"/>
                <w:lang w:val="en-GB"/>
              </w:rPr>
              <w:t>-test</w:t>
            </w:r>
            <w:r w:rsidRPr="00725086">
              <w:rPr>
                <w:color w:val="000000" w:themeColor="text1"/>
                <w:sz w:val="22"/>
                <w:lang w:val="en-GB"/>
              </w:rPr>
              <w:t xml:space="preserve"> survey), 2 (1-month follow-up survey), or 3 (1-year follow-up survey); b) Reference group is BMM group</w:t>
            </w:r>
          </w:p>
        </w:tc>
      </w:tr>
    </w:tbl>
    <w:p w:rsidR="00503E13" w:rsidRPr="00725086" w:rsidRDefault="00503E13">
      <w:pPr>
        <w:rPr>
          <w:color w:val="000000" w:themeColor="text1"/>
        </w:rPr>
      </w:pPr>
    </w:p>
    <w:p w:rsidR="006759B4" w:rsidRPr="00725086" w:rsidRDefault="006759B4">
      <w:pPr>
        <w:rPr>
          <w:color w:val="000000" w:themeColor="text1"/>
        </w:rPr>
      </w:pPr>
    </w:p>
    <w:p w:rsidR="006759B4" w:rsidRPr="00725086" w:rsidRDefault="006759B4" w:rsidP="006759B4">
      <w:pPr>
        <w:rPr>
          <w:color w:val="000000" w:themeColor="text1"/>
        </w:rPr>
      </w:pPr>
      <w:r w:rsidRPr="00725086">
        <w:rPr>
          <w:color w:val="000000" w:themeColor="text1"/>
        </w:rPr>
        <w:br w:type="page"/>
      </w:r>
    </w:p>
    <w:tbl>
      <w:tblPr>
        <w:tblpPr w:leftFromText="142" w:rightFromText="142" w:vertAnchor="text" w:horzAnchor="margin" w:tblpY="-164"/>
        <w:tblW w:w="1275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0"/>
        <w:gridCol w:w="870"/>
        <w:gridCol w:w="831"/>
        <w:gridCol w:w="870"/>
        <w:gridCol w:w="690"/>
        <w:gridCol w:w="2126"/>
        <w:gridCol w:w="2234"/>
        <w:gridCol w:w="2367"/>
      </w:tblGrid>
      <w:tr w:rsidR="00725086" w:rsidRPr="00725086" w:rsidTr="00552F4B">
        <w:trPr>
          <w:trHeight w:val="274"/>
        </w:trPr>
        <w:tc>
          <w:tcPr>
            <w:tcW w:w="12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Table S2. Effects of BMM and RCM interventions on the MIDUS subscale</w:t>
            </w:r>
          </w:p>
        </w:tc>
      </w:tr>
      <w:tr w:rsidR="00725086" w:rsidRPr="00725086" w:rsidTr="00552F4B">
        <w:trPr>
          <w:trHeight w:val="1238"/>
        </w:trPr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Biomedical messages 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video lecture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(BMM)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Mean ± SD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(Effect size)</w:t>
            </w:r>
            <w:r w:rsidRPr="00725086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a)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Recommended messages video lecture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(RCM)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Mean ± SD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(Ef</w:t>
            </w:r>
            <w:bookmarkStart w:id="0" w:name="_GoBack"/>
            <w:bookmarkEnd w:id="0"/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fect size)</w:t>
            </w:r>
            <w:r w:rsidRPr="00725086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Main effect of Time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Main effect of Group</w:t>
            </w:r>
            <w:r w:rsidRPr="00725086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b)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Time x Group interaction</w:t>
            </w:r>
            <w:r w:rsidRPr="00725086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b)</w:t>
            </w:r>
          </w:p>
        </w:tc>
      </w:tr>
      <w:tr w:rsidR="00725086" w:rsidRPr="00725086" w:rsidTr="00552F4B">
        <w:trPr>
          <w:trHeight w:val="630"/>
        </w:trPr>
        <w:tc>
          <w:tcPr>
            <w:tcW w:w="277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B [95% CI]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p value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B [95% CI]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p value</w:t>
            </w:r>
          </w:p>
        </w:tc>
        <w:tc>
          <w:tcPr>
            <w:tcW w:w="23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B [95% CI]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p value</w:t>
            </w:r>
          </w:p>
        </w:tc>
      </w:tr>
      <w:tr w:rsidR="00725086" w:rsidRPr="00725086" w:rsidTr="00552F4B">
        <w:trPr>
          <w:trHeight w:val="295"/>
        </w:trPr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MIDUS_TR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Baseline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3.67 ± 2.65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4.03 ± 3.10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 (ref)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0.37 [–0.47, 1.20]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p = .39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 (ref)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Post-test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3.18 ± 2.81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(0.18)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2.11 ± 2.68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(0.66)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–0.49 [–1.04, 0.06]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p = .08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-1.43 [–2.22, -0.65]</w:t>
            </w: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br/>
              <w:t>p &lt; .001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1-month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3.12 ± 2.78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(0.20)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3.46 ± 3.75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(0.17)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–0.66 [–1.35, 0.03]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p = .06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0.17 [–0.80, 1.15]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p = .73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1-year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3.84 ± 3.73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(0.05)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3.66 ± 3.22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(0.12)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0.10 [–0.64, 0.84]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p = .79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-0.49 [–1.55, 0.57]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p = .36</w:t>
            </w:r>
          </w:p>
        </w:tc>
      </w:tr>
      <w:tr w:rsidR="00725086" w:rsidRPr="00725086" w:rsidTr="00552F4B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MIDUS_EM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Baseline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9.81 ± 4.15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10.26 ± 3.95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 (ref)</w:t>
            </w:r>
          </w:p>
        </w:tc>
        <w:tc>
          <w:tcPr>
            <w:tcW w:w="2234" w:type="dxa"/>
            <w:vMerge w:val="restart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0.40 [–0.74, 1.54]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p = .49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 (ref)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Post-test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5.26 ± 3.40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(1.21)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8.42 ± 4.27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(0.45)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-4.60 [-5.35, -3.86]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p &lt; .001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2.76 [1.71, 3.81]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p &lt; .001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1-month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5.59 ± 3.54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(1.10)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7.89 ± 4.28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(0.58)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-4.37 [-5.17, -3.56]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p &lt; .001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1.89 [0.75, 3.03]</w:t>
            </w: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br/>
              <w:t>p &lt; .01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1-year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7.53 ± 3.71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(0.58)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9.43 ± 4.84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(0.19)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-2.53 [-3.48, -1.58]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p &lt; .001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1.39 [0.03, 2.75]</w:t>
            </w: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br/>
              <w:t>p &lt; .05</w:t>
            </w:r>
          </w:p>
        </w:tc>
      </w:tr>
      <w:tr w:rsidR="00725086" w:rsidRPr="00725086" w:rsidTr="00552F4B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MIDUS_SR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25086" w:rsidRPr="00725086" w:rsidTr="00552F4B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Baseline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3.09 ± 2.26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3.55 ± 2.54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 (ref)</w:t>
            </w:r>
          </w:p>
        </w:tc>
        <w:tc>
          <w:tcPr>
            <w:tcW w:w="2234" w:type="dxa"/>
            <w:vMerge w:val="restart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0.46 [–2.00, 1.12]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p = .17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 (ref)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Post-test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2.06 ± 1.87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(0.50)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2.07 ± 2.37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(0.60)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-1.03 [-1.49, -0.58]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p &lt; .001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-0.43 [-1.07, 0.22]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p = .19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1-month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2.33 ± 2.09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(0.35)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2.82 ± 2.63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(0.28)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-0.84 [-1.36, -0.32]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szCs w:val="22"/>
                <w:lang w:val="en-GB"/>
              </w:rPr>
              <w:t>p &lt; .01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0.12 [-0.61, 0.85]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p = .75</w:t>
            </w:r>
          </w:p>
        </w:tc>
      </w:tr>
      <w:tr w:rsidR="00725086" w:rsidRPr="00725086" w:rsidTr="00552F4B">
        <w:trPr>
          <w:trHeight w:val="397"/>
        </w:trPr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1-year follow-up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2.97 ± 2.61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(0.05)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3.34 ± 2.35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(0.09)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-0.15 [-0.70, 0.40]</w:t>
            </w:r>
          </w:p>
          <w:p w:rsidR="00CE3B91" w:rsidRPr="00725086" w:rsidRDefault="00CE3B91" w:rsidP="00552F4B">
            <w:pPr>
              <w:spacing w:line="0" w:lineRule="atLeast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p = .60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-0.19 [-0.97, 0.60]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p = .64</w:t>
            </w:r>
          </w:p>
        </w:tc>
      </w:tr>
      <w:tr w:rsidR="00725086" w:rsidRPr="00725086" w:rsidTr="00552F4B">
        <w:trPr>
          <w:trHeight w:val="535"/>
        </w:trPr>
        <w:tc>
          <w:tcPr>
            <w:tcW w:w="12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B91" w:rsidRPr="00725086" w:rsidRDefault="00CE3B91" w:rsidP="00552F4B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B: Non-standardized regression coefficients; SD: Standard deviation; CI: Confidence interval; ref: Reference; MIDUS, Mental Illness and Disorder Understanding Scale; MIDUS_TR: Treatability of illness of MIDUS; MIDUS_EM: Efficacy of medication of MIDUS; MIDUS_SR: Social Recognition of MIDUS; a) Cohen’s d, d = (</w:t>
            </w: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M</w:t>
            </w:r>
            <w:r w:rsidRPr="00725086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Timet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 – </w:t>
            </w: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M</w:t>
            </w:r>
            <w:r w:rsidRPr="00725086">
              <w:rPr>
                <w:i/>
                <w:color w:val="000000" w:themeColor="text1"/>
                <w:sz w:val="22"/>
                <w:szCs w:val="22"/>
                <w:vertAlign w:val="subscript"/>
                <w:lang w:val="en-GB"/>
              </w:rPr>
              <w:t>Time</w:t>
            </w:r>
            <w:r w:rsidRPr="00725086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0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) ⁄ </w:t>
            </w: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 xml:space="preserve">pooled, </w:t>
            </w: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pooled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 = √((</w:t>
            </w: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Timet</w:t>
            </w:r>
            <w:r w:rsidRPr="00725086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 + </w:t>
            </w: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Time0</w:t>
            </w:r>
            <w:r w:rsidRPr="00725086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) ⁄ 2), Timet = 1 (post-test survey), 2 (1-month follow-up survey), or 3 (1-year follow-up survey); b) Reference group is BMM group</w:t>
            </w:r>
          </w:p>
        </w:tc>
      </w:tr>
    </w:tbl>
    <w:p w:rsidR="006759B4" w:rsidRPr="00725086" w:rsidRDefault="006759B4" w:rsidP="006759B4">
      <w:pPr>
        <w:rPr>
          <w:color w:val="000000" w:themeColor="text1"/>
        </w:rPr>
      </w:pPr>
    </w:p>
    <w:p w:rsidR="006759B4" w:rsidRPr="00725086" w:rsidRDefault="006759B4" w:rsidP="006759B4">
      <w:pPr>
        <w:rPr>
          <w:color w:val="000000" w:themeColor="text1"/>
        </w:rPr>
      </w:pPr>
      <w:r w:rsidRPr="00725086">
        <w:rPr>
          <w:color w:val="000000" w:themeColor="text1"/>
        </w:rPr>
        <w:br w:type="page"/>
      </w:r>
    </w:p>
    <w:p w:rsidR="006759B4" w:rsidRPr="00725086" w:rsidRDefault="006759B4" w:rsidP="006759B4">
      <w:pPr>
        <w:rPr>
          <w:color w:val="000000" w:themeColor="text1"/>
        </w:rPr>
      </w:pPr>
    </w:p>
    <w:tbl>
      <w:tblPr>
        <w:tblW w:w="155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9"/>
        <w:gridCol w:w="1807"/>
        <w:gridCol w:w="1737"/>
        <w:gridCol w:w="1878"/>
        <w:gridCol w:w="1808"/>
        <w:gridCol w:w="2551"/>
      </w:tblGrid>
      <w:tr w:rsidR="00725086" w:rsidRPr="00725086" w:rsidTr="004022B6">
        <w:trPr>
          <w:trHeight w:val="50"/>
        </w:trPr>
        <w:tc>
          <w:tcPr>
            <w:tcW w:w="12999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4771FA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Table S3</w:t>
            </w:r>
            <w:r w:rsidR="006759B4" w:rsidRPr="00725086">
              <w:rPr>
                <w:color w:val="000000" w:themeColor="text1"/>
                <w:sz w:val="22"/>
                <w:szCs w:val="22"/>
                <w:lang w:val="en-GB"/>
              </w:rPr>
              <w:t>. Changes of proportion of mental health-related experience in this trial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25086" w:rsidRPr="00725086" w:rsidTr="004022B6">
        <w:trPr>
          <w:trHeight w:val="931"/>
        </w:trPr>
        <w:tc>
          <w:tcPr>
            <w:tcW w:w="576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Biomedical messages video lecture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(BMM)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Recommended messages video lecture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(RCM)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i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Statistical values</w:t>
            </w:r>
            <w:r w:rsidRPr="00725086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a)</w:t>
            </w:r>
          </w:p>
        </w:tc>
      </w:tr>
      <w:tr w:rsidR="00725086" w:rsidRPr="00725086" w:rsidTr="004022B6">
        <w:trPr>
          <w:trHeight w:val="154"/>
        </w:trPr>
        <w:tc>
          <w:tcPr>
            <w:tcW w:w="576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807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Baseline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n = 90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1-year follow-up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n = 73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Baseline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n = 89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1-year follow-up 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br/>
              <w:t>n = 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25086" w:rsidRPr="00725086" w:rsidTr="004022B6">
        <w:trPr>
          <w:trHeight w:val="284"/>
        </w:trPr>
        <w:tc>
          <w:tcPr>
            <w:tcW w:w="5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25086" w:rsidRPr="00725086" w:rsidTr="004022B6">
        <w:trPr>
          <w:trHeight w:val="177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Having mental health problems, n (%)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21 (23.33)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22 (30.14)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24 (26.97)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15 (22.06)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χ</w:t>
            </w:r>
            <w:r w:rsidRPr="00725086">
              <w:rPr>
                <w:i/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725086">
              <w:rPr>
                <w:rFonts w:ascii="Times New Roman" w:eastAsia="Meiryo UI" w:hAnsi="Times New Roman" w:cs="Times New Roman"/>
                <w:i/>
                <w:iCs/>
                <w:color w:val="000000" w:themeColor="text1"/>
                <w:kern w:val="2"/>
                <w:sz w:val="22"/>
                <w:szCs w:val="22"/>
                <w:lang w:val="en-GB"/>
              </w:rPr>
              <w:t>= 0.81, p = 0.34</w:t>
            </w:r>
          </w:p>
        </w:tc>
      </w:tr>
      <w:tr w:rsidR="00725086" w:rsidRPr="00725086" w:rsidTr="004022B6">
        <w:trPr>
          <w:trHeight w:val="284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Receiving care/treatment from professionals, n (%)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11 (12.22)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13 (17.81)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14 (15.73)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12 (17.65)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χ</w:t>
            </w:r>
            <w:r w:rsidRPr="00725086">
              <w:rPr>
                <w:i/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725086">
              <w:rPr>
                <w:rFonts w:ascii="Times New Roman" w:eastAsia="Meiryo UI" w:hAnsi="Times New Roman" w:cs="Times New Roman"/>
                <w:i/>
                <w:iCs/>
                <w:color w:val="000000" w:themeColor="text1"/>
                <w:kern w:val="2"/>
                <w:sz w:val="22"/>
                <w:szCs w:val="22"/>
                <w:lang w:val="en-GB"/>
              </w:rPr>
              <w:t>= 0.00, p = 1.00</w:t>
            </w:r>
          </w:p>
        </w:tc>
      </w:tr>
      <w:tr w:rsidR="00725086" w:rsidRPr="00725086" w:rsidTr="004022B6">
        <w:trPr>
          <w:trHeight w:val="284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Attending a lecture about mental health problems, n (%)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38 (42.22)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38 (52.05)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31 (34.83)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36 (52.94)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χ</w:t>
            </w:r>
            <w:r w:rsidRPr="00725086">
              <w:rPr>
                <w:i/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725086">
              <w:rPr>
                <w:rFonts w:ascii="Times New Roman" w:eastAsia="Meiryo UI" w:hAnsi="Times New Roman" w:cs="Times New Roman"/>
                <w:i/>
                <w:iCs/>
                <w:color w:val="000000" w:themeColor="text1"/>
                <w:kern w:val="2"/>
                <w:sz w:val="22"/>
                <w:szCs w:val="22"/>
                <w:lang w:val="en-GB"/>
              </w:rPr>
              <w:t>= 0.00, p = 1.00</w:t>
            </w:r>
          </w:p>
        </w:tc>
      </w:tr>
      <w:tr w:rsidR="00725086" w:rsidRPr="00725086" w:rsidTr="004022B6">
        <w:trPr>
          <w:trHeight w:val="284"/>
        </w:trPr>
        <w:tc>
          <w:tcPr>
            <w:tcW w:w="5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Viewing media describing an individual with mental health problems</w:t>
            </w:r>
            <w:r w:rsidRPr="00725086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b)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, n (%)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72 (80.00)</w:t>
            </w:r>
          </w:p>
        </w:tc>
        <w:tc>
          <w:tcPr>
            <w:tcW w:w="1737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65 (89.04)</w:t>
            </w:r>
          </w:p>
        </w:tc>
        <w:tc>
          <w:tcPr>
            <w:tcW w:w="18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65 (73.03)</w:t>
            </w: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57 (83.82)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χ</w:t>
            </w:r>
            <w:r w:rsidRPr="00725086">
              <w:rPr>
                <w:i/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725086">
              <w:rPr>
                <w:rFonts w:ascii="Times New Roman" w:eastAsia="Meiryo UI" w:hAnsi="Times New Roman" w:cs="Times New Roman"/>
                <w:i/>
                <w:iCs/>
                <w:color w:val="000000" w:themeColor="text1"/>
                <w:kern w:val="2"/>
                <w:sz w:val="22"/>
                <w:szCs w:val="22"/>
                <w:lang w:val="en-GB"/>
              </w:rPr>
              <w:t>= 0.44, p = 0.46</w:t>
            </w:r>
          </w:p>
        </w:tc>
      </w:tr>
      <w:tr w:rsidR="00725086" w:rsidRPr="00725086" w:rsidTr="004022B6">
        <w:trPr>
          <w:trHeight w:val="284"/>
        </w:trPr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Seeking help </w:t>
            </w:r>
            <w:r w:rsidRPr="00725086">
              <w:rPr>
                <w:rFonts w:eastAsia="ＭＳ Ｐゴシック"/>
                <w:color w:val="000000" w:themeColor="text1"/>
                <w:sz w:val="22"/>
                <w:szCs w:val="22"/>
                <w:lang w:val="en-GB"/>
              </w:rPr>
              <w:t>from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family members and close friends </w:t>
            </w:r>
            <w:r w:rsidRPr="00725086">
              <w:rPr>
                <w:rFonts w:eastAsia="ＭＳ Ｐゴシック"/>
                <w:color w:val="000000" w:themeColor="text1"/>
                <w:sz w:val="22"/>
                <w:szCs w:val="22"/>
                <w:lang w:val="en-GB"/>
              </w:rPr>
              <w:t>for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mental health problems, n (%)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24 (26.67)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rFonts w:ascii="Times New Roman" w:eastAsia="Meiryo UI" w:hAnsi="Times New Roman" w:cs="Times New Roman"/>
                <w:color w:val="000000" w:themeColor="text1"/>
                <w:kern w:val="2"/>
                <w:sz w:val="22"/>
                <w:szCs w:val="22"/>
                <w:lang w:val="en-GB"/>
              </w:rPr>
              <w:t>18 (24.66)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21 (23.60)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>15 (22.06)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59B4" w:rsidRPr="00725086" w:rsidRDefault="006759B4" w:rsidP="004022B6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086">
              <w:rPr>
                <w:i/>
                <w:color w:val="000000" w:themeColor="text1"/>
                <w:sz w:val="22"/>
                <w:szCs w:val="22"/>
                <w:lang w:val="en-GB"/>
              </w:rPr>
              <w:t>χ</w:t>
            </w:r>
            <w:r w:rsidRPr="00725086">
              <w:rPr>
                <w:i/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725086">
              <w:rPr>
                <w:rFonts w:ascii="Times New Roman" w:eastAsia="Meiryo UI" w:hAnsi="Times New Roman" w:cs="Times New Roman"/>
                <w:i/>
                <w:iCs/>
                <w:color w:val="000000" w:themeColor="text1"/>
                <w:kern w:val="2"/>
                <w:sz w:val="22"/>
                <w:szCs w:val="22"/>
                <w:lang w:val="en-GB"/>
              </w:rPr>
              <w:t>= 0.03, p = 0.84</w:t>
            </w:r>
          </w:p>
        </w:tc>
      </w:tr>
      <w:tr w:rsidR="006759B4" w:rsidRPr="00725086" w:rsidTr="004022B6">
        <w:trPr>
          <w:trHeight w:val="284"/>
        </w:trPr>
        <w:tc>
          <w:tcPr>
            <w:tcW w:w="15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6759B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Meiryo UI"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color w:val="000000" w:themeColor="text1"/>
                <w:sz w:val="22"/>
                <w:szCs w:val="22"/>
              </w:rPr>
              <w:t>Comparisons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 between groups at 1-year follow-up survey were tested using chi-square test.</w:t>
            </w:r>
            <w:r w:rsidRPr="00725086">
              <w:rPr>
                <w:rFonts w:eastAsia="Meiryo UI" w:hint="eastAsi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725086">
              <w:rPr>
                <w:color w:val="000000" w:themeColor="text1"/>
                <w:sz w:val="22"/>
                <w:szCs w:val="22"/>
                <w:lang w:val="en-GB"/>
              </w:rPr>
              <w:t xml:space="preserve">In addition, </w:t>
            </w:r>
            <w:r w:rsidRPr="00725086">
              <w:rPr>
                <w:color w:val="000000" w:themeColor="text1"/>
                <w:sz w:val="22"/>
                <w:szCs w:val="22"/>
              </w:rPr>
              <w:t>comparison of 1-year follow-up survey with baseline survey was tested using McNemar’s test</w:t>
            </w:r>
            <w:r w:rsidRPr="00725086">
              <w:rPr>
                <w:rFonts w:eastAsia="Meiryo UI"/>
                <w:color w:val="000000" w:themeColor="text1"/>
                <w:sz w:val="22"/>
                <w:szCs w:val="22"/>
                <w:lang w:val="en-GB"/>
              </w:rPr>
              <w:t>. The statistical significance threshold was adjusted to 0.05/10 = 0.005 with Bonferroni correction. The proportions of "Attending a lecture about mental health problems" in RCM was significantly increased (χ</w:t>
            </w:r>
            <w:r w:rsidRPr="00725086">
              <w:rPr>
                <w:rFonts w:eastAsia="Meiryo UI"/>
                <w:color w:val="000000" w:themeColor="text1"/>
                <w:sz w:val="22"/>
                <w:szCs w:val="22"/>
                <w:vertAlign w:val="superscript"/>
                <w:lang w:val="en-GB"/>
              </w:rPr>
              <w:t>2</w:t>
            </w:r>
            <w:r w:rsidRPr="00725086">
              <w:rPr>
                <w:rFonts w:eastAsia="Meiryo UI"/>
                <w:color w:val="000000" w:themeColor="text1"/>
                <w:sz w:val="22"/>
                <w:szCs w:val="22"/>
                <w:lang w:val="en-GB"/>
              </w:rPr>
              <w:t>= 9.80, p = 0.003).</w:t>
            </w:r>
          </w:p>
          <w:p w:rsidR="006759B4" w:rsidRPr="00725086" w:rsidRDefault="006759B4" w:rsidP="006759B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Meiryo UI"/>
                <w:color w:val="000000" w:themeColor="text1"/>
                <w:sz w:val="22"/>
                <w:szCs w:val="22"/>
                <w:lang w:val="en-GB"/>
              </w:rPr>
            </w:pPr>
            <w:r w:rsidRPr="00725086">
              <w:rPr>
                <w:rFonts w:eastAsia="Meiryo UI"/>
                <w:color w:val="000000" w:themeColor="text1"/>
                <w:sz w:val="22"/>
                <w:szCs w:val="22"/>
                <w:lang w:val="en-GB"/>
              </w:rPr>
              <w:t>Media include television, newspapers, internet, etc.</w:t>
            </w:r>
          </w:p>
        </w:tc>
      </w:tr>
    </w:tbl>
    <w:p w:rsidR="006759B4" w:rsidRPr="00725086" w:rsidRDefault="006759B4" w:rsidP="006759B4">
      <w:pPr>
        <w:rPr>
          <w:color w:val="000000" w:themeColor="text1"/>
        </w:rPr>
      </w:pPr>
    </w:p>
    <w:p w:rsidR="006759B4" w:rsidRPr="00725086" w:rsidRDefault="006759B4" w:rsidP="006759B4">
      <w:pPr>
        <w:rPr>
          <w:color w:val="000000" w:themeColor="text1"/>
        </w:rPr>
      </w:pPr>
      <w:r w:rsidRPr="00725086">
        <w:rPr>
          <w:color w:val="000000" w:themeColor="text1"/>
        </w:rPr>
        <w:br w:type="page"/>
      </w:r>
    </w:p>
    <w:tbl>
      <w:tblPr>
        <w:tblW w:w="13084" w:type="dxa"/>
        <w:tblInd w:w="19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0"/>
        <w:gridCol w:w="1701"/>
        <w:gridCol w:w="1560"/>
        <w:gridCol w:w="2126"/>
        <w:gridCol w:w="2234"/>
        <w:gridCol w:w="2693"/>
      </w:tblGrid>
      <w:tr w:rsidR="00725086" w:rsidRPr="00725086" w:rsidTr="004022B6">
        <w:trPr>
          <w:trHeight w:val="190"/>
        </w:trPr>
        <w:tc>
          <w:tcPr>
            <w:tcW w:w="1308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ind w:rightChars="-352" w:right="-845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lang w:val="en-GB"/>
              </w:rPr>
              <w:lastRenderedPageBreak/>
              <w:t>Table S</w:t>
            </w:r>
            <w:r w:rsidR="004771FA" w:rsidRPr="00725086">
              <w:rPr>
                <w:color w:val="000000" w:themeColor="text1"/>
                <w:lang w:val="en-GB"/>
              </w:rPr>
              <w:t>4</w:t>
            </w:r>
            <w:r w:rsidRPr="00725086">
              <w:rPr>
                <w:color w:val="000000" w:themeColor="text1"/>
                <w:lang w:val="en-GB"/>
              </w:rPr>
              <w:t xml:space="preserve">. </w:t>
            </w:r>
            <w:r w:rsidRPr="00725086">
              <w:rPr>
                <w:rFonts w:eastAsia="Meiryo UI"/>
                <w:color w:val="000000" w:themeColor="text1"/>
                <w:lang w:val="en-GB"/>
              </w:rPr>
              <w:t>Effects</w:t>
            </w:r>
            <w:r w:rsidRPr="00725086">
              <w:rPr>
                <w:color w:val="000000" w:themeColor="text1"/>
                <w:lang w:val="en-GB"/>
              </w:rPr>
              <w:t xml:space="preserve"> of BMM and RCM interventions on preference and intention </w:t>
            </w:r>
            <w:r w:rsidRPr="00725086">
              <w:rPr>
                <w:rFonts w:eastAsia="Meiryo UI"/>
                <w:color w:val="000000" w:themeColor="text1"/>
                <w:lang w:val="en-GB"/>
              </w:rPr>
              <w:t>to seek</w:t>
            </w:r>
            <w:r w:rsidRPr="00725086">
              <w:rPr>
                <w:color w:val="000000" w:themeColor="text1"/>
                <w:lang w:val="en-GB"/>
              </w:rPr>
              <w:t xml:space="preserve"> help</w:t>
            </w:r>
          </w:p>
        </w:tc>
      </w:tr>
      <w:tr w:rsidR="00725086" w:rsidRPr="00725086" w:rsidTr="004022B6">
        <w:trPr>
          <w:trHeight w:val="1238"/>
        </w:trPr>
        <w:tc>
          <w:tcPr>
            <w:tcW w:w="2770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Biomedical 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 xml:space="preserve">messages 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video lecture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(BMM)</w:t>
            </w:r>
          </w:p>
          <w:p w:rsidR="006759B4" w:rsidRPr="00725086" w:rsidRDefault="006759B4" w:rsidP="004022B6">
            <w:pPr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Mean ± SD</w:t>
            </w:r>
          </w:p>
          <w:p w:rsidR="006759B4" w:rsidRPr="00725086" w:rsidRDefault="006759B4" w:rsidP="004022B6">
            <w:pPr>
              <w:rPr>
                <w:color w:val="000000" w:themeColor="text1"/>
                <w:sz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(Effect size)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a)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Recommended messages video lecture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(RCM)</w:t>
            </w:r>
          </w:p>
          <w:p w:rsidR="006759B4" w:rsidRPr="00725086" w:rsidRDefault="006759B4" w:rsidP="004022B6">
            <w:pPr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Mean ± SD</w:t>
            </w:r>
          </w:p>
          <w:p w:rsidR="006759B4" w:rsidRPr="00725086" w:rsidRDefault="006759B4" w:rsidP="004022B6">
            <w:pPr>
              <w:rPr>
                <w:color w:val="000000" w:themeColor="text1"/>
                <w:sz w:val="22"/>
                <w:u w:val="single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(Effect size)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vertAlign w:val="superscript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Main effect of Time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a)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Main effect of Group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vAlign w:val="center"/>
          </w:tcPr>
          <w:p w:rsidR="006759B4" w:rsidRPr="00725086" w:rsidRDefault="006759B4" w:rsidP="004022B6">
            <w:pPr>
              <w:ind w:right="-99"/>
              <w:rPr>
                <w:color w:val="000000" w:themeColor="text1"/>
                <w:sz w:val="22"/>
                <w:vertAlign w:val="superscript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Time x Group interaction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b)</w:t>
            </w:r>
          </w:p>
        </w:tc>
      </w:tr>
      <w:tr w:rsidR="00725086" w:rsidRPr="00725086" w:rsidTr="004022B6">
        <w:trPr>
          <w:trHeight w:val="519"/>
        </w:trPr>
        <w:tc>
          <w:tcPr>
            <w:tcW w:w="2770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vertAlign w:val="superscript"/>
                <w:lang w:val="en-GB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6759B4" w:rsidRPr="00725086" w:rsidRDefault="006759B4" w:rsidP="004022B6">
            <w:pPr>
              <w:rPr>
                <w:color w:val="000000" w:themeColor="text1"/>
                <w:sz w:val="22"/>
                <w:vertAlign w:val="superscript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B [95% CI]</w:t>
            </w:r>
          </w:p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value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B [95% CI]</w:t>
            </w:r>
          </w:p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value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FBFBF"/>
          </w:tcPr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B [95% CI]</w:t>
            </w:r>
          </w:p>
          <w:p w:rsidR="006759B4" w:rsidRPr="00725086" w:rsidRDefault="006759B4" w:rsidP="004022B6">
            <w:pPr>
              <w:jc w:val="center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value</w:t>
            </w:r>
          </w:p>
        </w:tc>
      </w:tr>
      <w:tr w:rsidR="00725086" w:rsidRPr="00725086" w:rsidTr="004022B6">
        <w:trPr>
          <w:trHeight w:val="309"/>
        </w:trPr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lang w:val="en-GB"/>
              </w:rPr>
              <w:t>Intention to seek-help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Baseline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3.76 ± 0.93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3.73 ± 0.89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–0.03 [–0.28, 0.23]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rFonts w:eastAsia="ＭＳ Ｐゴシック"/>
                <w:color w:val="000000" w:themeColor="text1"/>
                <w:sz w:val="22"/>
                <w:lang w:val="en-GB"/>
              </w:rPr>
              <w:t xml:space="preserve"> Post-test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3.98 ± 0.94 (0.23)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4.09 ± 0.87 (0.41)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0.22 [0.07, 0.37]</w:t>
            </w:r>
          </w:p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p &lt; .01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0.14 [–0.07, 0.35]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.20</w:t>
            </w: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ind w:firstLineChars="50" w:firstLine="110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1-month follow-up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3.79 ± 0.90 (0.03)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3.70 ± 0.94 (0.03)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0.12 [–0.05, 0.29]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= .17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–0.15 [–0.39, 0.91]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.22</w:t>
            </w: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1-year follow-up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3.88 ± 0.92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(0.13)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3.85 ± 1.03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(0.12)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0.13 [–0.09, 0.36]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= .25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0.04 [–0.29, 0.36]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.83</w:t>
            </w:r>
          </w:p>
        </w:tc>
      </w:tr>
      <w:tr w:rsidR="00725086" w:rsidRPr="00725086" w:rsidTr="004022B6">
        <w:trPr>
          <w:trHeight w:val="409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lang w:val="en-GB"/>
              </w:rPr>
              <w:t>Intention to disclose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Baseline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3.12 ± 1.55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2.97 ± 1.59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  <w:tc>
          <w:tcPr>
            <w:tcW w:w="2234" w:type="dxa"/>
            <w:vMerge w:val="restart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–0.16 [–0.60, 0.28]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 (ref)</w:t>
            </w:r>
          </w:p>
        </w:tc>
      </w:tr>
      <w:tr w:rsidR="00725086" w:rsidRPr="00725086" w:rsidTr="004022B6">
        <w:trPr>
          <w:trHeight w:val="758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rFonts w:eastAsia="ＭＳ Ｐゴシック"/>
                <w:color w:val="000000" w:themeColor="text1"/>
                <w:sz w:val="22"/>
                <w:lang w:val="en-GB"/>
              </w:rPr>
              <w:t xml:space="preserve"> Post-test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3.31 ± 1.61 (0.12)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3.47 ± 1.62 (0.31)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0.19 [–0.02, 0.40]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= .08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0.32 [0.02, 0.62]</w:t>
            </w:r>
            <w:r w:rsidRPr="00725086">
              <w:rPr>
                <w:b/>
                <w:color w:val="000000" w:themeColor="text1"/>
                <w:sz w:val="22"/>
                <w:lang w:val="en-GB"/>
              </w:rPr>
              <w:br/>
              <w:t>p &lt; .05</w:t>
            </w: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ind w:firstLineChars="50" w:firstLine="110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1-month follow-up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3.39 ± 1.49 (0.18)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3.26 ± 1.63 (0.18)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0.33 [0.04, 0.63]</w:t>
            </w:r>
          </w:p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b/>
                <w:color w:val="000000" w:themeColor="text1"/>
                <w:sz w:val="22"/>
                <w:lang w:val="en-GB"/>
              </w:rPr>
              <w:t>p &lt; .05</w:t>
            </w:r>
          </w:p>
        </w:tc>
        <w:tc>
          <w:tcPr>
            <w:tcW w:w="2234" w:type="dxa"/>
            <w:vMerge/>
            <w:tcBorders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–0.01 [–0.43, 0.41]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.97</w:t>
            </w:r>
          </w:p>
        </w:tc>
      </w:tr>
      <w:tr w:rsidR="00725086" w:rsidRPr="00725086" w:rsidTr="004022B6">
        <w:trPr>
          <w:trHeight w:val="340"/>
        </w:trPr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 1-year follow-up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3.14 ± 1.55</w:t>
            </w:r>
          </w:p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(0.01)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3.16 ± 1.67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(0.12)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-0.01 [–0.40, 0.37]</w:t>
            </w:r>
          </w:p>
          <w:p w:rsidR="006759B4" w:rsidRPr="00725086" w:rsidRDefault="006759B4" w:rsidP="004022B6">
            <w:pPr>
              <w:spacing w:line="0" w:lineRule="atLeast"/>
              <w:rPr>
                <w:b/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p = .95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>0.18 [–0.38, 0.75]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p = .52</w:t>
            </w:r>
          </w:p>
        </w:tc>
      </w:tr>
      <w:tr w:rsidR="006759B4" w:rsidRPr="00725086" w:rsidTr="004022B6">
        <w:trPr>
          <w:trHeight w:val="340"/>
        </w:trPr>
        <w:tc>
          <w:tcPr>
            <w:tcW w:w="1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9B4" w:rsidRPr="00725086" w:rsidRDefault="006759B4" w:rsidP="004022B6">
            <w:pPr>
              <w:spacing w:line="0" w:lineRule="atLeast"/>
              <w:rPr>
                <w:color w:val="000000" w:themeColor="text1"/>
                <w:sz w:val="22"/>
                <w:lang w:val="en-GB"/>
              </w:rPr>
            </w:pPr>
            <w:r w:rsidRPr="00725086">
              <w:rPr>
                <w:color w:val="000000" w:themeColor="text1"/>
                <w:sz w:val="22"/>
                <w:lang w:val="en-GB"/>
              </w:rPr>
              <w:t xml:space="preserve">B: Non-standardized regression coefficients; SD: Standard deviation; CI: confidence interval; ref: Reference; 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a: Cohen’s d, d = (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M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Timet</w:t>
            </w:r>
            <w:r w:rsidRPr="00725086">
              <w:rPr>
                <w:color w:val="000000" w:themeColor="text1"/>
                <w:sz w:val="22"/>
                <w:lang w:val="en-GB"/>
              </w:rPr>
              <w:t> – 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M</w:t>
            </w:r>
            <w:r w:rsidRPr="00725086">
              <w:rPr>
                <w:i/>
                <w:color w:val="000000" w:themeColor="text1"/>
                <w:sz w:val="22"/>
                <w:vertAlign w:val="subscript"/>
                <w:lang w:val="en-GB"/>
              </w:rPr>
              <w:t>Time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0</w:t>
            </w:r>
            <w:r w:rsidRPr="00725086">
              <w:rPr>
                <w:color w:val="000000" w:themeColor="text1"/>
                <w:sz w:val="22"/>
                <w:lang w:val="en-GB"/>
              </w:rPr>
              <w:t>) ⁄ 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 xml:space="preserve">pooled, 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pooled</w:t>
            </w:r>
            <w:r w:rsidRPr="00725086">
              <w:rPr>
                <w:color w:val="000000" w:themeColor="text1"/>
                <w:sz w:val="22"/>
                <w:lang w:val="en-GB"/>
              </w:rPr>
              <w:t> = √((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Timet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2</w:t>
            </w:r>
            <w:r w:rsidRPr="00725086">
              <w:rPr>
                <w:color w:val="000000" w:themeColor="text1"/>
                <w:sz w:val="22"/>
                <w:lang w:val="en-GB"/>
              </w:rPr>
              <w:t> + </w:t>
            </w:r>
            <w:r w:rsidRPr="00725086">
              <w:rPr>
                <w:i/>
                <w:color w:val="000000" w:themeColor="text1"/>
                <w:sz w:val="22"/>
                <w:lang w:val="en-GB"/>
              </w:rPr>
              <w:t>SD</w:t>
            </w:r>
            <w:r w:rsidRPr="00725086">
              <w:rPr>
                <w:color w:val="000000" w:themeColor="text1"/>
                <w:sz w:val="22"/>
                <w:vertAlign w:val="subscript"/>
                <w:lang w:val="en-GB"/>
              </w:rPr>
              <w:t>Time0</w:t>
            </w:r>
            <w:r w:rsidRPr="00725086">
              <w:rPr>
                <w:color w:val="000000" w:themeColor="text1"/>
                <w:sz w:val="22"/>
                <w:vertAlign w:val="superscript"/>
                <w:lang w:val="en-GB"/>
              </w:rPr>
              <w:t>2</w:t>
            </w:r>
            <w:r w:rsidRPr="00725086">
              <w:rPr>
                <w:color w:val="000000" w:themeColor="text1"/>
                <w:sz w:val="22"/>
                <w:lang w:val="en-GB"/>
              </w:rPr>
              <w:t xml:space="preserve">) ⁄ 2), </w:t>
            </w:r>
            <w:r w:rsidRPr="00725086">
              <w:rPr>
                <w:rFonts w:eastAsia="Times New Roman"/>
                <w:color w:val="000000" w:themeColor="text1"/>
                <w:sz w:val="22"/>
                <w:lang w:val="en-GB"/>
              </w:rPr>
              <w:t>Time</w:t>
            </w:r>
            <w:r w:rsidRPr="00725086">
              <w:rPr>
                <w:color w:val="000000" w:themeColor="text1"/>
                <w:sz w:val="22"/>
                <w:lang w:val="en-GB"/>
              </w:rPr>
              <w:t>t = 1 (post</w:t>
            </w:r>
            <w:r w:rsidRPr="00725086">
              <w:rPr>
                <w:rFonts w:eastAsia="Times New Roman"/>
                <w:color w:val="000000" w:themeColor="text1"/>
                <w:sz w:val="22"/>
                <w:lang w:val="en-GB"/>
              </w:rPr>
              <w:t>-test</w:t>
            </w:r>
            <w:r w:rsidRPr="00725086">
              <w:rPr>
                <w:color w:val="000000" w:themeColor="text1"/>
                <w:sz w:val="22"/>
                <w:lang w:val="en-GB"/>
              </w:rPr>
              <w:t xml:space="preserve"> survey), 2 (1-month follow-up surve</w:t>
            </w:r>
            <w:r w:rsidRPr="00725086">
              <w:rPr>
                <w:rFonts w:eastAsia="ＭＳ Ｐゴシック"/>
                <w:color w:val="000000" w:themeColor="text1"/>
                <w:sz w:val="22"/>
                <w:lang w:val="en-GB"/>
              </w:rPr>
              <w:t>y</w:t>
            </w:r>
            <w:r w:rsidRPr="00725086">
              <w:rPr>
                <w:color w:val="000000" w:themeColor="text1"/>
                <w:sz w:val="22"/>
                <w:lang w:val="en-GB"/>
              </w:rPr>
              <w:t xml:space="preserve">), </w:t>
            </w:r>
            <w:r w:rsidRPr="00725086">
              <w:rPr>
                <w:color w:val="000000" w:themeColor="text1"/>
                <w:sz w:val="22"/>
                <w:lang w:val="en-GB"/>
              </w:rPr>
              <w:br/>
              <w:t>or 3 (1-year follow-up survey); b: Reference group is BMM group</w:t>
            </w:r>
          </w:p>
        </w:tc>
      </w:tr>
    </w:tbl>
    <w:p w:rsidR="006759B4" w:rsidRPr="00725086" w:rsidRDefault="006759B4" w:rsidP="006759B4">
      <w:pPr>
        <w:rPr>
          <w:color w:val="000000" w:themeColor="text1"/>
        </w:rPr>
      </w:pPr>
    </w:p>
    <w:p w:rsidR="006759B4" w:rsidRPr="00725086" w:rsidRDefault="006759B4" w:rsidP="006759B4">
      <w:pPr>
        <w:rPr>
          <w:color w:val="000000" w:themeColor="text1"/>
        </w:rPr>
      </w:pPr>
    </w:p>
    <w:sectPr w:rsidR="006759B4" w:rsidRPr="00725086" w:rsidSect="006759B4"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A7B62"/>
    <w:multiLevelType w:val="hybridMultilevel"/>
    <w:tmpl w:val="A7A27844"/>
    <w:lvl w:ilvl="0" w:tplc="F26E16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B4"/>
    <w:rsid w:val="00067980"/>
    <w:rsid w:val="000F31EF"/>
    <w:rsid w:val="00217CCF"/>
    <w:rsid w:val="00236195"/>
    <w:rsid w:val="0027262D"/>
    <w:rsid w:val="00274CC4"/>
    <w:rsid w:val="00290A18"/>
    <w:rsid w:val="00381BF1"/>
    <w:rsid w:val="00384B41"/>
    <w:rsid w:val="004771FA"/>
    <w:rsid w:val="00503E13"/>
    <w:rsid w:val="006759B4"/>
    <w:rsid w:val="00725086"/>
    <w:rsid w:val="00747846"/>
    <w:rsid w:val="00762295"/>
    <w:rsid w:val="007C4E9A"/>
    <w:rsid w:val="008764E9"/>
    <w:rsid w:val="00877AA2"/>
    <w:rsid w:val="008E594D"/>
    <w:rsid w:val="00A14D31"/>
    <w:rsid w:val="00A54107"/>
    <w:rsid w:val="00B327FF"/>
    <w:rsid w:val="00B71CCD"/>
    <w:rsid w:val="00B82CA0"/>
    <w:rsid w:val="00C06F8C"/>
    <w:rsid w:val="00C9641F"/>
    <w:rsid w:val="00CE3B91"/>
    <w:rsid w:val="00D11E3E"/>
    <w:rsid w:val="00D12D90"/>
    <w:rsid w:val="00E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5D9F6-FD29-8644-A505-2520059F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9B4"/>
    <w:rPr>
      <w:rFonts w:ascii="Times New Roman" w:eastAsia="游明朝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59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小塩 靖崇</dc:creator>
  <cp:keywords/>
  <dc:description/>
  <cp:lastModifiedBy>小塩 靖崇</cp:lastModifiedBy>
  <cp:revision>19</cp:revision>
  <dcterms:created xsi:type="dcterms:W3CDTF">2019-08-29T06:16:00Z</dcterms:created>
  <dcterms:modified xsi:type="dcterms:W3CDTF">2019-10-01T05:07:00Z</dcterms:modified>
</cp:coreProperties>
</file>