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00506" w14:textId="77777777" w:rsidR="00DD0B82" w:rsidRDefault="00DD0B82" w:rsidP="00DD0B82">
      <w:pPr>
        <w:pStyle w:val="Heading2"/>
      </w:pPr>
      <w:r>
        <w:t>Supplementary material</w:t>
      </w:r>
    </w:p>
    <w:p w14:paraId="750D8840" w14:textId="77777777" w:rsidR="00DD0B82" w:rsidRPr="00B449EA" w:rsidRDefault="00DD0B82" w:rsidP="00DD0B82">
      <w:r w:rsidRPr="00942DCE">
        <w:rPr>
          <w:b/>
        </w:rPr>
        <w:t>Table 4.</w:t>
      </w:r>
      <w:r w:rsidRPr="00942DCE">
        <w:t xml:space="preserve"> Sub</w:t>
      </w:r>
      <w:r w:rsidRPr="009A301B">
        <w:t xml:space="preserve">-group analysis for distance to depression treatment provider and odds of treatment-seeking for adults with probable depression (n=568) in </w:t>
      </w:r>
      <w:proofErr w:type="spellStart"/>
      <w:r w:rsidRPr="009A301B">
        <w:t>Sehore</w:t>
      </w:r>
      <w:proofErr w:type="spellEnd"/>
      <w:r w:rsidRPr="009A301B">
        <w:t xml:space="preserve"> sub-district, Madhya Pradesh, India, 2013-2017.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2"/>
        <w:gridCol w:w="1923"/>
        <w:gridCol w:w="1512"/>
        <w:gridCol w:w="1771"/>
      </w:tblGrid>
      <w:tr w:rsidR="00DD0B82" w14:paraId="74609EDB" w14:textId="77777777" w:rsidTr="00145DFE">
        <w:trPr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D9F" w14:textId="77777777" w:rsidR="00DD0B82" w:rsidRDefault="00DD0B82" w:rsidP="00145DFE">
            <w:pPr>
              <w:pStyle w:val="NoSpacing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B5AB" w14:textId="77777777" w:rsidR="00DD0B82" w:rsidRDefault="00DD0B82" w:rsidP="00145DFE">
            <w:pPr>
              <w:pStyle w:val="NoSpacing"/>
            </w:pPr>
            <w:r>
              <w:rPr>
                <w:b/>
              </w:rPr>
              <w:t xml:space="preserve">Adjusted </w:t>
            </w:r>
            <w:r w:rsidRPr="0068443F">
              <w:rPr>
                <w:b/>
              </w:rPr>
              <w:t>OR (95% CI)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30D7" w14:textId="77777777" w:rsidR="00DD0B82" w:rsidRDefault="00DD0B82" w:rsidP="00145DFE">
            <w:pPr>
              <w:pStyle w:val="NoSpacing"/>
            </w:pPr>
            <w:r>
              <w:rPr>
                <w:b/>
              </w:rPr>
              <w:t xml:space="preserve">Stratum-specific P-value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B280" w14:textId="77777777" w:rsidR="00DD0B82" w:rsidRDefault="00DD0B82" w:rsidP="00145DFE">
            <w:pPr>
              <w:pStyle w:val="NoSpacing"/>
              <w:rPr>
                <w:b/>
              </w:rPr>
            </w:pPr>
            <w:r>
              <w:rPr>
                <w:b/>
              </w:rPr>
              <w:t>Wald P-value for interaction terms</w:t>
            </w:r>
          </w:p>
        </w:tc>
      </w:tr>
      <w:tr w:rsidR="00DD0B82" w14:paraId="5F9DFA52" w14:textId="77777777" w:rsidTr="00145DFE">
        <w:trPr>
          <w:jc w:val="center"/>
        </w:trPr>
        <w:tc>
          <w:tcPr>
            <w:tcW w:w="6417" w:type="dxa"/>
            <w:gridSpan w:val="3"/>
          </w:tcPr>
          <w:p w14:paraId="39BB26E7" w14:textId="77777777" w:rsidR="00DD0B82" w:rsidRDefault="00DD0B82" w:rsidP="00145DFE">
            <w:pPr>
              <w:pStyle w:val="NoSpacing"/>
            </w:pPr>
            <w:r>
              <w:rPr>
                <w:i/>
              </w:rPr>
              <w:t>Caste</w:t>
            </w:r>
          </w:p>
        </w:tc>
        <w:tc>
          <w:tcPr>
            <w:tcW w:w="1771" w:type="dxa"/>
            <w:vMerge w:val="restart"/>
          </w:tcPr>
          <w:p w14:paraId="5BD042C2" w14:textId="77777777" w:rsidR="00DD0B82" w:rsidRDefault="00DD0B82" w:rsidP="00145DFE">
            <w:pPr>
              <w:pStyle w:val="NoSpacing"/>
            </w:pPr>
            <w:r>
              <w:t>0.02</w:t>
            </w:r>
          </w:p>
        </w:tc>
      </w:tr>
      <w:tr w:rsidR="00DD0B82" w14:paraId="76637202" w14:textId="77777777" w:rsidTr="00145DFE">
        <w:trPr>
          <w:jc w:val="center"/>
        </w:trPr>
        <w:tc>
          <w:tcPr>
            <w:tcW w:w="2982" w:type="dxa"/>
          </w:tcPr>
          <w:p w14:paraId="4A990091" w14:textId="77777777" w:rsidR="00DD0B82" w:rsidRPr="007C1314" w:rsidRDefault="00DD0B82" w:rsidP="00145DFE">
            <w:pPr>
              <w:pStyle w:val="NoSpacing"/>
              <w:jc w:val="right"/>
            </w:pPr>
            <w:r w:rsidRPr="007C1314">
              <w:t>Scheduled castes</w:t>
            </w:r>
          </w:p>
        </w:tc>
        <w:tc>
          <w:tcPr>
            <w:tcW w:w="1923" w:type="dxa"/>
          </w:tcPr>
          <w:p w14:paraId="6AB7A047" w14:textId="77777777" w:rsidR="00DD0B82" w:rsidRPr="00AC6D41" w:rsidRDefault="00DD0B82" w:rsidP="00145DFE">
            <w:pPr>
              <w:pStyle w:val="NoSpacing"/>
            </w:pPr>
            <w:r>
              <w:t>1.04 (1.01-1.06)</w:t>
            </w:r>
          </w:p>
        </w:tc>
        <w:tc>
          <w:tcPr>
            <w:tcW w:w="1512" w:type="dxa"/>
          </w:tcPr>
          <w:p w14:paraId="218CA953" w14:textId="77777777" w:rsidR="00DD0B82" w:rsidRPr="00AC6D41" w:rsidRDefault="00DD0B82" w:rsidP="00145DFE">
            <w:pPr>
              <w:pStyle w:val="NoSpacing"/>
            </w:pPr>
            <w:r>
              <w:t>&lt;0.01</w:t>
            </w:r>
          </w:p>
        </w:tc>
        <w:tc>
          <w:tcPr>
            <w:tcW w:w="1771" w:type="dxa"/>
            <w:vMerge/>
          </w:tcPr>
          <w:p w14:paraId="2C488D5A" w14:textId="77777777" w:rsidR="00DD0B82" w:rsidRDefault="00DD0B82" w:rsidP="00145DFE">
            <w:pPr>
              <w:pStyle w:val="NoSpacing"/>
            </w:pPr>
          </w:p>
        </w:tc>
      </w:tr>
      <w:tr w:rsidR="00DD0B82" w14:paraId="7FAB79B2" w14:textId="77777777" w:rsidTr="00145DFE">
        <w:trPr>
          <w:jc w:val="center"/>
        </w:trPr>
        <w:tc>
          <w:tcPr>
            <w:tcW w:w="2982" w:type="dxa"/>
          </w:tcPr>
          <w:p w14:paraId="6019BF65" w14:textId="77777777" w:rsidR="00DD0B82" w:rsidRPr="007C1314" w:rsidRDefault="00DD0B82" w:rsidP="00145DFE">
            <w:pPr>
              <w:pStyle w:val="NoSpacing"/>
              <w:jc w:val="right"/>
            </w:pPr>
            <w:r w:rsidRPr="007C1314">
              <w:t>Scheduled tribes</w:t>
            </w:r>
          </w:p>
        </w:tc>
        <w:tc>
          <w:tcPr>
            <w:tcW w:w="1923" w:type="dxa"/>
          </w:tcPr>
          <w:p w14:paraId="56D06B85" w14:textId="77777777" w:rsidR="00DD0B82" w:rsidRPr="00AC6D41" w:rsidRDefault="00DD0B82" w:rsidP="00145DFE">
            <w:pPr>
              <w:pStyle w:val="NoSpacing"/>
            </w:pPr>
            <w:r>
              <w:t>0.98 (0.90-1.06)</w:t>
            </w:r>
          </w:p>
        </w:tc>
        <w:tc>
          <w:tcPr>
            <w:tcW w:w="1512" w:type="dxa"/>
          </w:tcPr>
          <w:p w14:paraId="14B9A164" w14:textId="77777777" w:rsidR="00DD0B82" w:rsidRPr="00AC6D41" w:rsidRDefault="00DD0B82" w:rsidP="00145DFE">
            <w:pPr>
              <w:pStyle w:val="NoSpacing"/>
            </w:pPr>
            <w:r>
              <w:t>0.54</w:t>
            </w:r>
          </w:p>
        </w:tc>
        <w:tc>
          <w:tcPr>
            <w:tcW w:w="1771" w:type="dxa"/>
            <w:vMerge/>
          </w:tcPr>
          <w:p w14:paraId="3071252A" w14:textId="77777777" w:rsidR="00DD0B82" w:rsidRDefault="00DD0B82" w:rsidP="00145DFE">
            <w:pPr>
              <w:pStyle w:val="NoSpacing"/>
            </w:pPr>
          </w:p>
        </w:tc>
      </w:tr>
      <w:tr w:rsidR="00DD0B82" w14:paraId="319ED293" w14:textId="77777777" w:rsidTr="00145DFE">
        <w:trPr>
          <w:jc w:val="center"/>
        </w:trPr>
        <w:tc>
          <w:tcPr>
            <w:tcW w:w="2982" w:type="dxa"/>
          </w:tcPr>
          <w:p w14:paraId="70689FC4" w14:textId="77777777" w:rsidR="00DD0B82" w:rsidRPr="007C1314" w:rsidRDefault="00DD0B82" w:rsidP="00145DFE">
            <w:pPr>
              <w:pStyle w:val="NoSpacing"/>
              <w:jc w:val="right"/>
            </w:pPr>
            <w:r>
              <w:t>Other backward castes</w:t>
            </w:r>
          </w:p>
        </w:tc>
        <w:tc>
          <w:tcPr>
            <w:tcW w:w="1923" w:type="dxa"/>
          </w:tcPr>
          <w:p w14:paraId="78C61703" w14:textId="77777777" w:rsidR="00DD0B82" w:rsidRPr="00AC6D41" w:rsidRDefault="00DD0B82" w:rsidP="00145DFE">
            <w:pPr>
              <w:pStyle w:val="NoSpacing"/>
            </w:pPr>
            <w:r>
              <w:t>0.98 (0.96-1.01)</w:t>
            </w:r>
          </w:p>
        </w:tc>
        <w:tc>
          <w:tcPr>
            <w:tcW w:w="1512" w:type="dxa"/>
          </w:tcPr>
          <w:p w14:paraId="626DD52F" w14:textId="77777777" w:rsidR="00DD0B82" w:rsidRPr="00AC6D41" w:rsidRDefault="00DD0B82" w:rsidP="00145DFE">
            <w:pPr>
              <w:pStyle w:val="NoSpacing"/>
            </w:pPr>
            <w:r>
              <w:t>0.15</w:t>
            </w:r>
          </w:p>
        </w:tc>
        <w:tc>
          <w:tcPr>
            <w:tcW w:w="1771" w:type="dxa"/>
            <w:vMerge/>
          </w:tcPr>
          <w:p w14:paraId="2A985919" w14:textId="77777777" w:rsidR="00DD0B82" w:rsidRDefault="00DD0B82" w:rsidP="00145DFE">
            <w:pPr>
              <w:pStyle w:val="NoSpacing"/>
            </w:pPr>
          </w:p>
        </w:tc>
      </w:tr>
      <w:tr w:rsidR="00DD0B82" w14:paraId="6CD223C9" w14:textId="77777777" w:rsidTr="00145DFE">
        <w:trPr>
          <w:jc w:val="center"/>
        </w:trPr>
        <w:tc>
          <w:tcPr>
            <w:tcW w:w="2982" w:type="dxa"/>
          </w:tcPr>
          <w:p w14:paraId="3501179C" w14:textId="77777777" w:rsidR="00DD0B82" w:rsidRPr="007C1314" w:rsidRDefault="00DD0B82" w:rsidP="00145DFE">
            <w:pPr>
              <w:pStyle w:val="NoSpacing"/>
              <w:jc w:val="right"/>
            </w:pPr>
            <w:r>
              <w:t>General castes</w:t>
            </w:r>
          </w:p>
        </w:tc>
        <w:tc>
          <w:tcPr>
            <w:tcW w:w="1923" w:type="dxa"/>
          </w:tcPr>
          <w:p w14:paraId="05F39D15" w14:textId="77777777" w:rsidR="00DD0B82" w:rsidRPr="00AC6D41" w:rsidRDefault="00DD0B82" w:rsidP="00145DFE">
            <w:pPr>
              <w:pStyle w:val="NoSpacing"/>
            </w:pPr>
            <w:r>
              <w:t>1.00 (0.97-1.04)</w:t>
            </w:r>
          </w:p>
        </w:tc>
        <w:tc>
          <w:tcPr>
            <w:tcW w:w="1512" w:type="dxa"/>
          </w:tcPr>
          <w:p w14:paraId="6DDDE733" w14:textId="77777777" w:rsidR="00DD0B82" w:rsidRPr="00AC6D41" w:rsidRDefault="00DD0B82" w:rsidP="00145DFE">
            <w:pPr>
              <w:pStyle w:val="NoSpacing"/>
            </w:pPr>
            <w:r>
              <w:t>0.87</w:t>
            </w:r>
          </w:p>
        </w:tc>
        <w:tc>
          <w:tcPr>
            <w:tcW w:w="1771" w:type="dxa"/>
            <w:vMerge/>
          </w:tcPr>
          <w:p w14:paraId="74FB6EAF" w14:textId="77777777" w:rsidR="00DD0B82" w:rsidRDefault="00DD0B82" w:rsidP="00145DFE">
            <w:pPr>
              <w:pStyle w:val="NoSpacing"/>
            </w:pPr>
          </w:p>
        </w:tc>
      </w:tr>
      <w:tr w:rsidR="00DD0B82" w14:paraId="3F37CBCE" w14:textId="77777777" w:rsidTr="00145DFE">
        <w:trPr>
          <w:jc w:val="center"/>
        </w:trPr>
        <w:tc>
          <w:tcPr>
            <w:tcW w:w="6417" w:type="dxa"/>
            <w:gridSpan w:val="3"/>
          </w:tcPr>
          <w:p w14:paraId="54B3CBBB" w14:textId="77777777" w:rsidR="00DD0B82" w:rsidRPr="00147EA4" w:rsidRDefault="00DD0B82" w:rsidP="00145DFE">
            <w:pPr>
              <w:pStyle w:val="NoSpacing"/>
            </w:pPr>
            <w:r>
              <w:rPr>
                <w:i/>
              </w:rPr>
              <w:t>Employment status</w:t>
            </w:r>
          </w:p>
        </w:tc>
        <w:tc>
          <w:tcPr>
            <w:tcW w:w="1771" w:type="dxa"/>
            <w:vMerge w:val="restart"/>
          </w:tcPr>
          <w:p w14:paraId="109BAC90" w14:textId="77777777" w:rsidR="00DD0B82" w:rsidRDefault="00DD0B82" w:rsidP="00145DFE">
            <w:pPr>
              <w:pStyle w:val="NoSpacing"/>
            </w:pPr>
            <w:r>
              <w:t>0.03</w:t>
            </w:r>
          </w:p>
        </w:tc>
      </w:tr>
      <w:tr w:rsidR="00DD0B82" w14:paraId="77CE8600" w14:textId="77777777" w:rsidTr="00145DFE">
        <w:trPr>
          <w:jc w:val="center"/>
        </w:trPr>
        <w:tc>
          <w:tcPr>
            <w:tcW w:w="2982" w:type="dxa"/>
          </w:tcPr>
          <w:p w14:paraId="5A928037" w14:textId="77777777" w:rsidR="00DD0B82" w:rsidRDefault="00DD0B82" w:rsidP="00145DFE">
            <w:pPr>
              <w:pStyle w:val="NoSpacing"/>
              <w:jc w:val="right"/>
            </w:pPr>
            <w:r w:rsidRPr="000770D8">
              <w:rPr>
                <w:lang w:eastAsia="en-GB"/>
              </w:rPr>
              <w:t>Unemployed</w:t>
            </w:r>
          </w:p>
        </w:tc>
        <w:tc>
          <w:tcPr>
            <w:tcW w:w="1923" w:type="dxa"/>
          </w:tcPr>
          <w:p w14:paraId="414DAAC7" w14:textId="77777777" w:rsidR="00DD0B82" w:rsidRPr="00147EA4" w:rsidRDefault="00DD0B82" w:rsidP="00145DFE">
            <w:pPr>
              <w:pStyle w:val="NoSpacing"/>
            </w:pPr>
            <w:r>
              <w:t>0</w:t>
            </w:r>
            <w:r w:rsidRPr="00762195">
              <w:t>.73</w:t>
            </w:r>
            <w:r>
              <w:t xml:space="preserve"> (0.60-0.90)</w:t>
            </w:r>
          </w:p>
        </w:tc>
        <w:tc>
          <w:tcPr>
            <w:tcW w:w="1512" w:type="dxa"/>
          </w:tcPr>
          <w:p w14:paraId="5B9D643D" w14:textId="77777777" w:rsidR="00DD0B82" w:rsidRPr="00147EA4" w:rsidRDefault="00DD0B82" w:rsidP="00145DFE">
            <w:pPr>
              <w:pStyle w:val="NoSpacing"/>
            </w:pPr>
            <w:r>
              <w:t>&lt;0.01</w:t>
            </w:r>
          </w:p>
        </w:tc>
        <w:tc>
          <w:tcPr>
            <w:tcW w:w="1771" w:type="dxa"/>
            <w:vMerge/>
          </w:tcPr>
          <w:p w14:paraId="401B7118" w14:textId="77777777" w:rsidR="00DD0B82" w:rsidRDefault="00DD0B82" w:rsidP="00145DFE">
            <w:pPr>
              <w:pStyle w:val="NoSpacing"/>
            </w:pPr>
          </w:p>
        </w:tc>
      </w:tr>
      <w:tr w:rsidR="00DD0B82" w14:paraId="41C18A6C" w14:textId="77777777" w:rsidTr="00145DFE">
        <w:trPr>
          <w:jc w:val="center"/>
        </w:trPr>
        <w:tc>
          <w:tcPr>
            <w:tcW w:w="2982" w:type="dxa"/>
          </w:tcPr>
          <w:p w14:paraId="48F79780" w14:textId="77777777" w:rsidR="00DD0B82" w:rsidRDefault="00DD0B82" w:rsidP="00145DFE">
            <w:pPr>
              <w:pStyle w:val="NoSpacing"/>
              <w:jc w:val="right"/>
            </w:pPr>
            <w:r w:rsidRPr="000770D8">
              <w:rPr>
                <w:lang w:eastAsia="en-GB"/>
              </w:rPr>
              <w:t>Productive</w:t>
            </w:r>
            <w:r>
              <w:rPr>
                <w:lang w:eastAsia="en-GB"/>
              </w:rPr>
              <w:t xml:space="preserve"> no income </w:t>
            </w:r>
          </w:p>
        </w:tc>
        <w:tc>
          <w:tcPr>
            <w:tcW w:w="1923" w:type="dxa"/>
          </w:tcPr>
          <w:p w14:paraId="5D7BD9BF" w14:textId="77777777" w:rsidR="00DD0B82" w:rsidRPr="00147EA4" w:rsidRDefault="00DD0B82" w:rsidP="00145DFE">
            <w:pPr>
              <w:pStyle w:val="NoSpacing"/>
            </w:pPr>
            <w:r>
              <w:t>1.00 (0.98-1.02)</w:t>
            </w:r>
          </w:p>
        </w:tc>
        <w:tc>
          <w:tcPr>
            <w:tcW w:w="1512" w:type="dxa"/>
          </w:tcPr>
          <w:p w14:paraId="735D62D4" w14:textId="77777777" w:rsidR="00DD0B82" w:rsidRPr="00147EA4" w:rsidRDefault="00DD0B82" w:rsidP="00145DFE">
            <w:pPr>
              <w:pStyle w:val="NoSpacing"/>
            </w:pPr>
            <w:r>
              <w:t>0.95</w:t>
            </w:r>
          </w:p>
        </w:tc>
        <w:tc>
          <w:tcPr>
            <w:tcW w:w="1771" w:type="dxa"/>
            <w:vMerge/>
          </w:tcPr>
          <w:p w14:paraId="60A5552D" w14:textId="77777777" w:rsidR="00DD0B82" w:rsidRDefault="00DD0B82" w:rsidP="00145DFE">
            <w:pPr>
              <w:pStyle w:val="NoSpacing"/>
            </w:pPr>
          </w:p>
        </w:tc>
      </w:tr>
      <w:tr w:rsidR="00DD0B82" w14:paraId="6CF882EC" w14:textId="77777777" w:rsidTr="00145DFE">
        <w:trPr>
          <w:jc w:val="center"/>
        </w:trPr>
        <w:tc>
          <w:tcPr>
            <w:tcW w:w="2982" w:type="dxa"/>
          </w:tcPr>
          <w:p w14:paraId="38E81A5D" w14:textId="77777777" w:rsidR="00DD0B82" w:rsidRDefault="00DD0B82" w:rsidP="00145DFE">
            <w:pPr>
              <w:pStyle w:val="NoSpacing"/>
              <w:jc w:val="right"/>
            </w:pPr>
            <w:r w:rsidRPr="000770D8">
              <w:rPr>
                <w:lang w:eastAsia="en-GB"/>
              </w:rPr>
              <w:t>Low income</w:t>
            </w:r>
          </w:p>
        </w:tc>
        <w:tc>
          <w:tcPr>
            <w:tcW w:w="1923" w:type="dxa"/>
          </w:tcPr>
          <w:p w14:paraId="3B48466A" w14:textId="77777777" w:rsidR="00DD0B82" w:rsidRPr="00147EA4" w:rsidRDefault="00DD0B82" w:rsidP="00145DFE">
            <w:pPr>
              <w:pStyle w:val="NoSpacing"/>
            </w:pPr>
            <w:r>
              <w:t>1.01 (0.99-1.02)</w:t>
            </w:r>
          </w:p>
        </w:tc>
        <w:tc>
          <w:tcPr>
            <w:tcW w:w="1512" w:type="dxa"/>
          </w:tcPr>
          <w:p w14:paraId="5EC2282C" w14:textId="77777777" w:rsidR="00DD0B82" w:rsidRPr="00147EA4" w:rsidRDefault="00DD0B82" w:rsidP="00145DFE">
            <w:pPr>
              <w:pStyle w:val="NoSpacing"/>
            </w:pPr>
            <w:r>
              <w:t>0.59</w:t>
            </w:r>
          </w:p>
        </w:tc>
        <w:tc>
          <w:tcPr>
            <w:tcW w:w="1771" w:type="dxa"/>
            <w:vMerge/>
          </w:tcPr>
          <w:p w14:paraId="598C0DC1" w14:textId="77777777" w:rsidR="00DD0B82" w:rsidRDefault="00DD0B82" w:rsidP="00145DFE">
            <w:pPr>
              <w:pStyle w:val="NoSpacing"/>
            </w:pPr>
          </w:p>
        </w:tc>
      </w:tr>
      <w:tr w:rsidR="00DD0B82" w14:paraId="7AF4D723" w14:textId="77777777" w:rsidTr="00145DFE">
        <w:trPr>
          <w:jc w:val="center"/>
        </w:trPr>
        <w:tc>
          <w:tcPr>
            <w:tcW w:w="2982" w:type="dxa"/>
          </w:tcPr>
          <w:p w14:paraId="14C38176" w14:textId="77777777" w:rsidR="00DD0B82" w:rsidRDefault="00DD0B82" w:rsidP="00145DFE">
            <w:pPr>
              <w:pStyle w:val="NoSpacing"/>
              <w:jc w:val="right"/>
            </w:pPr>
            <w:r w:rsidRPr="000770D8">
              <w:rPr>
                <w:lang w:eastAsia="en-GB"/>
              </w:rPr>
              <w:t>High income</w:t>
            </w:r>
          </w:p>
        </w:tc>
        <w:tc>
          <w:tcPr>
            <w:tcW w:w="1923" w:type="dxa"/>
          </w:tcPr>
          <w:p w14:paraId="2B4A4ABC" w14:textId="77777777" w:rsidR="00DD0B82" w:rsidRPr="00147EA4" w:rsidRDefault="00DD0B82" w:rsidP="00145DFE">
            <w:pPr>
              <w:pStyle w:val="NoSpacing"/>
            </w:pPr>
            <w:r>
              <w:t>0.98 (0.91-1.05)</w:t>
            </w:r>
          </w:p>
        </w:tc>
        <w:tc>
          <w:tcPr>
            <w:tcW w:w="1512" w:type="dxa"/>
          </w:tcPr>
          <w:p w14:paraId="5C21D0FB" w14:textId="77777777" w:rsidR="00DD0B82" w:rsidRPr="00147EA4" w:rsidRDefault="00DD0B82" w:rsidP="00145DFE">
            <w:pPr>
              <w:pStyle w:val="NoSpacing"/>
            </w:pPr>
            <w:r>
              <w:t>0.55</w:t>
            </w:r>
          </w:p>
        </w:tc>
        <w:tc>
          <w:tcPr>
            <w:tcW w:w="1771" w:type="dxa"/>
            <w:vMerge/>
          </w:tcPr>
          <w:p w14:paraId="185B205A" w14:textId="77777777" w:rsidR="00DD0B82" w:rsidRDefault="00DD0B82" w:rsidP="00145DFE">
            <w:pPr>
              <w:pStyle w:val="NoSpacing"/>
            </w:pPr>
          </w:p>
        </w:tc>
      </w:tr>
      <w:tr w:rsidR="00DD0B82" w14:paraId="5697AF30" w14:textId="77777777" w:rsidTr="00145DFE">
        <w:trPr>
          <w:jc w:val="center"/>
        </w:trPr>
        <w:tc>
          <w:tcPr>
            <w:tcW w:w="6417" w:type="dxa"/>
            <w:gridSpan w:val="3"/>
          </w:tcPr>
          <w:p w14:paraId="1DEE4DA2" w14:textId="77777777" w:rsidR="00DD0B82" w:rsidRDefault="00DD0B82" w:rsidP="00145DFE">
            <w:pPr>
              <w:pStyle w:val="NoSpacing"/>
            </w:pPr>
            <w:r w:rsidRPr="004746EB">
              <w:rPr>
                <w:i/>
                <w:lang w:eastAsia="en-GB"/>
              </w:rPr>
              <w:t>Educational attainment</w:t>
            </w:r>
          </w:p>
        </w:tc>
        <w:tc>
          <w:tcPr>
            <w:tcW w:w="1771" w:type="dxa"/>
            <w:vMerge w:val="restart"/>
          </w:tcPr>
          <w:p w14:paraId="5A24F353" w14:textId="77777777" w:rsidR="00DD0B82" w:rsidRDefault="00DD0B82" w:rsidP="00145DFE">
            <w:pPr>
              <w:pStyle w:val="NoSpacing"/>
            </w:pPr>
            <w:r>
              <w:t>0.62</w:t>
            </w:r>
          </w:p>
        </w:tc>
      </w:tr>
      <w:tr w:rsidR="00DD0B82" w14:paraId="59C9EB51" w14:textId="77777777" w:rsidTr="00145DFE">
        <w:trPr>
          <w:jc w:val="center"/>
        </w:trPr>
        <w:tc>
          <w:tcPr>
            <w:tcW w:w="2982" w:type="dxa"/>
          </w:tcPr>
          <w:p w14:paraId="14289DD4" w14:textId="77777777" w:rsidR="00DD0B82" w:rsidRDefault="00DD0B82" w:rsidP="00145DFE">
            <w:pPr>
              <w:pStyle w:val="NoSpacing"/>
              <w:jc w:val="right"/>
              <w:rPr>
                <w:lang w:eastAsia="en-GB"/>
              </w:rPr>
            </w:pPr>
            <w:r>
              <w:rPr>
                <w:lang w:eastAsia="en-GB"/>
              </w:rPr>
              <w:t>Less than primary</w:t>
            </w:r>
          </w:p>
        </w:tc>
        <w:tc>
          <w:tcPr>
            <w:tcW w:w="1923" w:type="dxa"/>
          </w:tcPr>
          <w:p w14:paraId="753B9C3D" w14:textId="77777777" w:rsidR="00DD0B82" w:rsidRDefault="00DD0B82" w:rsidP="00145DFE">
            <w:pPr>
              <w:pStyle w:val="NoSpacing"/>
            </w:pPr>
            <w:r>
              <w:t>1.00 (0.99-1.02)</w:t>
            </w:r>
          </w:p>
        </w:tc>
        <w:tc>
          <w:tcPr>
            <w:tcW w:w="1512" w:type="dxa"/>
          </w:tcPr>
          <w:p w14:paraId="0AE5C248" w14:textId="77777777" w:rsidR="00DD0B82" w:rsidRDefault="00DD0B82" w:rsidP="00145DFE">
            <w:pPr>
              <w:pStyle w:val="NoSpacing"/>
            </w:pPr>
            <w:r>
              <w:t>0.70</w:t>
            </w:r>
          </w:p>
        </w:tc>
        <w:tc>
          <w:tcPr>
            <w:tcW w:w="1771" w:type="dxa"/>
            <w:vMerge/>
          </w:tcPr>
          <w:p w14:paraId="2B5AE9D9" w14:textId="77777777" w:rsidR="00DD0B82" w:rsidRDefault="00DD0B82" w:rsidP="00145DFE">
            <w:pPr>
              <w:pStyle w:val="NoSpacing"/>
            </w:pPr>
          </w:p>
        </w:tc>
      </w:tr>
      <w:tr w:rsidR="00DD0B82" w14:paraId="1928BAA6" w14:textId="77777777" w:rsidTr="00145DFE">
        <w:trPr>
          <w:jc w:val="center"/>
        </w:trPr>
        <w:tc>
          <w:tcPr>
            <w:tcW w:w="2982" w:type="dxa"/>
          </w:tcPr>
          <w:p w14:paraId="32557930" w14:textId="77777777" w:rsidR="00DD0B82" w:rsidRDefault="00DD0B82" w:rsidP="00145DFE">
            <w:pPr>
              <w:pStyle w:val="NoSpacing"/>
              <w:jc w:val="right"/>
              <w:rPr>
                <w:lang w:eastAsia="en-GB"/>
              </w:rPr>
            </w:pPr>
            <w:r>
              <w:rPr>
                <w:lang w:eastAsia="en-GB"/>
              </w:rPr>
              <w:t>Primary or more</w:t>
            </w:r>
          </w:p>
        </w:tc>
        <w:tc>
          <w:tcPr>
            <w:tcW w:w="1923" w:type="dxa"/>
          </w:tcPr>
          <w:p w14:paraId="1416FC75" w14:textId="77777777" w:rsidR="00DD0B82" w:rsidRDefault="00DD0B82" w:rsidP="00145DFE">
            <w:pPr>
              <w:pStyle w:val="NoSpacing"/>
            </w:pPr>
            <w:r>
              <w:t>0.99 (0.94-1.04)</w:t>
            </w:r>
          </w:p>
        </w:tc>
        <w:tc>
          <w:tcPr>
            <w:tcW w:w="1512" w:type="dxa"/>
          </w:tcPr>
          <w:p w14:paraId="50DFDC0F" w14:textId="77777777" w:rsidR="00DD0B82" w:rsidRDefault="00DD0B82" w:rsidP="00145DFE">
            <w:pPr>
              <w:pStyle w:val="NoSpacing"/>
            </w:pPr>
            <w:r>
              <w:t>0.70</w:t>
            </w:r>
          </w:p>
        </w:tc>
        <w:tc>
          <w:tcPr>
            <w:tcW w:w="1771" w:type="dxa"/>
            <w:vMerge/>
          </w:tcPr>
          <w:p w14:paraId="370A1732" w14:textId="77777777" w:rsidR="00DD0B82" w:rsidRDefault="00DD0B82" w:rsidP="00145DFE">
            <w:pPr>
              <w:pStyle w:val="NoSpacing"/>
            </w:pPr>
          </w:p>
        </w:tc>
      </w:tr>
      <w:tr w:rsidR="00DD0B82" w14:paraId="060C774E" w14:textId="77777777" w:rsidTr="00145DFE">
        <w:trPr>
          <w:jc w:val="center"/>
        </w:trPr>
        <w:tc>
          <w:tcPr>
            <w:tcW w:w="6417" w:type="dxa"/>
            <w:gridSpan w:val="3"/>
          </w:tcPr>
          <w:p w14:paraId="4A8D31D8" w14:textId="77777777" w:rsidR="00DD0B82" w:rsidRDefault="00DD0B82" w:rsidP="00145DFE">
            <w:pPr>
              <w:pStyle w:val="NoSpacing"/>
            </w:pPr>
            <w:r>
              <w:rPr>
                <w:i/>
                <w:lang w:eastAsia="en-GB"/>
              </w:rPr>
              <w:t>Perceived need for health care</w:t>
            </w:r>
          </w:p>
        </w:tc>
        <w:tc>
          <w:tcPr>
            <w:tcW w:w="1771" w:type="dxa"/>
            <w:vMerge w:val="restart"/>
          </w:tcPr>
          <w:p w14:paraId="25BE0682" w14:textId="77777777" w:rsidR="00DD0B82" w:rsidRDefault="00DD0B82" w:rsidP="00145DFE">
            <w:pPr>
              <w:pStyle w:val="NoSpacing"/>
            </w:pPr>
            <w:r>
              <w:t>0.02</w:t>
            </w:r>
          </w:p>
        </w:tc>
      </w:tr>
      <w:tr w:rsidR="00DD0B82" w14:paraId="2708BF6F" w14:textId="77777777" w:rsidTr="00145DFE">
        <w:trPr>
          <w:jc w:val="center"/>
        </w:trPr>
        <w:tc>
          <w:tcPr>
            <w:tcW w:w="2982" w:type="dxa"/>
          </w:tcPr>
          <w:p w14:paraId="2749A927" w14:textId="77777777" w:rsidR="00DD0B82" w:rsidRDefault="00DD0B82" w:rsidP="00145DFE">
            <w:pPr>
              <w:pStyle w:val="NoSpacing"/>
              <w:jc w:val="right"/>
              <w:rPr>
                <w:lang w:eastAsia="en-GB"/>
              </w:rPr>
            </w:pPr>
            <w:r>
              <w:rPr>
                <w:lang w:eastAsia="en-GB"/>
              </w:rPr>
              <w:t>Health care needed</w:t>
            </w:r>
          </w:p>
        </w:tc>
        <w:tc>
          <w:tcPr>
            <w:tcW w:w="1923" w:type="dxa"/>
          </w:tcPr>
          <w:p w14:paraId="4FEB1163" w14:textId="77777777" w:rsidR="00DD0B82" w:rsidRDefault="00DD0B82" w:rsidP="00145DFE">
            <w:pPr>
              <w:pStyle w:val="NoSpacing"/>
            </w:pPr>
            <w:r>
              <w:t>0.99 (0.97-1.01)</w:t>
            </w:r>
          </w:p>
        </w:tc>
        <w:tc>
          <w:tcPr>
            <w:tcW w:w="1512" w:type="dxa"/>
          </w:tcPr>
          <w:p w14:paraId="0806E31A" w14:textId="77777777" w:rsidR="00DD0B82" w:rsidRDefault="00DD0B82" w:rsidP="00145DFE">
            <w:pPr>
              <w:pStyle w:val="NoSpacing"/>
            </w:pPr>
            <w:r>
              <w:t>0.32</w:t>
            </w:r>
          </w:p>
        </w:tc>
        <w:tc>
          <w:tcPr>
            <w:tcW w:w="1771" w:type="dxa"/>
            <w:vMerge/>
          </w:tcPr>
          <w:p w14:paraId="0B4311A6" w14:textId="77777777" w:rsidR="00DD0B82" w:rsidRDefault="00DD0B82" w:rsidP="00145DFE">
            <w:pPr>
              <w:pStyle w:val="NoSpacing"/>
            </w:pPr>
          </w:p>
        </w:tc>
      </w:tr>
      <w:tr w:rsidR="00DD0B82" w14:paraId="26CE59AA" w14:textId="77777777" w:rsidTr="00145DFE">
        <w:trPr>
          <w:jc w:val="center"/>
        </w:trPr>
        <w:tc>
          <w:tcPr>
            <w:tcW w:w="2982" w:type="dxa"/>
          </w:tcPr>
          <w:p w14:paraId="15A4CCA9" w14:textId="77777777" w:rsidR="00DD0B82" w:rsidRDefault="00DD0B82" w:rsidP="00145DFE">
            <w:pPr>
              <w:pStyle w:val="NoSpacing"/>
              <w:jc w:val="right"/>
              <w:rPr>
                <w:lang w:eastAsia="en-GB"/>
              </w:rPr>
            </w:pPr>
            <w:r>
              <w:rPr>
                <w:lang w:eastAsia="en-GB"/>
              </w:rPr>
              <w:t>Health care not needed</w:t>
            </w:r>
          </w:p>
        </w:tc>
        <w:tc>
          <w:tcPr>
            <w:tcW w:w="1923" w:type="dxa"/>
          </w:tcPr>
          <w:p w14:paraId="6E4C1FDF" w14:textId="77777777" w:rsidR="00DD0B82" w:rsidRDefault="00DD0B82" w:rsidP="00145DFE">
            <w:pPr>
              <w:pStyle w:val="NoSpacing"/>
            </w:pPr>
            <w:r>
              <w:t>1.02 (1.00-1.03)</w:t>
            </w:r>
          </w:p>
        </w:tc>
        <w:tc>
          <w:tcPr>
            <w:tcW w:w="1512" w:type="dxa"/>
          </w:tcPr>
          <w:p w14:paraId="796F9BDA" w14:textId="77777777" w:rsidR="00DD0B82" w:rsidRDefault="00DD0B82" w:rsidP="00145DFE">
            <w:pPr>
              <w:pStyle w:val="NoSpacing"/>
            </w:pPr>
            <w:r>
              <w:t>0.06</w:t>
            </w:r>
          </w:p>
        </w:tc>
        <w:tc>
          <w:tcPr>
            <w:tcW w:w="1771" w:type="dxa"/>
            <w:vMerge/>
          </w:tcPr>
          <w:p w14:paraId="49BB057D" w14:textId="77777777" w:rsidR="00DD0B82" w:rsidRDefault="00DD0B82" w:rsidP="00145DFE">
            <w:pPr>
              <w:pStyle w:val="NoSpacing"/>
            </w:pPr>
          </w:p>
        </w:tc>
      </w:tr>
      <w:tr w:rsidR="00DD0B82" w14:paraId="74C298C8" w14:textId="77777777" w:rsidTr="00145DFE">
        <w:trPr>
          <w:jc w:val="center"/>
        </w:trPr>
        <w:tc>
          <w:tcPr>
            <w:tcW w:w="6417" w:type="dxa"/>
            <w:gridSpan w:val="3"/>
          </w:tcPr>
          <w:p w14:paraId="55528CA6" w14:textId="77777777" w:rsidR="00DD0B82" w:rsidRDefault="00DD0B82" w:rsidP="00145DFE">
            <w:pPr>
              <w:pStyle w:val="NoSpacing"/>
            </w:pPr>
            <w:r>
              <w:rPr>
                <w:i/>
                <w:lang w:eastAsia="en-GB"/>
              </w:rPr>
              <w:t>Housing quality</w:t>
            </w:r>
          </w:p>
        </w:tc>
        <w:tc>
          <w:tcPr>
            <w:tcW w:w="1771" w:type="dxa"/>
            <w:vMerge w:val="restart"/>
          </w:tcPr>
          <w:p w14:paraId="5AEA977E" w14:textId="77777777" w:rsidR="00DD0B82" w:rsidRDefault="00DD0B82" w:rsidP="00145DFE">
            <w:pPr>
              <w:pStyle w:val="NoSpacing"/>
            </w:pPr>
            <w:r>
              <w:t>0.25</w:t>
            </w:r>
          </w:p>
        </w:tc>
      </w:tr>
      <w:tr w:rsidR="00DD0B82" w14:paraId="4EB494D8" w14:textId="77777777" w:rsidTr="00145DFE">
        <w:trPr>
          <w:jc w:val="center"/>
        </w:trPr>
        <w:tc>
          <w:tcPr>
            <w:tcW w:w="2982" w:type="dxa"/>
          </w:tcPr>
          <w:p w14:paraId="686C32F4" w14:textId="77777777" w:rsidR="00DD0B82" w:rsidRDefault="00DD0B82" w:rsidP="00145DFE">
            <w:pPr>
              <w:pStyle w:val="NoSpacing"/>
              <w:jc w:val="right"/>
              <w:rPr>
                <w:lang w:eastAsia="en-GB"/>
              </w:rPr>
            </w:pPr>
            <w:r w:rsidRPr="009B1AB9">
              <w:rPr>
                <w:lang w:eastAsia="en-GB"/>
              </w:rPr>
              <w:t>Low</w:t>
            </w:r>
            <w:r>
              <w:rPr>
                <w:lang w:eastAsia="en-GB"/>
              </w:rPr>
              <w:t>est level (</w:t>
            </w:r>
            <w:r w:rsidRPr="003C2353">
              <w:rPr>
                <w:i/>
                <w:lang w:eastAsia="en-GB"/>
              </w:rPr>
              <w:t>kuccha</w:t>
            </w:r>
            <w:r>
              <w:rPr>
                <w:lang w:eastAsia="en-GB"/>
              </w:rPr>
              <w:t>)</w:t>
            </w:r>
          </w:p>
        </w:tc>
        <w:tc>
          <w:tcPr>
            <w:tcW w:w="1923" w:type="dxa"/>
          </w:tcPr>
          <w:p w14:paraId="19EBB60D" w14:textId="77777777" w:rsidR="00DD0B82" w:rsidRDefault="00DD0B82" w:rsidP="00145DFE">
            <w:pPr>
              <w:pStyle w:val="NoSpacing"/>
            </w:pPr>
            <w:r>
              <w:t>1.01 (0.99-1.02)</w:t>
            </w:r>
          </w:p>
        </w:tc>
        <w:tc>
          <w:tcPr>
            <w:tcW w:w="1512" w:type="dxa"/>
          </w:tcPr>
          <w:p w14:paraId="02B3CA6C" w14:textId="77777777" w:rsidR="00DD0B82" w:rsidRDefault="00DD0B82" w:rsidP="00145DFE">
            <w:pPr>
              <w:pStyle w:val="NoSpacing"/>
            </w:pPr>
            <w:r>
              <w:t>0.32</w:t>
            </w:r>
          </w:p>
        </w:tc>
        <w:tc>
          <w:tcPr>
            <w:tcW w:w="1771" w:type="dxa"/>
            <w:vMerge/>
          </w:tcPr>
          <w:p w14:paraId="46693F77" w14:textId="77777777" w:rsidR="00DD0B82" w:rsidRDefault="00DD0B82" w:rsidP="00145DFE">
            <w:pPr>
              <w:pStyle w:val="NoSpacing"/>
            </w:pPr>
          </w:p>
        </w:tc>
      </w:tr>
      <w:tr w:rsidR="00DD0B82" w14:paraId="1B6A25B4" w14:textId="77777777" w:rsidTr="00145DFE">
        <w:trPr>
          <w:jc w:val="center"/>
        </w:trPr>
        <w:tc>
          <w:tcPr>
            <w:tcW w:w="2982" w:type="dxa"/>
          </w:tcPr>
          <w:p w14:paraId="00BF006F" w14:textId="77777777" w:rsidR="00DD0B82" w:rsidRDefault="00DD0B82" w:rsidP="00145DFE">
            <w:pPr>
              <w:pStyle w:val="NoSpacing"/>
              <w:jc w:val="right"/>
              <w:rPr>
                <w:lang w:eastAsia="en-GB"/>
              </w:rPr>
            </w:pPr>
            <w:r>
              <w:rPr>
                <w:lang w:eastAsia="en-GB"/>
              </w:rPr>
              <w:t>Mixed (</w:t>
            </w:r>
            <w:r w:rsidRPr="003C2353">
              <w:rPr>
                <w:i/>
                <w:lang w:eastAsia="en-GB"/>
              </w:rPr>
              <w:t>semi-pucca</w:t>
            </w:r>
            <w:r>
              <w:rPr>
                <w:lang w:eastAsia="en-GB"/>
              </w:rPr>
              <w:t>)</w:t>
            </w:r>
          </w:p>
        </w:tc>
        <w:tc>
          <w:tcPr>
            <w:tcW w:w="1923" w:type="dxa"/>
          </w:tcPr>
          <w:p w14:paraId="3A804D42" w14:textId="77777777" w:rsidR="00DD0B82" w:rsidRDefault="00DD0B82" w:rsidP="00145DFE">
            <w:pPr>
              <w:pStyle w:val="NoSpacing"/>
            </w:pPr>
            <w:r>
              <w:t>0.97 (0.92-1.02)</w:t>
            </w:r>
          </w:p>
        </w:tc>
        <w:tc>
          <w:tcPr>
            <w:tcW w:w="1512" w:type="dxa"/>
          </w:tcPr>
          <w:p w14:paraId="6720B9E3" w14:textId="77777777" w:rsidR="00DD0B82" w:rsidRDefault="00DD0B82" w:rsidP="00145DFE">
            <w:pPr>
              <w:pStyle w:val="NoSpacing"/>
            </w:pPr>
            <w:r>
              <w:t>0.26</w:t>
            </w:r>
          </w:p>
        </w:tc>
        <w:tc>
          <w:tcPr>
            <w:tcW w:w="1771" w:type="dxa"/>
            <w:vMerge/>
          </w:tcPr>
          <w:p w14:paraId="6D8827C2" w14:textId="77777777" w:rsidR="00DD0B82" w:rsidRDefault="00DD0B82" w:rsidP="00145DFE">
            <w:pPr>
              <w:pStyle w:val="NoSpacing"/>
            </w:pPr>
          </w:p>
        </w:tc>
      </w:tr>
      <w:tr w:rsidR="00DD0B82" w14:paraId="65140C66" w14:textId="77777777" w:rsidTr="00145DFE">
        <w:trPr>
          <w:jc w:val="center"/>
        </w:trPr>
        <w:tc>
          <w:tcPr>
            <w:tcW w:w="2982" w:type="dxa"/>
          </w:tcPr>
          <w:p w14:paraId="52353757" w14:textId="77777777" w:rsidR="00DD0B82" w:rsidRDefault="00DD0B82" w:rsidP="00145DFE">
            <w:pPr>
              <w:pStyle w:val="NoSpacing"/>
              <w:jc w:val="right"/>
              <w:rPr>
                <w:lang w:eastAsia="en-GB"/>
              </w:rPr>
            </w:pPr>
            <w:r w:rsidRPr="009B1AB9">
              <w:rPr>
                <w:lang w:eastAsia="en-GB"/>
              </w:rPr>
              <w:t>High</w:t>
            </w:r>
            <w:r>
              <w:rPr>
                <w:lang w:eastAsia="en-GB"/>
              </w:rPr>
              <w:t>est level (</w:t>
            </w:r>
            <w:r w:rsidRPr="003C2353">
              <w:rPr>
                <w:i/>
                <w:lang w:eastAsia="en-GB"/>
              </w:rPr>
              <w:t>pucca</w:t>
            </w:r>
            <w:r>
              <w:rPr>
                <w:lang w:eastAsia="en-GB"/>
              </w:rPr>
              <w:t>)</w:t>
            </w:r>
          </w:p>
        </w:tc>
        <w:tc>
          <w:tcPr>
            <w:tcW w:w="1923" w:type="dxa"/>
          </w:tcPr>
          <w:p w14:paraId="5E98F359" w14:textId="77777777" w:rsidR="00DD0B82" w:rsidRDefault="00DD0B82" w:rsidP="00145DFE">
            <w:pPr>
              <w:pStyle w:val="NoSpacing"/>
            </w:pPr>
            <w:r>
              <w:t>0.99 (0.97-1.02)</w:t>
            </w:r>
          </w:p>
        </w:tc>
        <w:tc>
          <w:tcPr>
            <w:tcW w:w="1512" w:type="dxa"/>
          </w:tcPr>
          <w:p w14:paraId="2CBC8901" w14:textId="77777777" w:rsidR="00DD0B82" w:rsidRDefault="00DD0B82" w:rsidP="00145DFE">
            <w:pPr>
              <w:pStyle w:val="NoSpacing"/>
            </w:pPr>
            <w:r>
              <w:t>0.72</w:t>
            </w:r>
          </w:p>
        </w:tc>
        <w:tc>
          <w:tcPr>
            <w:tcW w:w="1771" w:type="dxa"/>
            <w:vMerge/>
          </w:tcPr>
          <w:p w14:paraId="57E0C5E0" w14:textId="77777777" w:rsidR="00DD0B82" w:rsidRDefault="00DD0B82" w:rsidP="00145DFE">
            <w:pPr>
              <w:pStyle w:val="NoSpacing"/>
            </w:pPr>
          </w:p>
        </w:tc>
      </w:tr>
      <w:tr w:rsidR="00DD0B82" w14:paraId="2A54CC79" w14:textId="77777777" w:rsidTr="00145DFE">
        <w:trPr>
          <w:jc w:val="center"/>
        </w:trPr>
        <w:tc>
          <w:tcPr>
            <w:tcW w:w="6417" w:type="dxa"/>
            <w:gridSpan w:val="3"/>
          </w:tcPr>
          <w:p w14:paraId="4D2C7FB8" w14:textId="77777777" w:rsidR="00DD0B82" w:rsidRDefault="00DD0B82" w:rsidP="00145DFE">
            <w:pPr>
              <w:pStyle w:val="NoSpacing"/>
            </w:pPr>
            <w:r>
              <w:rPr>
                <w:i/>
                <w:lang w:eastAsia="en-GB"/>
              </w:rPr>
              <w:t>Gender</w:t>
            </w:r>
          </w:p>
        </w:tc>
        <w:tc>
          <w:tcPr>
            <w:tcW w:w="1771" w:type="dxa"/>
            <w:vMerge w:val="restart"/>
          </w:tcPr>
          <w:p w14:paraId="3F2C8771" w14:textId="77777777" w:rsidR="00DD0B82" w:rsidRDefault="00DD0B82" w:rsidP="00145DFE">
            <w:pPr>
              <w:pStyle w:val="NoSpacing"/>
            </w:pPr>
            <w:r>
              <w:t>0.54</w:t>
            </w:r>
          </w:p>
        </w:tc>
      </w:tr>
      <w:tr w:rsidR="00DD0B82" w14:paraId="42EBAF58" w14:textId="77777777" w:rsidTr="00145DFE">
        <w:trPr>
          <w:jc w:val="center"/>
        </w:trPr>
        <w:tc>
          <w:tcPr>
            <w:tcW w:w="2982" w:type="dxa"/>
          </w:tcPr>
          <w:p w14:paraId="1235104E" w14:textId="77777777" w:rsidR="00DD0B82" w:rsidRPr="009B1AB9" w:rsidRDefault="00DD0B82" w:rsidP="00145DFE">
            <w:pPr>
              <w:pStyle w:val="NoSpacing"/>
              <w:jc w:val="right"/>
              <w:rPr>
                <w:lang w:eastAsia="en-GB"/>
              </w:rPr>
            </w:pPr>
            <w:r>
              <w:rPr>
                <w:lang w:eastAsia="en-GB"/>
              </w:rPr>
              <w:t>Male</w:t>
            </w:r>
          </w:p>
        </w:tc>
        <w:tc>
          <w:tcPr>
            <w:tcW w:w="1923" w:type="dxa"/>
          </w:tcPr>
          <w:p w14:paraId="18BF4BB7" w14:textId="77777777" w:rsidR="00DD0B82" w:rsidRDefault="00DD0B82" w:rsidP="00145DFE">
            <w:pPr>
              <w:pStyle w:val="NoSpacing"/>
            </w:pPr>
            <w:r>
              <w:t>1.00 (0.96-1.03)</w:t>
            </w:r>
          </w:p>
        </w:tc>
        <w:tc>
          <w:tcPr>
            <w:tcW w:w="1512" w:type="dxa"/>
          </w:tcPr>
          <w:p w14:paraId="7DC87AFA" w14:textId="77777777" w:rsidR="00DD0B82" w:rsidRDefault="00DD0B82" w:rsidP="00145DFE">
            <w:pPr>
              <w:pStyle w:val="NoSpacing"/>
            </w:pPr>
            <w:r>
              <w:t>0.82</w:t>
            </w:r>
          </w:p>
        </w:tc>
        <w:tc>
          <w:tcPr>
            <w:tcW w:w="1771" w:type="dxa"/>
            <w:vMerge/>
          </w:tcPr>
          <w:p w14:paraId="0F22BE50" w14:textId="77777777" w:rsidR="00DD0B82" w:rsidRDefault="00DD0B82" w:rsidP="00145DFE">
            <w:pPr>
              <w:pStyle w:val="NoSpacing"/>
            </w:pPr>
          </w:p>
        </w:tc>
      </w:tr>
      <w:tr w:rsidR="00DD0B82" w14:paraId="611433D1" w14:textId="77777777" w:rsidTr="00145DFE">
        <w:trPr>
          <w:jc w:val="center"/>
        </w:trPr>
        <w:tc>
          <w:tcPr>
            <w:tcW w:w="2982" w:type="dxa"/>
          </w:tcPr>
          <w:p w14:paraId="66B2AA38" w14:textId="77777777" w:rsidR="00DD0B82" w:rsidRPr="009B1AB9" w:rsidRDefault="00DD0B82" w:rsidP="00145DFE">
            <w:pPr>
              <w:pStyle w:val="NoSpacing"/>
              <w:jc w:val="right"/>
              <w:rPr>
                <w:lang w:eastAsia="en-GB"/>
              </w:rPr>
            </w:pPr>
            <w:r>
              <w:rPr>
                <w:lang w:eastAsia="en-GB"/>
              </w:rPr>
              <w:t>Female</w:t>
            </w:r>
          </w:p>
        </w:tc>
        <w:tc>
          <w:tcPr>
            <w:tcW w:w="1923" w:type="dxa"/>
          </w:tcPr>
          <w:p w14:paraId="6F390BB8" w14:textId="77777777" w:rsidR="00DD0B82" w:rsidRDefault="00DD0B82" w:rsidP="00145DFE">
            <w:pPr>
              <w:pStyle w:val="NoSpacing"/>
            </w:pPr>
            <w:r>
              <w:t>1.01 (0.99-1.02)</w:t>
            </w:r>
          </w:p>
        </w:tc>
        <w:tc>
          <w:tcPr>
            <w:tcW w:w="1512" w:type="dxa"/>
          </w:tcPr>
          <w:p w14:paraId="7A8388D4" w14:textId="77777777" w:rsidR="00DD0B82" w:rsidRDefault="00DD0B82" w:rsidP="00145DFE">
            <w:pPr>
              <w:pStyle w:val="NoSpacing"/>
            </w:pPr>
            <w:r>
              <w:t>0.37</w:t>
            </w:r>
          </w:p>
        </w:tc>
        <w:tc>
          <w:tcPr>
            <w:tcW w:w="1771" w:type="dxa"/>
            <w:vMerge/>
          </w:tcPr>
          <w:p w14:paraId="232517F1" w14:textId="77777777" w:rsidR="00DD0B82" w:rsidRDefault="00DD0B82" w:rsidP="00145DFE">
            <w:pPr>
              <w:pStyle w:val="NoSpacing"/>
            </w:pPr>
          </w:p>
        </w:tc>
      </w:tr>
      <w:tr w:rsidR="00DD0B82" w14:paraId="72BD24D2" w14:textId="77777777" w:rsidTr="00145DFE">
        <w:trPr>
          <w:jc w:val="center"/>
        </w:trPr>
        <w:tc>
          <w:tcPr>
            <w:tcW w:w="6417" w:type="dxa"/>
            <w:gridSpan w:val="3"/>
          </w:tcPr>
          <w:p w14:paraId="5F14CCC3" w14:textId="77777777" w:rsidR="00DD0B82" w:rsidRDefault="00DD0B82" w:rsidP="00145DFE">
            <w:pPr>
              <w:pStyle w:val="NoSpacing"/>
            </w:pPr>
            <w:r>
              <w:rPr>
                <w:i/>
                <w:lang w:eastAsia="en-GB"/>
              </w:rPr>
              <w:t>Owns land</w:t>
            </w:r>
          </w:p>
        </w:tc>
        <w:tc>
          <w:tcPr>
            <w:tcW w:w="1771" w:type="dxa"/>
            <w:vMerge w:val="restart"/>
          </w:tcPr>
          <w:p w14:paraId="3C004E00" w14:textId="77777777" w:rsidR="00DD0B82" w:rsidRDefault="00DD0B82" w:rsidP="00145DFE">
            <w:pPr>
              <w:pStyle w:val="NoSpacing"/>
            </w:pPr>
            <w:r>
              <w:t>0.49</w:t>
            </w:r>
          </w:p>
        </w:tc>
      </w:tr>
      <w:tr w:rsidR="00DD0B82" w14:paraId="11590815" w14:textId="77777777" w:rsidTr="00145DFE">
        <w:trPr>
          <w:jc w:val="center"/>
        </w:trPr>
        <w:tc>
          <w:tcPr>
            <w:tcW w:w="2982" w:type="dxa"/>
          </w:tcPr>
          <w:p w14:paraId="5D3A8FC9" w14:textId="77777777" w:rsidR="00DD0B82" w:rsidRPr="00CB5F48" w:rsidRDefault="00DD0B82" w:rsidP="00145DFE">
            <w:pPr>
              <w:pStyle w:val="NoSpacing"/>
              <w:jc w:val="right"/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1923" w:type="dxa"/>
          </w:tcPr>
          <w:p w14:paraId="2AAB09D5" w14:textId="77777777" w:rsidR="00DD0B82" w:rsidRDefault="00DD0B82" w:rsidP="00145DFE">
            <w:pPr>
              <w:pStyle w:val="NoSpacing"/>
            </w:pPr>
            <w:r>
              <w:t>1.00 (0.97-1.03)</w:t>
            </w:r>
          </w:p>
        </w:tc>
        <w:tc>
          <w:tcPr>
            <w:tcW w:w="1512" w:type="dxa"/>
          </w:tcPr>
          <w:p w14:paraId="7EA4F4DC" w14:textId="77777777" w:rsidR="00DD0B82" w:rsidRDefault="00DD0B82" w:rsidP="00145DFE">
            <w:pPr>
              <w:pStyle w:val="NoSpacing"/>
            </w:pPr>
            <w:r>
              <w:t>0.80</w:t>
            </w:r>
          </w:p>
        </w:tc>
        <w:tc>
          <w:tcPr>
            <w:tcW w:w="1771" w:type="dxa"/>
            <w:vMerge/>
          </w:tcPr>
          <w:p w14:paraId="19529CE0" w14:textId="77777777" w:rsidR="00DD0B82" w:rsidRDefault="00DD0B82" w:rsidP="00145DFE">
            <w:pPr>
              <w:pStyle w:val="NoSpacing"/>
            </w:pPr>
          </w:p>
        </w:tc>
      </w:tr>
      <w:tr w:rsidR="00DD0B82" w14:paraId="77940BD2" w14:textId="77777777" w:rsidTr="00145DFE">
        <w:trPr>
          <w:jc w:val="center"/>
        </w:trPr>
        <w:tc>
          <w:tcPr>
            <w:tcW w:w="2982" w:type="dxa"/>
          </w:tcPr>
          <w:p w14:paraId="1F97C4C7" w14:textId="77777777" w:rsidR="00DD0B82" w:rsidRPr="00CB5F48" w:rsidRDefault="00DD0B82" w:rsidP="00145DFE">
            <w:pPr>
              <w:pStyle w:val="NoSpacing"/>
              <w:jc w:val="right"/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  <w:tc>
          <w:tcPr>
            <w:tcW w:w="1923" w:type="dxa"/>
          </w:tcPr>
          <w:p w14:paraId="1C64D425" w14:textId="77777777" w:rsidR="00DD0B82" w:rsidRDefault="00DD0B82" w:rsidP="00145DFE">
            <w:pPr>
              <w:pStyle w:val="NoSpacing"/>
            </w:pPr>
            <w:r>
              <w:t>1.01 (0.99-1.02)</w:t>
            </w:r>
          </w:p>
        </w:tc>
        <w:tc>
          <w:tcPr>
            <w:tcW w:w="1512" w:type="dxa"/>
          </w:tcPr>
          <w:p w14:paraId="632B5EB7" w14:textId="77777777" w:rsidR="00DD0B82" w:rsidRDefault="00DD0B82" w:rsidP="00145DFE">
            <w:pPr>
              <w:pStyle w:val="NoSpacing"/>
            </w:pPr>
            <w:r>
              <w:t>0.51</w:t>
            </w:r>
          </w:p>
        </w:tc>
        <w:tc>
          <w:tcPr>
            <w:tcW w:w="1771" w:type="dxa"/>
            <w:vMerge/>
          </w:tcPr>
          <w:p w14:paraId="11DD7311" w14:textId="77777777" w:rsidR="00DD0B82" w:rsidRDefault="00DD0B82" w:rsidP="00145DFE">
            <w:pPr>
              <w:pStyle w:val="NoSpacing"/>
            </w:pPr>
          </w:p>
        </w:tc>
      </w:tr>
      <w:tr w:rsidR="00DD0B82" w14:paraId="047D52BA" w14:textId="77777777" w:rsidTr="00145DFE">
        <w:trPr>
          <w:jc w:val="center"/>
        </w:trPr>
        <w:tc>
          <w:tcPr>
            <w:tcW w:w="6417" w:type="dxa"/>
            <w:gridSpan w:val="3"/>
          </w:tcPr>
          <w:p w14:paraId="05965D6C" w14:textId="77777777" w:rsidR="00DD0B82" w:rsidRDefault="00DD0B82" w:rsidP="00145DFE">
            <w:pPr>
              <w:pStyle w:val="NoSpacing"/>
            </w:pPr>
            <w:r>
              <w:rPr>
                <w:i/>
                <w:lang w:eastAsia="en-GB"/>
              </w:rPr>
              <w:t>Symptom severity (total PHQ-9 score)</w:t>
            </w:r>
          </w:p>
        </w:tc>
        <w:tc>
          <w:tcPr>
            <w:tcW w:w="1771" w:type="dxa"/>
            <w:vMerge w:val="restart"/>
          </w:tcPr>
          <w:p w14:paraId="748A9B86" w14:textId="77777777" w:rsidR="00DD0B82" w:rsidRDefault="00DD0B82" w:rsidP="00145DFE">
            <w:pPr>
              <w:pStyle w:val="NoSpacing"/>
            </w:pPr>
            <w:r>
              <w:t>0.48</w:t>
            </w:r>
          </w:p>
        </w:tc>
      </w:tr>
      <w:tr w:rsidR="00DD0B82" w14:paraId="2A2F3A65" w14:textId="77777777" w:rsidTr="00145DFE">
        <w:trPr>
          <w:jc w:val="center"/>
        </w:trPr>
        <w:tc>
          <w:tcPr>
            <w:tcW w:w="2982" w:type="dxa"/>
          </w:tcPr>
          <w:p w14:paraId="56DB648A" w14:textId="77777777" w:rsidR="00DD0B82" w:rsidRDefault="00DD0B82" w:rsidP="00145DFE">
            <w:pPr>
              <w:pStyle w:val="NoSpacing"/>
              <w:jc w:val="right"/>
              <w:rPr>
                <w:i/>
                <w:lang w:eastAsia="en-GB"/>
              </w:rPr>
            </w:pPr>
            <w:r w:rsidRPr="00B475C4">
              <w:rPr>
                <w:lang w:eastAsia="en-GB"/>
              </w:rPr>
              <w:t xml:space="preserve">Moderate </w:t>
            </w:r>
            <w:r>
              <w:rPr>
                <w:lang w:eastAsia="en-GB"/>
              </w:rPr>
              <w:t>(</w:t>
            </w:r>
            <w:r w:rsidRPr="00B475C4">
              <w:rPr>
                <w:lang w:eastAsia="en-GB"/>
              </w:rPr>
              <w:t>10-14</w:t>
            </w:r>
            <w:r>
              <w:rPr>
                <w:lang w:eastAsia="en-GB"/>
              </w:rPr>
              <w:t>)</w:t>
            </w:r>
          </w:p>
        </w:tc>
        <w:tc>
          <w:tcPr>
            <w:tcW w:w="1923" w:type="dxa"/>
          </w:tcPr>
          <w:p w14:paraId="39ACDA19" w14:textId="77777777" w:rsidR="00DD0B82" w:rsidRDefault="00DD0B82" w:rsidP="00145DFE">
            <w:pPr>
              <w:pStyle w:val="NoSpacing"/>
            </w:pPr>
            <w:r>
              <w:t>1.00 (0.98-1.02)</w:t>
            </w:r>
          </w:p>
        </w:tc>
        <w:tc>
          <w:tcPr>
            <w:tcW w:w="1512" w:type="dxa"/>
          </w:tcPr>
          <w:p w14:paraId="3737D45D" w14:textId="77777777" w:rsidR="00DD0B82" w:rsidRDefault="00DD0B82" w:rsidP="00145DFE">
            <w:pPr>
              <w:pStyle w:val="NoSpacing"/>
            </w:pPr>
            <w:r>
              <w:t>0.98</w:t>
            </w:r>
          </w:p>
        </w:tc>
        <w:tc>
          <w:tcPr>
            <w:tcW w:w="1771" w:type="dxa"/>
            <w:vMerge/>
          </w:tcPr>
          <w:p w14:paraId="73DAC11C" w14:textId="77777777" w:rsidR="00DD0B82" w:rsidRDefault="00DD0B82" w:rsidP="00145DFE">
            <w:pPr>
              <w:pStyle w:val="NoSpacing"/>
            </w:pPr>
          </w:p>
        </w:tc>
      </w:tr>
      <w:tr w:rsidR="00DD0B82" w14:paraId="281C80C3" w14:textId="77777777" w:rsidTr="00145DFE">
        <w:trPr>
          <w:jc w:val="center"/>
        </w:trPr>
        <w:tc>
          <w:tcPr>
            <w:tcW w:w="2982" w:type="dxa"/>
          </w:tcPr>
          <w:p w14:paraId="70E00BD5" w14:textId="77777777" w:rsidR="00DD0B82" w:rsidRDefault="00DD0B82" w:rsidP="00145DFE">
            <w:pPr>
              <w:pStyle w:val="NoSpacing"/>
              <w:jc w:val="right"/>
              <w:rPr>
                <w:lang w:eastAsia="en-GB"/>
              </w:rPr>
            </w:pPr>
            <w:r w:rsidRPr="00B475C4">
              <w:rPr>
                <w:lang w:eastAsia="en-GB"/>
              </w:rPr>
              <w:t xml:space="preserve">Moderately severe </w:t>
            </w:r>
          </w:p>
          <w:p w14:paraId="5E32CDBB" w14:textId="77777777" w:rsidR="00DD0B82" w:rsidRDefault="00DD0B82" w:rsidP="00145DFE">
            <w:pPr>
              <w:pStyle w:val="NoSpacing"/>
              <w:jc w:val="right"/>
              <w:rPr>
                <w:i/>
                <w:lang w:eastAsia="en-GB"/>
              </w:rPr>
            </w:pPr>
            <w:r>
              <w:rPr>
                <w:lang w:eastAsia="en-GB"/>
              </w:rPr>
              <w:t>(</w:t>
            </w:r>
            <w:r w:rsidRPr="00B475C4">
              <w:rPr>
                <w:lang w:eastAsia="en-GB"/>
              </w:rPr>
              <w:t>15-19</w:t>
            </w:r>
            <w:r>
              <w:rPr>
                <w:lang w:eastAsia="en-GB"/>
              </w:rPr>
              <w:t>)</w:t>
            </w:r>
          </w:p>
        </w:tc>
        <w:tc>
          <w:tcPr>
            <w:tcW w:w="1923" w:type="dxa"/>
          </w:tcPr>
          <w:p w14:paraId="5E0B79BD" w14:textId="77777777" w:rsidR="00DD0B82" w:rsidRDefault="00DD0B82" w:rsidP="00145DFE">
            <w:pPr>
              <w:pStyle w:val="NoSpacing"/>
            </w:pPr>
            <w:r>
              <w:t>1.01 (0.98-1.04)</w:t>
            </w:r>
          </w:p>
        </w:tc>
        <w:tc>
          <w:tcPr>
            <w:tcW w:w="1512" w:type="dxa"/>
          </w:tcPr>
          <w:p w14:paraId="794A3CB2" w14:textId="77777777" w:rsidR="00DD0B82" w:rsidRDefault="00DD0B82" w:rsidP="00145DFE">
            <w:pPr>
              <w:pStyle w:val="NoSpacing"/>
            </w:pPr>
            <w:r>
              <w:t>0.60</w:t>
            </w:r>
          </w:p>
        </w:tc>
        <w:tc>
          <w:tcPr>
            <w:tcW w:w="1771" w:type="dxa"/>
            <w:vMerge/>
          </w:tcPr>
          <w:p w14:paraId="30076E3A" w14:textId="77777777" w:rsidR="00DD0B82" w:rsidRDefault="00DD0B82" w:rsidP="00145DFE">
            <w:pPr>
              <w:pStyle w:val="NoSpacing"/>
            </w:pPr>
          </w:p>
        </w:tc>
      </w:tr>
      <w:tr w:rsidR="00DD0B82" w14:paraId="24FBE2E7" w14:textId="77777777" w:rsidTr="00145DFE">
        <w:trPr>
          <w:jc w:val="center"/>
        </w:trPr>
        <w:tc>
          <w:tcPr>
            <w:tcW w:w="2982" w:type="dxa"/>
          </w:tcPr>
          <w:p w14:paraId="68847C93" w14:textId="77777777" w:rsidR="00DD0B82" w:rsidRDefault="00DD0B82" w:rsidP="00145DFE">
            <w:pPr>
              <w:pStyle w:val="NoSpacing"/>
              <w:jc w:val="right"/>
              <w:rPr>
                <w:i/>
                <w:lang w:eastAsia="en-GB"/>
              </w:rPr>
            </w:pPr>
            <w:r w:rsidRPr="00B475C4">
              <w:rPr>
                <w:lang w:eastAsia="en-GB"/>
              </w:rPr>
              <w:t xml:space="preserve">Severe </w:t>
            </w:r>
            <w:r>
              <w:rPr>
                <w:lang w:eastAsia="en-GB"/>
              </w:rPr>
              <w:t>(</w:t>
            </w:r>
            <w:r>
              <w:rPr>
                <w:rFonts w:cstheme="minorHAnsi"/>
                <w:lang w:eastAsia="en-GB"/>
              </w:rPr>
              <w:t>≥</w:t>
            </w:r>
            <w:r w:rsidRPr="00B475C4">
              <w:rPr>
                <w:lang w:eastAsia="en-GB"/>
              </w:rPr>
              <w:t>20</w:t>
            </w:r>
            <w:r>
              <w:rPr>
                <w:lang w:eastAsia="en-GB"/>
              </w:rPr>
              <w:t>)</w:t>
            </w:r>
          </w:p>
        </w:tc>
        <w:tc>
          <w:tcPr>
            <w:tcW w:w="1923" w:type="dxa"/>
          </w:tcPr>
          <w:p w14:paraId="3DABF509" w14:textId="77777777" w:rsidR="00DD0B82" w:rsidRDefault="00DD0B82" w:rsidP="00145DFE">
            <w:pPr>
              <w:pStyle w:val="NoSpacing"/>
            </w:pPr>
            <w:r>
              <w:t>0.97 (0.91-1.03)</w:t>
            </w:r>
          </w:p>
        </w:tc>
        <w:tc>
          <w:tcPr>
            <w:tcW w:w="1512" w:type="dxa"/>
          </w:tcPr>
          <w:p w14:paraId="08E427C0" w14:textId="77777777" w:rsidR="00DD0B82" w:rsidRDefault="00DD0B82" w:rsidP="00145DFE">
            <w:pPr>
              <w:pStyle w:val="NoSpacing"/>
            </w:pPr>
            <w:r>
              <w:t>0.33</w:t>
            </w:r>
          </w:p>
        </w:tc>
        <w:tc>
          <w:tcPr>
            <w:tcW w:w="1771" w:type="dxa"/>
            <w:vMerge/>
          </w:tcPr>
          <w:p w14:paraId="33D59D2F" w14:textId="77777777" w:rsidR="00DD0B82" w:rsidRDefault="00DD0B82" w:rsidP="00145DFE">
            <w:pPr>
              <w:pStyle w:val="NoSpacing"/>
            </w:pPr>
          </w:p>
        </w:tc>
      </w:tr>
    </w:tbl>
    <w:p w14:paraId="375B4747" w14:textId="11093A72" w:rsidR="000F5FF4" w:rsidRDefault="00DD0B82">
      <w:r w:rsidRPr="003C2353">
        <w:rPr>
          <w:i/>
        </w:rPr>
        <w:t xml:space="preserve">Odds ratios, </w:t>
      </w:r>
      <w:r>
        <w:rPr>
          <w:i/>
        </w:rPr>
        <w:t>P</w:t>
      </w:r>
      <w:r w:rsidRPr="003C2353">
        <w:rPr>
          <w:i/>
        </w:rPr>
        <w:t>-values and confidence intervals were calculated with logistic regression. Besides the interaction term, each model was adjusted for</w:t>
      </w:r>
      <w:r>
        <w:rPr>
          <w:i/>
          <w:color w:val="FF0000"/>
        </w:rPr>
        <w:t xml:space="preserve"> </w:t>
      </w:r>
      <w:r w:rsidRPr="008D3391">
        <w:rPr>
          <w:i/>
        </w:rPr>
        <w:t xml:space="preserve">education level, marital status, symptom severity, gender, land ownership, employment, </w:t>
      </w:r>
      <w:r>
        <w:rPr>
          <w:i/>
        </w:rPr>
        <w:t xml:space="preserve">survey </w:t>
      </w:r>
      <w:r w:rsidRPr="008D3391">
        <w:rPr>
          <w:i/>
        </w:rPr>
        <w:t xml:space="preserve">round, exposure to mental health communications, </w:t>
      </w:r>
      <w:r>
        <w:rPr>
          <w:i/>
        </w:rPr>
        <w:t xml:space="preserve">and </w:t>
      </w:r>
      <w:r w:rsidRPr="008D3391">
        <w:rPr>
          <w:i/>
        </w:rPr>
        <w:t>age group.</w:t>
      </w:r>
      <w:r>
        <w:rPr>
          <w:i/>
        </w:rPr>
        <w:t xml:space="preserve"> </w:t>
      </w:r>
      <w:bookmarkStart w:id="0" w:name="_GoBack"/>
      <w:bookmarkEnd w:id="0"/>
    </w:p>
    <w:sectPr w:rsidR="000F5FF4" w:rsidSect="000D76D8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40" w:right="1440" w:bottom="1440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5209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4C53D" w14:textId="77777777" w:rsidR="006648BF" w:rsidRDefault="00DD0B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337</w:t>
        </w:r>
        <w:r>
          <w:rPr>
            <w:noProof/>
          </w:rPr>
          <w:fldChar w:fldCharType="end"/>
        </w:r>
      </w:p>
    </w:sdtContent>
  </w:sdt>
  <w:p w14:paraId="062F772D" w14:textId="77777777" w:rsidR="006648BF" w:rsidRPr="0026258E" w:rsidRDefault="00DD0B82" w:rsidP="000D76D8">
    <w:pPr>
      <w:pStyle w:val="Footer"/>
      <w:widowControl w:val="0"/>
      <w:jc w:val="center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0582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8CA19B" w14:textId="77777777" w:rsidR="006648BF" w:rsidRDefault="00DD0B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335</w:t>
        </w:r>
        <w:r>
          <w:rPr>
            <w:noProof/>
          </w:rPr>
          <w:fldChar w:fldCharType="end"/>
        </w:r>
      </w:p>
    </w:sdtContent>
  </w:sdt>
  <w:p w14:paraId="42208F46" w14:textId="77777777" w:rsidR="006648BF" w:rsidRDefault="00DD0B8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F4DAD" w14:textId="77777777" w:rsidR="006648BF" w:rsidRDefault="00DD0B82" w:rsidP="000D76D8">
    <w:pPr>
      <w:pStyle w:val="Header"/>
      <w:tabs>
        <w:tab w:val="right" w:pos="1105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761A4" w14:textId="77777777" w:rsidR="006648BF" w:rsidRDefault="00DD0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82"/>
    <w:rsid w:val="006F1BCB"/>
    <w:rsid w:val="00D94350"/>
    <w:rsid w:val="00D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99AB"/>
  <w15:chartTrackingRefBased/>
  <w15:docId w15:val="{DEC4EB99-2708-4738-BB0E-F531F52D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B82"/>
    <w:pPr>
      <w:spacing w:before="240" w:after="240" w:line="36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B82"/>
    <w:pPr>
      <w:keepNext/>
      <w:keepLines/>
      <w:outlineLvl w:val="1"/>
    </w:pPr>
    <w:rPr>
      <w:rFonts w:ascii="Arial" w:eastAsiaTheme="majorEastAsia" w:hAnsi="Arial" w:cs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0B82"/>
    <w:rPr>
      <w:rFonts w:ascii="Arial" w:eastAsiaTheme="majorEastAsia" w:hAnsi="Arial" w:cs="Arial"/>
      <w:b/>
      <w:i/>
    </w:rPr>
  </w:style>
  <w:style w:type="paragraph" w:styleId="Header">
    <w:name w:val="header"/>
    <w:basedOn w:val="Normal"/>
    <w:link w:val="HeaderChar"/>
    <w:uiPriority w:val="99"/>
    <w:unhideWhenUsed/>
    <w:rsid w:val="00DD0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82"/>
  </w:style>
  <w:style w:type="paragraph" w:styleId="Footer">
    <w:name w:val="footer"/>
    <w:basedOn w:val="Normal"/>
    <w:link w:val="FooterChar"/>
    <w:uiPriority w:val="99"/>
    <w:unhideWhenUsed/>
    <w:rsid w:val="00DD0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82"/>
  </w:style>
  <w:style w:type="paragraph" w:styleId="NoSpacing">
    <w:name w:val="No Spacing"/>
    <w:link w:val="NoSpacingChar"/>
    <w:uiPriority w:val="1"/>
    <w:qFormat/>
    <w:rsid w:val="00DD0B82"/>
    <w:pPr>
      <w:spacing w:after="0" w:line="240" w:lineRule="auto"/>
    </w:pPr>
  </w:style>
  <w:style w:type="table" w:styleId="TableGrid">
    <w:name w:val="Table Grid"/>
    <w:basedOn w:val="TableNormal"/>
    <w:uiPriority w:val="59"/>
    <w:rsid w:val="00DD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DD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Tessa</dc:creator>
  <cp:keywords/>
  <dc:description/>
  <cp:lastModifiedBy>Roberts, Tessa</cp:lastModifiedBy>
  <cp:revision>1</cp:revision>
  <dcterms:created xsi:type="dcterms:W3CDTF">2019-03-29T12:18:00Z</dcterms:created>
  <dcterms:modified xsi:type="dcterms:W3CDTF">2019-03-29T12:18:00Z</dcterms:modified>
</cp:coreProperties>
</file>