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3250"/>
        <w:gridCol w:w="2133"/>
        <w:gridCol w:w="3651"/>
        <w:gridCol w:w="1011"/>
        <w:gridCol w:w="930"/>
        <w:gridCol w:w="932"/>
        <w:gridCol w:w="932"/>
        <w:gridCol w:w="1119"/>
      </w:tblGrid>
      <w:tr w:rsidR="007C5283" w:rsidRPr="00D433C5" w14:paraId="45A8FE40" w14:textId="77777777" w:rsidTr="001D7211">
        <w:trPr>
          <w:trHeight w:val="22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0B97E" w14:textId="77777777" w:rsidR="007C5283" w:rsidRPr="00604B88" w:rsidRDefault="00B721D9" w:rsidP="00B721D9">
            <w:pPr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lang w:val="en-NZ"/>
              </w:rPr>
            </w:pPr>
            <w:bookmarkStart w:id="0" w:name="RANGE!B1:I29"/>
            <w:bookmarkStart w:id="1" w:name="_GoBack"/>
            <w:bookmarkEnd w:id="1"/>
            <w:r w:rsidRPr="00604B88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lang w:val="en-NZ"/>
              </w:rPr>
              <w:t>Table S1</w:t>
            </w:r>
            <w:r w:rsidR="007C5283" w:rsidRPr="00604B88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lang w:val="en-NZ"/>
              </w:rPr>
              <w:t xml:space="preserve">. World Mental Health Surveys sample characteristics by World Bank Income </w:t>
            </w:r>
            <w:proofErr w:type="spellStart"/>
            <w:r w:rsidR="007C5283" w:rsidRPr="00604B88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lang w:val="en-NZ"/>
              </w:rPr>
              <w:t>categories</w:t>
            </w:r>
            <w:r w:rsidR="007C5283" w:rsidRPr="00604B88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vertAlign w:val="superscript"/>
                <w:lang w:val="en-NZ"/>
              </w:rPr>
              <w:t>a</w:t>
            </w:r>
            <w:proofErr w:type="spellEnd"/>
            <w:r w:rsidR="007C5283" w:rsidRPr="00604B88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lang w:val="en-NZ"/>
              </w:rPr>
              <w:t>.</w:t>
            </w:r>
            <w:bookmarkEnd w:id="0"/>
          </w:p>
        </w:tc>
      </w:tr>
      <w:tr w:rsidR="007C5283" w:rsidRPr="00D433C5" w14:paraId="0C553147" w14:textId="77777777" w:rsidTr="001D7211">
        <w:trPr>
          <w:trHeight w:val="227"/>
        </w:trPr>
        <w:tc>
          <w:tcPr>
            <w:tcW w:w="1164" w:type="pct"/>
            <w:vMerge w:val="restar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nil"/>
            </w:tcBorders>
            <w:shd w:val="clear" w:color="000000" w:fill="FFFFFF"/>
            <w:noWrap/>
            <w:vAlign w:val="center"/>
            <w:hideMark/>
          </w:tcPr>
          <w:p w14:paraId="7F2EB12B" w14:textId="77777777" w:rsidR="007C5283" w:rsidRPr="00D433C5" w:rsidRDefault="007C5283" w:rsidP="001D7211">
            <w:pPr>
              <w:ind w:firstLineChars="200" w:firstLine="360"/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Country</w:t>
            </w:r>
          </w:p>
        </w:tc>
        <w:tc>
          <w:tcPr>
            <w:tcW w:w="764" w:type="pct"/>
            <w:vMerge w:val="restart"/>
            <w:tcBorders>
              <w:top w:val="single" w:sz="8" w:space="0" w:color="003399"/>
              <w:left w:val="nil"/>
              <w:bottom w:val="single" w:sz="8" w:space="0" w:color="003399"/>
              <w:right w:val="nil"/>
            </w:tcBorders>
            <w:shd w:val="clear" w:color="000000" w:fill="FFFFFF"/>
            <w:noWrap/>
            <w:vAlign w:val="center"/>
            <w:hideMark/>
          </w:tcPr>
          <w:p w14:paraId="3D4FA93F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Survey</w:t>
            </w:r>
          </w:p>
        </w:tc>
        <w:tc>
          <w:tcPr>
            <w:tcW w:w="1308" w:type="pct"/>
            <w:vMerge w:val="restart"/>
            <w:tcBorders>
              <w:top w:val="single" w:sz="8" w:space="0" w:color="003399"/>
              <w:left w:val="nil"/>
              <w:bottom w:val="single" w:sz="8" w:space="0" w:color="003399"/>
              <w:right w:val="nil"/>
            </w:tcBorders>
            <w:shd w:val="clear" w:color="000000" w:fill="FFFFFF"/>
            <w:noWrap/>
            <w:vAlign w:val="center"/>
            <w:hideMark/>
          </w:tcPr>
          <w:p w14:paraId="341C9BA5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Sample characteristics</w:t>
            </w:r>
          </w:p>
        </w:tc>
        <w:tc>
          <w:tcPr>
            <w:tcW w:w="362" w:type="pct"/>
            <w:vMerge w:val="restart"/>
            <w:tcBorders>
              <w:top w:val="single" w:sz="8" w:space="0" w:color="003399"/>
              <w:left w:val="nil"/>
              <w:bottom w:val="single" w:sz="8" w:space="0" w:color="003399"/>
              <w:right w:val="nil"/>
            </w:tcBorders>
            <w:shd w:val="clear" w:color="000000" w:fill="FFFFFF"/>
            <w:vAlign w:val="center"/>
            <w:hideMark/>
          </w:tcPr>
          <w:p w14:paraId="488BE6E7" w14:textId="77777777" w:rsidR="007C5283" w:rsidRPr="00D433C5" w:rsidRDefault="007C5283" w:rsidP="001D7211">
            <w:pPr>
              <w:jc w:val="center"/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Field  dates</w:t>
            </w:r>
          </w:p>
        </w:tc>
        <w:tc>
          <w:tcPr>
            <w:tcW w:w="333" w:type="pct"/>
            <w:vMerge w:val="restart"/>
            <w:tcBorders>
              <w:top w:val="single" w:sz="8" w:space="0" w:color="003399"/>
              <w:left w:val="nil"/>
              <w:bottom w:val="single" w:sz="8" w:space="0" w:color="003399"/>
              <w:right w:val="nil"/>
            </w:tcBorders>
            <w:shd w:val="clear" w:color="000000" w:fill="FFFFFF"/>
            <w:vAlign w:val="center"/>
            <w:hideMark/>
          </w:tcPr>
          <w:p w14:paraId="3A25FD37" w14:textId="77777777" w:rsidR="007C5283" w:rsidRPr="00D433C5" w:rsidRDefault="007C5283" w:rsidP="001D7211">
            <w:pPr>
              <w:jc w:val="center"/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proofErr w:type="spellStart"/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Age</w:t>
            </w:r>
            <w:proofErr w:type="spellEnd"/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 xml:space="preserve">     </w:t>
            </w:r>
            <w:proofErr w:type="spellStart"/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range</w:t>
            </w: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vertAlign w:val="superscript"/>
                <w:lang w:val="en-NZ"/>
              </w:rPr>
              <w:t>b</w:t>
            </w:r>
            <w:proofErr w:type="spellEnd"/>
          </w:p>
        </w:tc>
        <w:tc>
          <w:tcPr>
            <w:tcW w:w="668" w:type="pct"/>
            <w:gridSpan w:val="2"/>
            <w:tcBorders>
              <w:top w:val="single" w:sz="8" w:space="0" w:color="003399"/>
              <w:left w:val="nil"/>
              <w:bottom w:val="single" w:sz="4" w:space="0" w:color="003399"/>
              <w:right w:val="nil"/>
            </w:tcBorders>
            <w:shd w:val="clear" w:color="000000" w:fill="FFFFFF"/>
            <w:noWrap/>
            <w:vAlign w:val="center"/>
            <w:hideMark/>
          </w:tcPr>
          <w:p w14:paraId="5E7003E4" w14:textId="77777777" w:rsidR="007C5283" w:rsidRPr="00D433C5" w:rsidRDefault="007C5283" w:rsidP="001D7211">
            <w:pPr>
              <w:jc w:val="center"/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 xml:space="preserve">Sample Size </w:t>
            </w:r>
          </w:p>
        </w:tc>
        <w:tc>
          <w:tcPr>
            <w:tcW w:w="401" w:type="pct"/>
            <w:vMerge w:val="restart"/>
            <w:tcBorders>
              <w:top w:val="single" w:sz="8" w:space="0" w:color="003399"/>
              <w:left w:val="nil"/>
              <w:bottom w:val="single" w:sz="8" w:space="0" w:color="003399"/>
              <w:right w:val="single" w:sz="8" w:space="0" w:color="003399"/>
            </w:tcBorders>
            <w:shd w:val="clear" w:color="000000" w:fill="FFFFFF"/>
            <w:vAlign w:val="center"/>
            <w:hideMark/>
          </w:tcPr>
          <w:p w14:paraId="0A5224AA" w14:textId="77777777" w:rsidR="007C5283" w:rsidRPr="00D433C5" w:rsidRDefault="007C5283" w:rsidP="001D7211">
            <w:pPr>
              <w:jc w:val="center"/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Response rate (%)</w:t>
            </w:r>
          </w:p>
        </w:tc>
      </w:tr>
      <w:tr w:rsidR="007C5283" w:rsidRPr="00D433C5" w14:paraId="13308DA9" w14:textId="77777777" w:rsidTr="001D7211">
        <w:trPr>
          <w:trHeight w:val="227"/>
        </w:trPr>
        <w:tc>
          <w:tcPr>
            <w:tcW w:w="1164" w:type="pct"/>
            <w:vMerge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nil"/>
            </w:tcBorders>
            <w:vAlign w:val="center"/>
            <w:hideMark/>
          </w:tcPr>
          <w:p w14:paraId="3B502804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</w:p>
        </w:tc>
        <w:tc>
          <w:tcPr>
            <w:tcW w:w="764" w:type="pct"/>
            <w:vMerge/>
            <w:tcBorders>
              <w:top w:val="single" w:sz="8" w:space="0" w:color="003399"/>
              <w:left w:val="nil"/>
              <w:bottom w:val="single" w:sz="8" w:space="0" w:color="003399"/>
              <w:right w:val="nil"/>
            </w:tcBorders>
            <w:vAlign w:val="center"/>
            <w:hideMark/>
          </w:tcPr>
          <w:p w14:paraId="0D1BF646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</w:p>
        </w:tc>
        <w:tc>
          <w:tcPr>
            <w:tcW w:w="1308" w:type="pct"/>
            <w:vMerge/>
            <w:tcBorders>
              <w:top w:val="single" w:sz="8" w:space="0" w:color="003399"/>
              <w:left w:val="nil"/>
              <w:bottom w:val="single" w:sz="8" w:space="0" w:color="003399"/>
              <w:right w:val="nil"/>
            </w:tcBorders>
            <w:vAlign w:val="center"/>
            <w:hideMark/>
          </w:tcPr>
          <w:p w14:paraId="04C3A696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</w:p>
        </w:tc>
        <w:tc>
          <w:tcPr>
            <w:tcW w:w="362" w:type="pct"/>
            <w:vMerge/>
            <w:tcBorders>
              <w:top w:val="single" w:sz="8" w:space="0" w:color="003399"/>
              <w:left w:val="nil"/>
              <w:bottom w:val="single" w:sz="8" w:space="0" w:color="003399"/>
              <w:right w:val="nil"/>
            </w:tcBorders>
            <w:vAlign w:val="center"/>
            <w:hideMark/>
          </w:tcPr>
          <w:p w14:paraId="60DA8316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</w:p>
        </w:tc>
        <w:tc>
          <w:tcPr>
            <w:tcW w:w="333" w:type="pct"/>
            <w:vMerge/>
            <w:tcBorders>
              <w:top w:val="single" w:sz="8" w:space="0" w:color="003399"/>
              <w:left w:val="nil"/>
              <w:bottom w:val="single" w:sz="8" w:space="0" w:color="003399"/>
              <w:right w:val="nil"/>
            </w:tcBorders>
            <w:vAlign w:val="center"/>
            <w:hideMark/>
          </w:tcPr>
          <w:p w14:paraId="39E3BE7B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3399"/>
              <w:right w:val="nil"/>
            </w:tcBorders>
            <w:shd w:val="clear" w:color="000000" w:fill="FFFFFF"/>
            <w:vAlign w:val="center"/>
            <w:hideMark/>
          </w:tcPr>
          <w:p w14:paraId="710F4634" w14:textId="77777777" w:rsidR="007C5283" w:rsidRPr="00D433C5" w:rsidRDefault="007C5283" w:rsidP="001D7211">
            <w:pPr>
              <w:jc w:val="center"/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Part 1 sample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3399"/>
              <w:right w:val="nil"/>
            </w:tcBorders>
            <w:shd w:val="clear" w:color="000000" w:fill="FFFFFF"/>
            <w:vAlign w:val="center"/>
            <w:hideMark/>
          </w:tcPr>
          <w:p w14:paraId="72052AB4" w14:textId="77777777" w:rsidR="007C5283" w:rsidRPr="00D433C5" w:rsidRDefault="007C5283" w:rsidP="001D7211">
            <w:pPr>
              <w:jc w:val="center"/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Part 2                                      sub-sample</w:t>
            </w:r>
          </w:p>
        </w:tc>
        <w:tc>
          <w:tcPr>
            <w:tcW w:w="401" w:type="pct"/>
            <w:vMerge/>
            <w:tcBorders>
              <w:top w:val="single" w:sz="8" w:space="0" w:color="003399"/>
              <w:left w:val="nil"/>
              <w:bottom w:val="single" w:sz="8" w:space="0" w:color="003399"/>
              <w:right w:val="single" w:sz="8" w:space="0" w:color="003399"/>
            </w:tcBorders>
            <w:vAlign w:val="center"/>
            <w:hideMark/>
          </w:tcPr>
          <w:p w14:paraId="4B44384C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</w:p>
        </w:tc>
      </w:tr>
      <w:tr w:rsidR="007C5283" w:rsidRPr="00D433C5" w14:paraId="79EF6EC5" w14:textId="77777777" w:rsidTr="001D7211">
        <w:trPr>
          <w:trHeight w:val="227"/>
        </w:trPr>
        <w:tc>
          <w:tcPr>
            <w:tcW w:w="1928" w:type="pct"/>
            <w:gridSpan w:val="2"/>
            <w:tcBorders>
              <w:top w:val="nil"/>
              <w:left w:val="single" w:sz="8" w:space="0" w:color="003399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73BE6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Low - lower middle income countries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1C68A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A69C2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81835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59633" w14:textId="77777777" w:rsidR="007C5283" w:rsidRPr="00D433C5" w:rsidRDefault="007C5283" w:rsidP="001D7211">
            <w:pPr>
              <w:jc w:val="center"/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00069" w14:textId="77777777" w:rsidR="007C5283" w:rsidRPr="00D433C5" w:rsidRDefault="007C5283" w:rsidP="001D7211">
            <w:pPr>
              <w:jc w:val="center"/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003399"/>
            </w:tcBorders>
            <w:shd w:val="clear" w:color="000000" w:fill="FFFFFF"/>
            <w:vAlign w:val="center"/>
            <w:hideMark/>
          </w:tcPr>
          <w:p w14:paraId="112CACD7" w14:textId="77777777" w:rsidR="007C5283" w:rsidRPr="00D433C5" w:rsidRDefault="007C5283" w:rsidP="001D7211">
            <w:pPr>
              <w:jc w:val="center"/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</w:tr>
      <w:tr w:rsidR="007C5283" w:rsidRPr="00D433C5" w14:paraId="314C2812" w14:textId="77777777" w:rsidTr="001D7211">
        <w:trPr>
          <w:trHeight w:val="227"/>
        </w:trPr>
        <w:tc>
          <w:tcPr>
            <w:tcW w:w="1164" w:type="pct"/>
            <w:tcBorders>
              <w:top w:val="nil"/>
              <w:left w:val="single" w:sz="8" w:space="0" w:color="003399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98462" w14:textId="77777777" w:rsidR="007C5283" w:rsidRPr="00D433C5" w:rsidRDefault="007C5283" w:rsidP="001D7211">
            <w:pPr>
              <w:ind w:firstLineChars="100" w:firstLine="180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Colombia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89784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NSMH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97CCA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All urban areas of the country (approximately 73% of the total national population)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5496C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2003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E6742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18-65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C4390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4426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8DD6E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2381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003399"/>
            </w:tcBorders>
            <w:shd w:val="clear" w:color="000000" w:fill="FFFFFF"/>
            <w:noWrap/>
            <w:vAlign w:val="center"/>
            <w:hideMark/>
          </w:tcPr>
          <w:p w14:paraId="0C3390F1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87.7</w:t>
            </w:r>
          </w:p>
        </w:tc>
      </w:tr>
      <w:tr w:rsidR="007C5283" w:rsidRPr="00D433C5" w14:paraId="5E28B1C8" w14:textId="77777777" w:rsidTr="001D7211">
        <w:trPr>
          <w:trHeight w:val="227"/>
        </w:trPr>
        <w:tc>
          <w:tcPr>
            <w:tcW w:w="1164" w:type="pct"/>
            <w:tcBorders>
              <w:top w:val="nil"/>
              <w:left w:val="single" w:sz="8" w:space="0" w:color="003399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A0F0F" w14:textId="77777777" w:rsidR="007C5283" w:rsidRPr="00D433C5" w:rsidRDefault="007C5283" w:rsidP="001D7211">
            <w:pPr>
              <w:ind w:firstLineChars="100" w:firstLine="180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Iraq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08819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IMHS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1CBCD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Nationally representative.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42B19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2006-7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63DB1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18+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98073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4332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18AC1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4332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003399"/>
            </w:tcBorders>
            <w:shd w:val="clear" w:color="000000" w:fill="FFFFFF"/>
            <w:noWrap/>
            <w:vAlign w:val="center"/>
            <w:hideMark/>
          </w:tcPr>
          <w:p w14:paraId="7154D2D2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95.2</w:t>
            </w:r>
          </w:p>
        </w:tc>
      </w:tr>
      <w:tr w:rsidR="007C5283" w:rsidRPr="00D433C5" w14:paraId="6A3F4E62" w14:textId="77777777" w:rsidTr="001D7211">
        <w:trPr>
          <w:trHeight w:val="227"/>
        </w:trPr>
        <w:tc>
          <w:tcPr>
            <w:tcW w:w="1164" w:type="pct"/>
            <w:tcBorders>
              <w:top w:val="nil"/>
              <w:left w:val="single" w:sz="8" w:space="0" w:color="003399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92A49" w14:textId="77777777" w:rsidR="007C5283" w:rsidRPr="00D433C5" w:rsidRDefault="007C5283" w:rsidP="001D7211">
            <w:pPr>
              <w:ind w:firstLineChars="100" w:firstLine="180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Nigeria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80A2F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NSMHW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B9AD8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 xml:space="preserve">21 of the 36 states in the country, representing 57% of the national population. The surveys were conducted in Yoruba, Igbo, </w:t>
            </w:r>
            <w:proofErr w:type="gramStart"/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Hausa</w:t>
            </w:r>
            <w:proofErr w:type="gramEnd"/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 xml:space="preserve"> and </w:t>
            </w:r>
            <w:proofErr w:type="spellStart"/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Efik</w:t>
            </w:r>
            <w:proofErr w:type="spellEnd"/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 xml:space="preserve"> languages.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02E47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2002-3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C4385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18+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7042F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6752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841C3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2143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003399"/>
            </w:tcBorders>
            <w:shd w:val="clear" w:color="000000" w:fill="FFFFFF"/>
            <w:noWrap/>
            <w:vAlign w:val="center"/>
            <w:hideMark/>
          </w:tcPr>
          <w:p w14:paraId="1EEFA2A5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79.3</w:t>
            </w:r>
          </w:p>
        </w:tc>
      </w:tr>
      <w:tr w:rsidR="007C5283" w:rsidRPr="00D433C5" w14:paraId="1D1E0423" w14:textId="77777777" w:rsidTr="001D7211">
        <w:trPr>
          <w:trHeight w:val="227"/>
        </w:trPr>
        <w:tc>
          <w:tcPr>
            <w:tcW w:w="1164" w:type="pct"/>
            <w:tcBorders>
              <w:top w:val="nil"/>
              <w:left w:val="single" w:sz="8" w:space="0" w:color="003399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EF985" w14:textId="77777777" w:rsidR="007C5283" w:rsidRPr="00D433C5" w:rsidRDefault="007C5283" w:rsidP="001D7211">
            <w:pPr>
              <w:ind w:firstLineChars="100" w:firstLine="180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Peru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716B7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EMSMP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F5B8B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Nationally representative.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7E75E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2004-5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3F55D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18-65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8C010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3930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CE008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1801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003399"/>
            </w:tcBorders>
            <w:shd w:val="clear" w:color="000000" w:fill="FFFFFF"/>
            <w:noWrap/>
            <w:vAlign w:val="center"/>
            <w:hideMark/>
          </w:tcPr>
          <w:p w14:paraId="470B71EA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90.2</w:t>
            </w:r>
          </w:p>
        </w:tc>
      </w:tr>
      <w:tr w:rsidR="007C5283" w:rsidRPr="00D433C5" w14:paraId="21E4963A" w14:textId="77777777" w:rsidTr="001D7211">
        <w:trPr>
          <w:trHeight w:val="227"/>
        </w:trPr>
        <w:tc>
          <w:tcPr>
            <w:tcW w:w="1164" w:type="pct"/>
            <w:tcBorders>
              <w:top w:val="nil"/>
              <w:left w:val="single" w:sz="8" w:space="0" w:color="003399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FA196" w14:textId="77777777" w:rsidR="007C5283" w:rsidRPr="00D433C5" w:rsidRDefault="007C5283" w:rsidP="001D7211">
            <w:pPr>
              <w:ind w:firstLineChars="100" w:firstLine="180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PRC Shen Zhen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6CE8F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Shenzhen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F2055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Shenzhen metropolitan area. Included temporary residents as well as household residents.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85BA8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2006-7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122C2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18+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F4771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7132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48129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2475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003399"/>
            </w:tcBorders>
            <w:shd w:val="clear" w:color="000000" w:fill="FFFFFF"/>
            <w:noWrap/>
            <w:vAlign w:val="center"/>
            <w:hideMark/>
          </w:tcPr>
          <w:p w14:paraId="198BC3D6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80.0</w:t>
            </w:r>
          </w:p>
        </w:tc>
      </w:tr>
      <w:tr w:rsidR="007C5283" w:rsidRPr="00D433C5" w14:paraId="21D8CD5C" w14:textId="77777777" w:rsidTr="001D7211">
        <w:trPr>
          <w:trHeight w:val="227"/>
        </w:trPr>
        <w:tc>
          <w:tcPr>
            <w:tcW w:w="1164" w:type="pct"/>
            <w:tcBorders>
              <w:top w:val="nil"/>
              <w:left w:val="single" w:sz="8" w:space="0" w:color="003399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3EC5C" w14:textId="77777777" w:rsidR="007C5283" w:rsidRPr="00D433C5" w:rsidRDefault="007C5283" w:rsidP="001D7211">
            <w:pPr>
              <w:ind w:firstLineChars="100" w:firstLine="180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Ukraine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F7596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CMDPSD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EF878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Nationally representative.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F12E6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2002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4CC68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18+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29D3B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4725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6A60B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1719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003399"/>
            </w:tcBorders>
            <w:shd w:val="clear" w:color="000000" w:fill="FFFFFF"/>
            <w:noWrap/>
            <w:vAlign w:val="center"/>
            <w:hideMark/>
          </w:tcPr>
          <w:p w14:paraId="205CC406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78.3</w:t>
            </w:r>
          </w:p>
        </w:tc>
      </w:tr>
      <w:tr w:rsidR="007C5283" w:rsidRPr="00D433C5" w14:paraId="5BDF4DCE" w14:textId="77777777" w:rsidTr="001D7211">
        <w:trPr>
          <w:trHeight w:val="227"/>
        </w:trPr>
        <w:tc>
          <w:tcPr>
            <w:tcW w:w="1164" w:type="pct"/>
            <w:tcBorders>
              <w:top w:val="nil"/>
              <w:left w:val="single" w:sz="8" w:space="0" w:color="003399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AF839" w14:textId="77777777" w:rsidR="007C5283" w:rsidRPr="00D433C5" w:rsidRDefault="007C5283" w:rsidP="001D7211">
            <w:pPr>
              <w:ind w:firstLineChars="100" w:firstLine="180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16637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B3F12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F6F61" w14:textId="77777777" w:rsidR="007C5283" w:rsidRPr="00D433C5" w:rsidRDefault="007C5283" w:rsidP="001D7211">
            <w:pPr>
              <w:ind w:firstLineChars="100" w:firstLine="180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0ADE9" w14:textId="77777777" w:rsidR="007C5283" w:rsidRPr="00D433C5" w:rsidRDefault="007C5283" w:rsidP="001D7211">
            <w:pPr>
              <w:ind w:firstLineChars="100" w:firstLine="180"/>
              <w:jc w:val="center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C9D08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1307F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003399"/>
            </w:tcBorders>
            <w:shd w:val="clear" w:color="000000" w:fill="FFFFFF"/>
            <w:noWrap/>
            <w:vAlign w:val="center"/>
            <w:hideMark/>
          </w:tcPr>
          <w:p w14:paraId="1ADE43E4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</w:tr>
      <w:tr w:rsidR="007C5283" w:rsidRPr="00D433C5" w14:paraId="025DDB3A" w14:textId="77777777" w:rsidTr="001D7211">
        <w:trPr>
          <w:trHeight w:val="227"/>
        </w:trPr>
        <w:tc>
          <w:tcPr>
            <w:tcW w:w="1164" w:type="pct"/>
            <w:tcBorders>
              <w:top w:val="nil"/>
              <w:left w:val="single" w:sz="8" w:space="0" w:color="003399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8B8B8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Upper-middle income countries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33F5C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2A86D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44F0B" w14:textId="77777777" w:rsidR="007C5283" w:rsidRPr="00D433C5" w:rsidRDefault="007C5283" w:rsidP="001D7211">
            <w:pPr>
              <w:ind w:firstLineChars="100" w:firstLine="180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90C9F" w14:textId="77777777" w:rsidR="007C5283" w:rsidRPr="00D433C5" w:rsidRDefault="007C5283" w:rsidP="001D7211">
            <w:pPr>
              <w:ind w:firstLineChars="100" w:firstLine="180"/>
              <w:jc w:val="right"/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60F60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880A9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003399"/>
            </w:tcBorders>
            <w:shd w:val="clear" w:color="000000" w:fill="FFFFFF"/>
            <w:vAlign w:val="center"/>
            <w:hideMark/>
          </w:tcPr>
          <w:p w14:paraId="232CA25F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</w:tr>
      <w:tr w:rsidR="007C5283" w:rsidRPr="00D433C5" w14:paraId="57D351F9" w14:textId="77777777" w:rsidTr="001D7211">
        <w:trPr>
          <w:trHeight w:val="227"/>
        </w:trPr>
        <w:tc>
          <w:tcPr>
            <w:tcW w:w="1164" w:type="pct"/>
            <w:tcBorders>
              <w:top w:val="nil"/>
              <w:left w:val="single" w:sz="8" w:space="0" w:color="003399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FE2D6" w14:textId="77777777" w:rsidR="007C5283" w:rsidRPr="00D433C5" w:rsidRDefault="007C5283" w:rsidP="001D7211">
            <w:pPr>
              <w:ind w:firstLineChars="100" w:firstLine="180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Brazil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E1060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São Paulo Megacity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6FB2E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São Paulo metropolitan area.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EF86A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2005-7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CD925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18+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323BA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5037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E74C1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2942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003399"/>
            </w:tcBorders>
            <w:shd w:val="clear" w:color="000000" w:fill="FFFFFF"/>
            <w:noWrap/>
            <w:vAlign w:val="center"/>
            <w:hideMark/>
          </w:tcPr>
          <w:p w14:paraId="1F81F651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81.3</w:t>
            </w:r>
          </w:p>
        </w:tc>
      </w:tr>
      <w:tr w:rsidR="007C5283" w:rsidRPr="00D433C5" w14:paraId="399AF12B" w14:textId="77777777" w:rsidTr="001D7211">
        <w:trPr>
          <w:trHeight w:val="227"/>
        </w:trPr>
        <w:tc>
          <w:tcPr>
            <w:tcW w:w="1164" w:type="pct"/>
            <w:tcBorders>
              <w:top w:val="nil"/>
              <w:left w:val="single" w:sz="8" w:space="0" w:color="003399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CA169" w14:textId="77777777" w:rsidR="007C5283" w:rsidRPr="00D433C5" w:rsidRDefault="007C5283" w:rsidP="001D7211">
            <w:pPr>
              <w:ind w:firstLineChars="100" w:firstLine="180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Bulgaria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91ED2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NSHS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04AC8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Nationally representative.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1DB76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2003-7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CFAA3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18+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7FE9A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5318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F4D68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2233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003399"/>
            </w:tcBorders>
            <w:shd w:val="clear" w:color="000000" w:fill="FFFFFF"/>
            <w:noWrap/>
            <w:vAlign w:val="center"/>
            <w:hideMark/>
          </w:tcPr>
          <w:p w14:paraId="2BE98B8A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72.0</w:t>
            </w:r>
          </w:p>
        </w:tc>
      </w:tr>
      <w:tr w:rsidR="007C5283" w:rsidRPr="00D433C5" w14:paraId="108E25EB" w14:textId="77777777" w:rsidTr="001D7211">
        <w:trPr>
          <w:trHeight w:val="227"/>
        </w:trPr>
        <w:tc>
          <w:tcPr>
            <w:tcW w:w="1164" w:type="pct"/>
            <w:tcBorders>
              <w:top w:val="nil"/>
              <w:left w:val="single" w:sz="8" w:space="0" w:color="003399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2D5C4" w14:textId="77777777" w:rsidR="007C5283" w:rsidRPr="00D433C5" w:rsidRDefault="007C5283" w:rsidP="001D7211">
            <w:pPr>
              <w:ind w:firstLineChars="100" w:firstLine="180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Lebanon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F7D32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LEBANON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2BB75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Nationally representative.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E5E9B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2002-3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037C0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18+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7999D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2857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D0635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1031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003399"/>
            </w:tcBorders>
            <w:shd w:val="clear" w:color="000000" w:fill="FFFFFF"/>
            <w:noWrap/>
            <w:vAlign w:val="center"/>
            <w:hideMark/>
          </w:tcPr>
          <w:p w14:paraId="586407DA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70.0</w:t>
            </w:r>
          </w:p>
        </w:tc>
      </w:tr>
      <w:tr w:rsidR="007C5283" w:rsidRPr="00D433C5" w14:paraId="3BD9BBE4" w14:textId="77777777" w:rsidTr="001D7211">
        <w:trPr>
          <w:trHeight w:val="227"/>
        </w:trPr>
        <w:tc>
          <w:tcPr>
            <w:tcW w:w="1164" w:type="pct"/>
            <w:tcBorders>
              <w:top w:val="nil"/>
              <w:left w:val="single" w:sz="8" w:space="0" w:color="003399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1552E" w14:textId="77777777" w:rsidR="007C5283" w:rsidRPr="00D433C5" w:rsidRDefault="007C5283" w:rsidP="001D7211">
            <w:pPr>
              <w:ind w:firstLineChars="100" w:firstLine="180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Romania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D9104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RMHS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10EFD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Nationally representative.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8ACCB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2005-6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9BA04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18+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2163B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2357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B82B1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2357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003399"/>
            </w:tcBorders>
            <w:shd w:val="clear" w:color="000000" w:fill="FFFFFF"/>
            <w:noWrap/>
            <w:vAlign w:val="center"/>
            <w:hideMark/>
          </w:tcPr>
          <w:p w14:paraId="29018F0D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70.9</w:t>
            </w:r>
          </w:p>
        </w:tc>
      </w:tr>
      <w:tr w:rsidR="007C5283" w:rsidRPr="00D433C5" w14:paraId="4B4C3AD8" w14:textId="77777777" w:rsidTr="001D7211">
        <w:trPr>
          <w:trHeight w:val="227"/>
        </w:trPr>
        <w:tc>
          <w:tcPr>
            <w:tcW w:w="1164" w:type="pct"/>
            <w:tcBorders>
              <w:top w:val="nil"/>
              <w:left w:val="single" w:sz="8" w:space="0" w:color="003399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9EF53" w14:textId="77777777" w:rsidR="007C5283" w:rsidRPr="00D433C5" w:rsidRDefault="007C5283" w:rsidP="001D7211">
            <w:pPr>
              <w:ind w:firstLineChars="100" w:firstLine="180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South Africa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F004B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SASH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B1F7B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Nationally representative.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36A2F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2003-4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D3EE8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18+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2F5BE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4315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A3AFC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4315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003399"/>
            </w:tcBorders>
            <w:shd w:val="clear" w:color="000000" w:fill="FFFFFF"/>
            <w:noWrap/>
            <w:vAlign w:val="center"/>
            <w:hideMark/>
          </w:tcPr>
          <w:p w14:paraId="2AE5C1E5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87.1</w:t>
            </w:r>
          </w:p>
        </w:tc>
      </w:tr>
      <w:tr w:rsidR="007C5283" w:rsidRPr="00D433C5" w14:paraId="6472F62E" w14:textId="77777777" w:rsidTr="001D7211">
        <w:trPr>
          <w:trHeight w:val="227"/>
        </w:trPr>
        <w:tc>
          <w:tcPr>
            <w:tcW w:w="1164" w:type="pct"/>
            <w:tcBorders>
              <w:top w:val="nil"/>
              <w:left w:val="single" w:sz="8" w:space="0" w:color="003399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A4357" w14:textId="77777777" w:rsidR="007C5283" w:rsidRPr="00D433C5" w:rsidRDefault="007C5283" w:rsidP="001D7211">
            <w:pPr>
              <w:ind w:firstLineChars="100" w:firstLine="180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63666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1C011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2444A" w14:textId="77777777" w:rsidR="007C5283" w:rsidRPr="00D433C5" w:rsidRDefault="007C5283" w:rsidP="001D7211">
            <w:pPr>
              <w:ind w:firstLineChars="100" w:firstLine="180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284E0" w14:textId="77777777" w:rsidR="007C5283" w:rsidRPr="00D433C5" w:rsidRDefault="007C5283" w:rsidP="001D7211">
            <w:pPr>
              <w:ind w:firstLineChars="100" w:firstLine="180"/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075D8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5B70F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003399"/>
            </w:tcBorders>
            <w:shd w:val="clear" w:color="000000" w:fill="FFFFFF"/>
            <w:noWrap/>
            <w:vAlign w:val="center"/>
            <w:hideMark/>
          </w:tcPr>
          <w:p w14:paraId="6A6CA140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</w:tr>
      <w:tr w:rsidR="007C5283" w:rsidRPr="00D433C5" w14:paraId="71D7EB23" w14:textId="77777777" w:rsidTr="001D7211">
        <w:trPr>
          <w:trHeight w:val="227"/>
        </w:trPr>
        <w:tc>
          <w:tcPr>
            <w:tcW w:w="1164" w:type="pct"/>
            <w:tcBorders>
              <w:top w:val="nil"/>
              <w:left w:val="single" w:sz="8" w:space="0" w:color="003399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B2C10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High-income countries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62420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4AFF3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ECC54" w14:textId="77777777" w:rsidR="007C5283" w:rsidRPr="00D433C5" w:rsidRDefault="007C5283" w:rsidP="001D7211">
            <w:pPr>
              <w:ind w:firstLineChars="100" w:firstLine="180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17E31" w14:textId="77777777" w:rsidR="007C5283" w:rsidRPr="00D433C5" w:rsidRDefault="007C5283" w:rsidP="001D7211">
            <w:pPr>
              <w:ind w:firstLineChars="100" w:firstLine="180"/>
              <w:jc w:val="right"/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3092C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3C20F" w14:textId="77777777" w:rsidR="007C5283" w:rsidRPr="00D433C5" w:rsidRDefault="007C5283" w:rsidP="001D7211">
            <w:pPr>
              <w:jc w:val="right"/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003399"/>
            </w:tcBorders>
            <w:shd w:val="clear" w:color="000000" w:fill="FFFFFF"/>
            <w:vAlign w:val="center"/>
            <w:hideMark/>
          </w:tcPr>
          <w:p w14:paraId="6968BAEC" w14:textId="77777777" w:rsidR="007C5283" w:rsidRPr="00D433C5" w:rsidRDefault="007C5283" w:rsidP="001D7211">
            <w:pPr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</w:tr>
      <w:tr w:rsidR="001D7211" w:rsidRPr="00D433C5" w14:paraId="47073472" w14:textId="77777777" w:rsidTr="001D7211">
        <w:trPr>
          <w:trHeight w:val="227"/>
        </w:trPr>
        <w:tc>
          <w:tcPr>
            <w:tcW w:w="1164" w:type="pct"/>
            <w:tcBorders>
              <w:top w:val="nil"/>
              <w:left w:val="single" w:sz="8" w:space="0" w:color="003399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029DA6" w14:textId="0EB11CD9" w:rsidR="001D7211" w:rsidRPr="001D7211" w:rsidRDefault="001D7211" w:rsidP="001D7211">
            <w:pPr>
              <w:ind w:firstLineChars="100" w:firstLine="180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18"/>
                <w:lang w:val="en-NZ"/>
              </w:rPr>
            </w:pPr>
            <w:r w:rsidRPr="001D7211">
              <w:rPr>
                <w:rFonts w:ascii="Candara" w:hAnsi="Candara" w:cs="Arial"/>
                <w:color w:val="244061" w:themeColor="accent1" w:themeShade="80"/>
                <w:sz w:val="18"/>
                <w:szCs w:val="18"/>
              </w:rPr>
              <w:t>Argentina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66D2E1" w14:textId="3BAC5A58" w:rsidR="001D7211" w:rsidRPr="001D7211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18"/>
                <w:lang w:val="en-NZ"/>
              </w:rPr>
            </w:pPr>
            <w:r w:rsidRPr="001D7211">
              <w:rPr>
                <w:rFonts w:ascii="Candara" w:hAnsi="Candara" w:cs="Arial"/>
                <w:color w:val="244061" w:themeColor="accent1" w:themeShade="80"/>
                <w:sz w:val="18"/>
                <w:szCs w:val="18"/>
              </w:rPr>
              <w:t>AMHES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B4D907" w14:textId="6C2582ED" w:rsidR="001D7211" w:rsidRPr="001D7211" w:rsidRDefault="001D7211" w:rsidP="001D7211">
            <w:pPr>
              <w:rPr>
                <w:rFonts w:ascii="Candara" w:hAnsi="Candara" w:cs="Arial"/>
                <w:color w:val="244061" w:themeColor="accent1" w:themeShade="80"/>
                <w:sz w:val="18"/>
                <w:szCs w:val="18"/>
              </w:rPr>
            </w:pPr>
            <w:r w:rsidRPr="001D7211">
              <w:rPr>
                <w:rFonts w:ascii="Candara" w:hAnsi="Candara" w:cs="Arial"/>
                <w:color w:val="244061" w:themeColor="accent1" w:themeShade="80"/>
                <w:sz w:val="18"/>
                <w:szCs w:val="18"/>
              </w:rPr>
              <w:t>Eight largest urban areas of the country (approximately 50% of the total national population)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F6D2D5" w14:textId="59603E2D" w:rsidR="001D7211" w:rsidRPr="001D7211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18"/>
                <w:lang w:val="en-NZ"/>
              </w:rPr>
            </w:pPr>
            <w:r w:rsidRPr="001D7211">
              <w:rPr>
                <w:rFonts w:ascii="Candara" w:hAnsi="Candara" w:cs="Arial"/>
                <w:color w:val="244061" w:themeColor="accent1" w:themeShade="80"/>
                <w:sz w:val="18"/>
                <w:szCs w:val="18"/>
              </w:rPr>
              <w:t>2015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0327CC" w14:textId="5C3E181E" w:rsidR="001D7211" w:rsidRPr="001D7211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18"/>
                <w:lang w:val="en-NZ"/>
              </w:rPr>
            </w:pPr>
            <w:r w:rsidRPr="001D7211">
              <w:rPr>
                <w:rFonts w:ascii="Candara" w:hAnsi="Candara" w:cs="Arial"/>
                <w:color w:val="244061" w:themeColor="accent1" w:themeShade="80"/>
                <w:sz w:val="18"/>
                <w:szCs w:val="18"/>
              </w:rPr>
              <w:t>18-98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1A7E99" w14:textId="35C551A8" w:rsidR="001D7211" w:rsidRPr="001D7211" w:rsidRDefault="001D7211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18"/>
                <w:lang w:val="en-NZ"/>
              </w:rPr>
            </w:pPr>
            <w:r w:rsidRPr="001D7211">
              <w:rPr>
                <w:rFonts w:ascii="Candara" w:hAnsi="Candara" w:cs="Arial"/>
                <w:color w:val="244061" w:themeColor="accent1" w:themeShade="80"/>
                <w:sz w:val="18"/>
                <w:szCs w:val="18"/>
              </w:rPr>
              <w:t>3927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7783FB" w14:textId="6DDA5FDD" w:rsidR="001D7211" w:rsidRPr="001D7211" w:rsidRDefault="001D7211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18"/>
                <w:lang w:val="en-NZ"/>
              </w:rPr>
            </w:pPr>
            <w:r w:rsidRPr="001D7211">
              <w:rPr>
                <w:rFonts w:ascii="Candara" w:hAnsi="Candara" w:cs="Arial"/>
                <w:color w:val="244061" w:themeColor="accent1" w:themeShade="80"/>
                <w:sz w:val="18"/>
                <w:szCs w:val="18"/>
              </w:rPr>
              <w:t>2116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003399"/>
            </w:tcBorders>
            <w:shd w:val="clear" w:color="000000" w:fill="FFFFFF"/>
            <w:noWrap/>
            <w:vAlign w:val="center"/>
          </w:tcPr>
          <w:p w14:paraId="670F0A33" w14:textId="4163F21D" w:rsidR="001D7211" w:rsidRPr="001D7211" w:rsidRDefault="001D7211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18"/>
                <w:lang w:val="en-NZ"/>
              </w:rPr>
            </w:pPr>
            <w:r w:rsidRPr="001D7211">
              <w:rPr>
                <w:rFonts w:ascii="Candara" w:hAnsi="Candara" w:cs="Arial"/>
                <w:color w:val="244061" w:themeColor="accent1" w:themeShade="80"/>
                <w:sz w:val="18"/>
                <w:szCs w:val="18"/>
              </w:rPr>
              <w:t>77.3</w:t>
            </w:r>
          </w:p>
        </w:tc>
      </w:tr>
      <w:tr w:rsidR="001D7211" w:rsidRPr="00D433C5" w14:paraId="5424EF99" w14:textId="77777777" w:rsidTr="001D7211">
        <w:trPr>
          <w:trHeight w:val="227"/>
        </w:trPr>
        <w:tc>
          <w:tcPr>
            <w:tcW w:w="1164" w:type="pct"/>
            <w:tcBorders>
              <w:top w:val="nil"/>
              <w:left w:val="single" w:sz="8" w:space="0" w:color="003399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4A424" w14:textId="77777777" w:rsidR="001D7211" w:rsidRPr="001D7211" w:rsidRDefault="001D7211" w:rsidP="001D7211">
            <w:pPr>
              <w:ind w:firstLineChars="100" w:firstLine="180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1D7211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Japan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9A775" w14:textId="77777777" w:rsidR="001D7211" w:rsidRPr="001D7211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1D7211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 xml:space="preserve">WMHJ  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A1E0D" w14:textId="77777777" w:rsidR="001D7211" w:rsidRPr="001D7211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1D7211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 xml:space="preserve">Eleven metropolitan areas.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FBDCE" w14:textId="77777777" w:rsidR="001D7211" w:rsidRPr="001D7211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1D7211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2002-6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13CA9" w14:textId="77777777" w:rsidR="001D7211" w:rsidRPr="001D7211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1D7211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20+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0FB67" w14:textId="77777777" w:rsidR="001D7211" w:rsidRPr="001D7211" w:rsidRDefault="001D7211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1D7211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4129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9A0B7" w14:textId="77777777" w:rsidR="001D7211" w:rsidRPr="001D7211" w:rsidRDefault="001D7211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1D7211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1682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003399"/>
            </w:tcBorders>
            <w:shd w:val="clear" w:color="000000" w:fill="FFFFFF"/>
            <w:noWrap/>
            <w:vAlign w:val="center"/>
            <w:hideMark/>
          </w:tcPr>
          <w:p w14:paraId="15F787E4" w14:textId="77777777" w:rsidR="001D7211" w:rsidRPr="001D7211" w:rsidRDefault="001D7211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1D7211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55.1</w:t>
            </w:r>
          </w:p>
        </w:tc>
      </w:tr>
      <w:tr w:rsidR="001D7211" w:rsidRPr="00D433C5" w14:paraId="59F5845D" w14:textId="77777777" w:rsidTr="001D7211">
        <w:trPr>
          <w:trHeight w:val="227"/>
        </w:trPr>
        <w:tc>
          <w:tcPr>
            <w:tcW w:w="1164" w:type="pct"/>
            <w:tcBorders>
              <w:top w:val="nil"/>
              <w:left w:val="single" w:sz="8" w:space="0" w:color="003399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89C25" w14:textId="77777777" w:rsidR="001D7211" w:rsidRPr="001D7211" w:rsidRDefault="001D7211" w:rsidP="001D7211">
            <w:pPr>
              <w:ind w:firstLineChars="100" w:firstLine="180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1D7211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Northern Ireland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B0FEE" w14:textId="77777777" w:rsidR="001D7211" w:rsidRPr="001D7211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1D7211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NISHS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F0B28" w14:textId="77777777" w:rsidR="001D7211" w:rsidRPr="001D7211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1D7211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Nationally representative.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BD45F" w14:textId="77777777" w:rsidR="001D7211" w:rsidRPr="001D7211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1D7211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2004-7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F2E5C" w14:textId="77777777" w:rsidR="001D7211" w:rsidRPr="001D7211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1D7211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18+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23DFD" w14:textId="77777777" w:rsidR="001D7211" w:rsidRPr="001D7211" w:rsidRDefault="001D7211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1D7211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4340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0E016" w14:textId="77777777" w:rsidR="001D7211" w:rsidRPr="001D7211" w:rsidRDefault="001D7211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1D7211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1986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003399"/>
            </w:tcBorders>
            <w:shd w:val="clear" w:color="000000" w:fill="FFFFFF"/>
            <w:noWrap/>
            <w:vAlign w:val="center"/>
            <w:hideMark/>
          </w:tcPr>
          <w:p w14:paraId="674194C7" w14:textId="77777777" w:rsidR="001D7211" w:rsidRPr="001D7211" w:rsidRDefault="001D7211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1D7211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68.4</w:t>
            </w:r>
          </w:p>
        </w:tc>
      </w:tr>
      <w:tr w:rsidR="001D7211" w:rsidRPr="00D433C5" w14:paraId="2451EDA4" w14:textId="77777777" w:rsidTr="001D7211">
        <w:trPr>
          <w:trHeight w:val="227"/>
        </w:trPr>
        <w:tc>
          <w:tcPr>
            <w:tcW w:w="1164" w:type="pct"/>
            <w:tcBorders>
              <w:top w:val="nil"/>
              <w:left w:val="single" w:sz="8" w:space="0" w:color="003399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3B71B" w14:textId="77777777" w:rsidR="001D7211" w:rsidRPr="00D433C5" w:rsidRDefault="001D7211" w:rsidP="001D7211">
            <w:pPr>
              <w:ind w:firstLineChars="100" w:firstLine="180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Poland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4600C" w14:textId="77777777" w:rsidR="001D7211" w:rsidRPr="00D433C5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EZOP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59303" w14:textId="77777777" w:rsidR="001D7211" w:rsidRPr="00D433C5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Nationally representative.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5AE16" w14:textId="77777777" w:rsidR="001D7211" w:rsidRPr="00D433C5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2010-11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44D39" w14:textId="77777777" w:rsidR="001D7211" w:rsidRPr="00D433C5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18-64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34546" w14:textId="77777777" w:rsidR="001D7211" w:rsidRPr="00D433C5" w:rsidRDefault="001D7211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10081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53F6F" w14:textId="77777777" w:rsidR="001D7211" w:rsidRPr="00D433C5" w:rsidRDefault="001D7211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4000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003399"/>
            </w:tcBorders>
            <w:shd w:val="clear" w:color="000000" w:fill="FFFFFF"/>
            <w:noWrap/>
            <w:vAlign w:val="center"/>
            <w:hideMark/>
          </w:tcPr>
          <w:p w14:paraId="63CF5738" w14:textId="77777777" w:rsidR="001D7211" w:rsidRPr="00D433C5" w:rsidRDefault="001D7211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50.4</w:t>
            </w:r>
          </w:p>
        </w:tc>
      </w:tr>
      <w:tr w:rsidR="001D7211" w:rsidRPr="00D433C5" w14:paraId="692926EC" w14:textId="77777777" w:rsidTr="001D7211">
        <w:trPr>
          <w:trHeight w:val="227"/>
        </w:trPr>
        <w:tc>
          <w:tcPr>
            <w:tcW w:w="1164" w:type="pct"/>
            <w:tcBorders>
              <w:top w:val="nil"/>
              <w:left w:val="single" w:sz="8" w:space="0" w:color="003399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66E70" w14:textId="77777777" w:rsidR="001D7211" w:rsidRPr="00D433C5" w:rsidRDefault="001D7211" w:rsidP="001D7211">
            <w:pPr>
              <w:ind w:firstLineChars="100" w:firstLine="180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Portugal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7B1ED" w14:textId="77777777" w:rsidR="001D7211" w:rsidRPr="00D433C5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NMHS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1B906" w14:textId="77777777" w:rsidR="001D7211" w:rsidRPr="00D433C5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Nationally representative.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3F28B" w14:textId="77777777" w:rsidR="001D7211" w:rsidRPr="00D433C5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2008-9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CB6C2" w14:textId="77777777" w:rsidR="001D7211" w:rsidRPr="00D433C5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18+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BF87B" w14:textId="77777777" w:rsidR="001D7211" w:rsidRPr="00D433C5" w:rsidRDefault="001D7211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3849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875E0" w14:textId="77777777" w:rsidR="001D7211" w:rsidRPr="00D433C5" w:rsidRDefault="001D7211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2060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003399"/>
            </w:tcBorders>
            <w:shd w:val="clear" w:color="000000" w:fill="FFFFFF"/>
            <w:noWrap/>
            <w:vAlign w:val="center"/>
            <w:hideMark/>
          </w:tcPr>
          <w:p w14:paraId="013F017F" w14:textId="77777777" w:rsidR="001D7211" w:rsidRPr="00D433C5" w:rsidRDefault="001D7211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57.3</w:t>
            </w:r>
          </w:p>
        </w:tc>
      </w:tr>
      <w:tr w:rsidR="001D7211" w:rsidRPr="00D433C5" w14:paraId="48283C40" w14:textId="77777777" w:rsidTr="001D7211">
        <w:trPr>
          <w:trHeight w:val="227"/>
        </w:trPr>
        <w:tc>
          <w:tcPr>
            <w:tcW w:w="1164" w:type="pct"/>
            <w:tcBorders>
              <w:top w:val="nil"/>
              <w:left w:val="single" w:sz="8" w:space="0" w:color="003399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71801" w14:textId="77777777" w:rsidR="001D7211" w:rsidRPr="00D433C5" w:rsidRDefault="001D7211" w:rsidP="001D7211">
            <w:pPr>
              <w:ind w:firstLineChars="100" w:firstLine="180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The United States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0D5B9" w14:textId="77777777" w:rsidR="001D7211" w:rsidRPr="00D433C5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NCS-R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401AF" w14:textId="77777777" w:rsidR="001D7211" w:rsidRPr="00D433C5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Nationally representative.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16A91" w14:textId="2324AA19" w:rsidR="001D7211" w:rsidRPr="00D433C5" w:rsidRDefault="008E5A67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E57AB0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2001</w:t>
            </w:r>
            <w:r w:rsidR="001D7211" w:rsidRPr="00E57AB0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-3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22E44" w14:textId="77777777" w:rsidR="001D7211" w:rsidRPr="00D433C5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18+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5CEA0" w14:textId="77777777" w:rsidR="001D7211" w:rsidRPr="00D433C5" w:rsidRDefault="001D7211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9282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4CDDA" w14:textId="77777777" w:rsidR="001D7211" w:rsidRPr="00D433C5" w:rsidRDefault="001D7211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5692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003399"/>
            </w:tcBorders>
            <w:shd w:val="clear" w:color="000000" w:fill="FFFFFF"/>
            <w:noWrap/>
            <w:vAlign w:val="center"/>
            <w:hideMark/>
          </w:tcPr>
          <w:p w14:paraId="5AFA1C9B" w14:textId="77777777" w:rsidR="001D7211" w:rsidRPr="00D433C5" w:rsidRDefault="001D7211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70.9</w:t>
            </w:r>
          </w:p>
        </w:tc>
      </w:tr>
      <w:tr w:rsidR="001D7211" w:rsidRPr="00D433C5" w14:paraId="5B58AE82" w14:textId="77777777" w:rsidTr="001D7211">
        <w:trPr>
          <w:trHeight w:val="227"/>
        </w:trPr>
        <w:tc>
          <w:tcPr>
            <w:tcW w:w="1164" w:type="pct"/>
            <w:tcBorders>
              <w:top w:val="single" w:sz="8" w:space="0" w:color="003399"/>
              <w:left w:val="single" w:sz="8" w:space="0" w:color="003399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C4A33" w14:textId="77777777" w:rsidR="001D7211" w:rsidRPr="00D433C5" w:rsidRDefault="001D7211" w:rsidP="001D7211">
            <w:pPr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lastRenderedPageBreak/>
              <w:t xml:space="preserve">Total </w:t>
            </w:r>
          </w:p>
        </w:tc>
        <w:tc>
          <w:tcPr>
            <w:tcW w:w="764" w:type="pct"/>
            <w:tcBorders>
              <w:top w:val="single" w:sz="8" w:space="0" w:color="00339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77665" w14:textId="77777777" w:rsidR="001D7211" w:rsidRPr="00D433C5" w:rsidRDefault="001D7211" w:rsidP="001D7211">
            <w:pPr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1308" w:type="pct"/>
            <w:tcBorders>
              <w:top w:val="single" w:sz="8" w:space="0" w:color="00339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5E1CD" w14:textId="77777777" w:rsidR="001D7211" w:rsidRPr="00D433C5" w:rsidRDefault="001D7211" w:rsidP="001D7211">
            <w:pPr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62" w:type="pct"/>
            <w:tcBorders>
              <w:top w:val="single" w:sz="8" w:space="0" w:color="00339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43889" w14:textId="77777777" w:rsidR="001D7211" w:rsidRPr="00D433C5" w:rsidRDefault="001D7211" w:rsidP="001D7211">
            <w:pPr>
              <w:jc w:val="right"/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33" w:type="pct"/>
            <w:tcBorders>
              <w:top w:val="single" w:sz="8" w:space="0" w:color="00339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9A90D" w14:textId="77777777" w:rsidR="001D7211" w:rsidRPr="00D433C5" w:rsidRDefault="001D7211" w:rsidP="001D7211">
            <w:pPr>
              <w:jc w:val="right"/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34" w:type="pct"/>
            <w:tcBorders>
              <w:top w:val="single" w:sz="8" w:space="0" w:color="00339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723EE" w14:textId="4B6CB78D" w:rsidR="001D7211" w:rsidRPr="00D433C5" w:rsidRDefault="00CA7A4F" w:rsidP="001D7211">
            <w:pPr>
              <w:jc w:val="right"/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86789</w:t>
            </w:r>
          </w:p>
        </w:tc>
        <w:tc>
          <w:tcPr>
            <w:tcW w:w="334" w:type="pct"/>
            <w:tcBorders>
              <w:top w:val="single" w:sz="8" w:space="0" w:color="00339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A0A86" w14:textId="06BEA214" w:rsidR="001D7211" w:rsidRPr="00D433C5" w:rsidRDefault="001D7211" w:rsidP="001D7211">
            <w:pPr>
              <w:jc w:val="right"/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4</w:t>
            </w:r>
            <w:r w:rsidR="00F03C9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5266</w:t>
            </w:r>
          </w:p>
        </w:tc>
        <w:tc>
          <w:tcPr>
            <w:tcW w:w="401" w:type="pct"/>
            <w:tcBorders>
              <w:top w:val="single" w:sz="8" w:space="0" w:color="003399"/>
              <w:left w:val="nil"/>
              <w:bottom w:val="nil"/>
              <w:right w:val="single" w:sz="8" w:space="0" w:color="003399"/>
            </w:tcBorders>
            <w:shd w:val="clear" w:color="000000" w:fill="FFFFFF"/>
            <w:noWrap/>
            <w:vAlign w:val="center"/>
            <w:hideMark/>
          </w:tcPr>
          <w:p w14:paraId="39D27ED6" w14:textId="77777777" w:rsidR="001D7211" w:rsidRPr="00D433C5" w:rsidRDefault="001D7211" w:rsidP="001D7211">
            <w:pPr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</w:tr>
      <w:tr w:rsidR="001D7211" w:rsidRPr="00D433C5" w14:paraId="17946909" w14:textId="77777777" w:rsidTr="001D7211">
        <w:trPr>
          <w:trHeight w:val="227"/>
        </w:trPr>
        <w:tc>
          <w:tcPr>
            <w:tcW w:w="1928" w:type="pct"/>
            <w:gridSpan w:val="2"/>
            <w:tcBorders>
              <w:top w:val="nil"/>
              <w:left w:val="single" w:sz="8" w:space="0" w:color="003399"/>
              <w:bottom w:val="single" w:sz="8" w:space="0" w:color="003399"/>
              <w:right w:val="nil"/>
            </w:tcBorders>
            <w:shd w:val="clear" w:color="000000" w:fill="FFFFFF"/>
            <w:noWrap/>
            <w:vAlign w:val="center"/>
            <w:hideMark/>
          </w:tcPr>
          <w:p w14:paraId="742B981A" w14:textId="77777777" w:rsidR="001D7211" w:rsidRPr="00D433C5" w:rsidRDefault="001D7211" w:rsidP="001D7211">
            <w:pPr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Weighted average response rate (%)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003399"/>
              <w:right w:val="nil"/>
            </w:tcBorders>
            <w:shd w:val="clear" w:color="000000" w:fill="FFFFFF"/>
            <w:noWrap/>
            <w:vAlign w:val="center"/>
            <w:hideMark/>
          </w:tcPr>
          <w:p w14:paraId="47770658" w14:textId="77777777" w:rsidR="001D7211" w:rsidRPr="00D433C5" w:rsidRDefault="001D7211" w:rsidP="001D7211">
            <w:pPr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3399"/>
              <w:right w:val="nil"/>
            </w:tcBorders>
            <w:shd w:val="clear" w:color="000000" w:fill="FFFFFF"/>
            <w:noWrap/>
            <w:vAlign w:val="center"/>
            <w:hideMark/>
          </w:tcPr>
          <w:p w14:paraId="3C3B4333" w14:textId="77777777" w:rsidR="001D7211" w:rsidRPr="00D433C5" w:rsidRDefault="001D7211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3399"/>
              <w:right w:val="nil"/>
            </w:tcBorders>
            <w:shd w:val="clear" w:color="000000" w:fill="FFFFFF"/>
            <w:noWrap/>
            <w:vAlign w:val="center"/>
            <w:hideMark/>
          </w:tcPr>
          <w:p w14:paraId="488DBE37" w14:textId="77777777" w:rsidR="001D7211" w:rsidRPr="00D433C5" w:rsidRDefault="001D7211" w:rsidP="001D7211">
            <w:pPr>
              <w:jc w:val="right"/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3399"/>
              <w:right w:val="nil"/>
            </w:tcBorders>
            <w:shd w:val="clear" w:color="000000" w:fill="FFFFFF"/>
            <w:noWrap/>
            <w:vAlign w:val="center"/>
            <w:hideMark/>
          </w:tcPr>
          <w:p w14:paraId="00C710C9" w14:textId="77777777" w:rsidR="001D7211" w:rsidRPr="00D433C5" w:rsidRDefault="001D7211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3399"/>
              <w:right w:val="nil"/>
            </w:tcBorders>
            <w:shd w:val="clear" w:color="000000" w:fill="FFFFFF"/>
            <w:noWrap/>
            <w:vAlign w:val="center"/>
            <w:hideMark/>
          </w:tcPr>
          <w:p w14:paraId="6FDBA976" w14:textId="77777777" w:rsidR="001D7211" w:rsidRPr="00D433C5" w:rsidRDefault="001D7211" w:rsidP="001D7211">
            <w:pPr>
              <w:jc w:val="right"/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3399"/>
              <w:right w:val="single" w:sz="8" w:space="0" w:color="003399"/>
            </w:tcBorders>
            <w:shd w:val="clear" w:color="000000" w:fill="FFFFFF"/>
            <w:noWrap/>
            <w:vAlign w:val="center"/>
            <w:hideMark/>
          </w:tcPr>
          <w:p w14:paraId="590107C8" w14:textId="1A9CDFD4" w:rsidR="001D7211" w:rsidRPr="00D433C5" w:rsidRDefault="00CA7A4F" w:rsidP="001D7211">
            <w:pPr>
              <w:jc w:val="right"/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244061" w:themeColor="accent1" w:themeShade="80"/>
                <w:sz w:val="18"/>
                <w:szCs w:val="20"/>
                <w:lang w:val="en-NZ"/>
              </w:rPr>
              <w:t>71.1</w:t>
            </w:r>
          </w:p>
        </w:tc>
      </w:tr>
      <w:tr w:rsidR="001D7211" w:rsidRPr="00D433C5" w14:paraId="75756BBF" w14:textId="77777777" w:rsidTr="001D7211">
        <w:trPr>
          <w:trHeight w:val="22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E4EE5" w14:textId="77777777" w:rsidR="001D7211" w:rsidRPr="00D433C5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proofErr w:type="spellStart"/>
            <w:proofErr w:type="gramStart"/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vertAlign w:val="superscript"/>
                <w:lang w:val="en-NZ"/>
              </w:rPr>
              <w:t>a</w:t>
            </w:r>
            <w:proofErr w:type="spellEnd"/>
            <w:proofErr w:type="gramEnd"/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 xml:space="preserve"> The World Bank. (2008). Data and Statistics. Accessed May 12, 2009 at: http://go.worldbank.org/D7SN0B8YU0</w:t>
            </w:r>
          </w:p>
        </w:tc>
      </w:tr>
      <w:tr w:rsidR="001D7211" w:rsidRPr="00D433C5" w14:paraId="66344B5B" w14:textId="77777777" w:rsidTr="001D7211">
        <w:trPr>
          <w:trHeight w:val="22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3864F" w14:textId="77777777" w:rsidR="001D7211" w:rsidRPr="00D433C5" w:rsidRDefault="001D7211" w:rsidP="001D7211">
            <w:pPr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</w:pPr>
            <w:proofErr w:type="spellStart"/>
            <w:proofErr w:type="gramStart"/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vertAlign w:val="superscript"/>
                <w:lang w:val="en-NZ"/>
              </w:rPr>
              <w:t>b</w:t>
            </w:r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>For</w:t>
            </w:r>
            <w:proofErr w:type="spellEnd"/>
            <w:proofErr w:type="gramEnd"/>
            <w:r w:rsidRPr="00D433C5">
              <w:rPr>
                <w:rFonts w:ascii="Candara" w:eastAsia="Times New Roman" w:hAnsi="Candara" w:cs="Times New Roman"/>
                <w:color w:val="244061" w:themeColor="accent1" w:themeShade="80"/>
                <w:sz w:val="18"/>
                <w:szCs w:val="20"/>
                <w:lang w:val="en-NZ"/>
              </w:rPr>
              <w:t xml:space="preserve"> the purposes of cross-national comparisons we limit the sample to those 18+.</w:t>
            </w:r>
          </w:p>
        </w:tc>
      </w:tr>
    </w:tbl>
    <w:p w14:paraId="7F3BC6E9" w14:textId="77777777" w:rsidR="00B1576E" w:rsidRDefault="00B1576E"/>
    <w:p w14:paraId="334AC537" w14:textId="77777777" w:rsidR="00B721D9" w:rsidRDefault="00B721D9">
      <w:r>
        <w:br w:type="page"/>
      </w:r>
    </w:p>
    <w:tbl>
      <w:tblPr>
        <w:tblW w:w="12120" w:type="dxa"/>
        <w:tblLook w:val="04A0" w:firstRow="1" w:lastRow="0" w:firstColumn="1" w:lastColumn="0" w:noHBand="0" w:noVBand="1"/>
      </w:tblPr>
      <w:tblGrid>
        <w:gridCol w:w="5708"/>
        <w:gridCol w:w="533"/>
        <w:gridCol w:w="533"/>
        <w:gridCol w:w="586"/>
        <w:gridCol w:w="481"/>
        <w:gridCol w:w="533"/>
        <w:gridCol w:w="533"/>
        <w:gridCol w:w="586"/>
        <w:gridCol w:w="481"/>
        <w:gridCol w:w="632"/>
        <w:gridCol w:w="632"/>
        <w:gridCol w:w="726"/>
        <w:gridCol w:w="535"/>
      </w:tblGrid>
      <w:tr w:rsidR="00B721D9" w:rsidRPr="00B721D9" w14:paraId="088A84C6" w14:textId="77777777" w:rsidTr="00B721D9">
        <w:trPr>
          <w:trHeight w:val="378"/>
        </w:trPr>
        <w:tc>
          <w:tcPr>
            <w:tcW w:w="121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7CB076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b/>
                <w:bCs/>
                <w:color w:val="003399"/>
                <w:sz w:val="25"/>
                <w:szCs w:val="25"/>
                <w:lang w:val="en-NZ" w:eastAsia="en-N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3399"/>
                <w:sz w:val="25"/>
                <w:szCs w:val="25"/>
                <w:lang w:val="en-NZ" w:eastAsia="en-NZ"/>
              </w:rPr>
              <w:lastRenderedPageBreak/>
              <w:t xml:space="preserve">Table S2 </w:t>
            </w:r>
            <w:r w:rsidRPr="00B721D9">
              <w:rPr>
                <w:rFonts w:ascii="Helvetica" w:eastAsia="Times New Roman" w:hAnsi="Helvetica" w:cs="Helvetica"/>
                <w:b/>
                <w:bCs/>
                <w:color w:val="003399"/>
                <w:sz w:val="25"/>
                <w:szCs w:val="25"/>
                <w:lang w:val="en-NZ" w:eastAsia="en-NZ"/>
              </w:rPr>
              <w:t>Temporal ordering of comorbid disorders and IED.</w:t>
            </w:r>
          </w:p>
        </w:tc>
      </w:tr>
      <w:tr w:rsidR="00B721D9" w:rsidRPr="00B721D9" w14:paraId="5D277F4F" w14:textId="77777777" w:rsidTr="00B721D9">
        <w:trPr>
          <w:trHeight w:val="240"/>
        </w:trPr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4549B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E8C62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C6FC8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91FE0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8B481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1BACA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7B006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8AB72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62960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E3679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C7754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AB446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2A458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</w:tr>
      <w:tr w:rsidR="00B721D9" w:rsidRPr="00B721D9" w14:paraId="2286861F" w14:textId="77777777" w:rsidTr="00B721D9">
        <w:trPr>
          <w:trHeight w:val="300"/>
        </w:trPr>
        <w:tc>
          <w:tcPr>
            <w:tcW w:w="5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6495ED"/>
            <w:noWrap/>
            <w:vAlign w:val="bottom"/>
            <w:hideMark/>
          </w:tcPr>
          <w:p w14:paraId="4F4BF482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6412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6495ED"/>
            <w:noWrap/>
            <w:vAlign w:val="bottom"/>
            <w:hideMark/>
          </w:tcPr>
          <w:p w14:paraId="2FEFEDE7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Comorbid disorder class</w:t>
            </w:r>
          </w:p>
        </w:tc>
      </w:tr>
      <w:tr w:rsidR="00B721D9" w:rsidRPr="00B721D9" w14:paraId="236153E5" w14:textId="77777777" w:rsidTr="00B721D9">
        <w:trPr>
          <w:trHeight w:val="600"/>
        </w:trPr>
        <w:tc>
          <w:tcPr>
            <w:tcW w:w="5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6495ED"/>
            <w:noWrap/>
            <w:vAlign w:val="bottom"/>
            <w:hideMark/>
          </w:tcPr>
          <w:p w14:paraId="1DD40684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1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6495ED"/>
            <w:vAlign w:val="center"/>
            <w:hideMark/>
          </w:tcPr>
          <w:p w14:paraId="6A0AB2B8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Internalizing</w:t>
            </w: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br/>
              <w:t>only</w:t>
            </w:r>
          </w:p>
        </w:tc>
        <w:tc>
          <w:tcPr>
            <w:tcW w:w="1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495ED"/>
            <w:noWrap/>
            <w:vAlign w:val="center"/>
            <w:hideMark/>
          </w:tcPr>
          <w:p w14:paraId="37772299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Externalizing only</w:t>
            </w:r>
          </w:p>
        </w:tc>
        <w:tc>
          <w:tcPr>
            <w:tcW w:w="25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495ED"/>
            <w:vAlign w:val="center"/>
            <w:hideMark/>
          </w:tcPr>
          <w:p w14:paraId="707714AE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Internalizing and</w:t>
            </w: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br/>
              <w:t>externalizing</w:t>
            </w:r>
          </w:p>
        </w:tc>
      </w:tr>
      <w:tr w:rsidR="00B721D9" w:rsidRPr="00B721D9" w14:paraId="32621D24" w14:textId="77777777" w:rsidTr="00B721D9">
        <w:trPr>
          <w:trHeight w:val="300"/>
        </w:trPr>
        <w:tc>
          <w:tcPr>
            <w:tcW w:w="5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6495ED"/>
            <w:noWrap/>
            <w:vAlign w:val="bottom"/>
            <w:hideMark/>
          </w:tcPr>
          <w:p w14:paraId="67DC3542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Temporal ordering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05F4003E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n</w:t>
            </w: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bscript"/>
                <w:lang w:val="en-NZ" w:eastAsia="en-NZ"/>
              </w:rPr>
              <w:t>1</w:t>
            </w: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perscript"/>
                <w:lang w:val="en-NZ" w:eastAsia="en-NZ"/>
              </w:rPr>
              <w:t>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7CBA0723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n</w:t>
            </w: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bscript"/>
                <w:lang w:val="en-NZ" w:eastAsia="en-NZ"/>
              </w:rPr>
              <w:t>2</w:t>
            </w: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perscript"/>
                <w:lang w:val="en-NZ" w:eastAsia="en-NZ"/>
              </w:rPr>
              <w:t>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07B0C7E6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%</w:t>
            </w: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perscript"/>
                <w:lang w:val="en-NZ" w:eastAsia="en-NZ"/>
              </w:rPr>
              <w:t>c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23F17189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SE</w:t>
            </w:r>
          </w:p>
        </w:tc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009D6A58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n</w:t>
            </w: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bscript"/>
                <w:lang w:val="en-NZ" w:eastAsia="en-NZ"/>
              </w:rPr>
              <w:t>1</w:t>
            </w: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perscript"/>
                <w:lang w:val="en-NZ" w:eastAsia="en-NZ"/>
              </w:rPr>
              <w:t>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32054FB7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n</w:t>
            </w: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bscript"/>
                <w:lang w:val="en-NZ" w:eastAsia="en-NZ"/>
              </w:rPr>
              <w:t>2</w:t>
            </w: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perscript"/>
                <w:lang w:val="en-NZ" w:eastAsia="en-NZ"/>
              </w:rPr>
              <w:t>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10CFFD98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%</w:t>
            </w: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perscript"/>
                <w:lang w:val="en-NZ" w:eastAsia="en-NZ"/>
              </w:rPr>
              <w:t>c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495ED"/>
            <w:noWrap/>
            <w:vAlign w:val="bottom"/>
            <w:hideMark/>
          </w:tcPr>
          <w:p w14:paraId="16407498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SE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41C5A82C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n</w:t>
            </w: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bscript"/>
                <w:lang w:val="en-NZ" w:eastAsia="en-NZ"/>
              </w:rPr>
              <w:t>1</w:t>
            </w: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perscript"/>
                <w:lang w:val="en-NZ" w:eastAsia="en-NZ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56D183FA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n</w:t>
            </w: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bscript"/>
                <w:lang w:val="en-NZ" w:eastAsia="en-NZ"/>
              </w:rPr>
              <w:t>2</w:t>
            </w: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perscript"/>
                <w:lang w:val="en-NZ" w:eastAsia="en-NZ"/>
              </w:rPr>
              <w:t>b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3EC0E3D7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%</w:t>
            </w: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perscript"/>
                <w:lang w:val="en-NZ" w:eastAsia="en-NZ"/>
              </w:rPr>
              <w:t>c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495ED"/>
            <w:noWrap/>
            <w:vAlign w:val="bottom"/>
            <w:hideMark/>
          </w:tcPr>
          <w:p w14:paraId="08F176AA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SE</w:t>
            </w:r>
          </w:p>
        </w:tc>
      </w:tr>
      <w:tr w:rsidR="00B721D9" w:rsidRPr="00B721D9" w14:paraId="1D2B63BB" w14:textId="77777777" w:rsidTr="00B721D9">
        <w:trPr>
          <w:trHeight w:val="282"/>
        </w:trPr>
        <w:tc>
          <w:tcPr>
            <w:tcW w:w="5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4CF8F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IED before all comorbid disorders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B86DA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129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1343D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435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DAFE0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30.6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0E230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2.9</w:t>
            </w:r>
          </w:p>
        </w:tc>
        <w:tc>
          <w:tcPr>
            <w:tcW w:w="4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24605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140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50DF4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301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4FED7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49.3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715699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3.6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3F2EA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134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AD1D9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15FAE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29.2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3054A1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2.5</w:t>
            </w:r>
          </w:p>
        </w:tc>
      </w:tr>
      <w:tr w:rsidR="00B721D9" w:rsidRPr="00B721D9" w14:paraId="6100B940" w14:textId="77777777" w:rsidTr="00B721D9">
        <w:trPr>
          <w:trHeight w:val="282"/>
        </w:trPr>
        <w:tc>
          <w:tcPr>
            <w:tcW w:w="5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DBC1A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IED concurrent with at least one comorbid disorder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5E9A4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46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11B42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435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F9549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9.9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ED0FD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1.7</w:t>
            </w:r>
          </w:p>
        </w:tc>
        <w:tc>
          <w:tcPr>
            <w:tcW w:w="4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4279E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22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0AA99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301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D6D06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6.6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2C56EB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F6A1C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54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68DDD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D1B05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9.9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E27073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1.6</w:t>
            </w:r>
          </w:p>
        </w:tc>
      </w:tr>
      <w:tr w:rsidR="00B721D9" w:rsidRPr="00B721D9" w14:paraId="41BFBB40" w14:textId="77777777" w:rsidTr="00B721D9">
        <w:trPr>
          <w:trHeight w:val="282"/>
        </w:trPr>
        <w:tc>
          <w:tcPr>
            <w:tcW w:w="5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CFC568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IED after at least one comorbid disorder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D51BF9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260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ED63A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435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8D66CF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59.5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ADD0DF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2.9</w:t>
            </w:r>
          </w:p>
        </w:tc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329AEF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139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6E84D7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301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EAF78D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44.2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27A371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3.6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B605A9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316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03F58B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504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EFA479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60.9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857AAA" w14:textId="77777777" w:rsidR="00B721D9" w:rsidRPr="00B721D9" w:rsidRDefault="00B721D9" w:rsidP="00B721D9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2.7</w:t>
            </w:r>
          </w:p>
        </w:tc>
      </w:tr>
      <w:tr w:rsidR="00B721D9" w:rsidRPr="00B721D9" w14:paraId="4B45D7D9" w14:textId="77777777" w:rsidTr="00B721D9">
        <w:trPr>
          <w:trHeight w:val="240"/>
        </w:trPr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F6AE0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41167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C8A57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3F111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3DB42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F7B1F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32FBF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BAA46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00AE3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E5692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BEA0B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E7B05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22C2F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</w:tr>
      <w:tr w:rsidR="00B721D9" w:rsidRPr="00B721D9" w14:paraId="480CD9D4" w14:textId="77777777" w:rsidTr="00B721D9">
        <w:trPr>
          <w:trHeight w:val="600"/>
        </w:trPr>
        <w:tc>
          <w:tcPr>
            <w:tcW w:w="121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67254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>Internalizing disorders include GAD, agoraphobia, panic disorder, PTSD, separation anxiety, social phobia, major depression/dysthymia, bipolar disorder, bulimia nervosa, and binge eating disorder.</w:t>
            </w:r>
          </w:p>
        </w:tc>
      </w:tr>
      <w:tr w:rsidR="00B721D9" w:rsidRPr="00B721D9" w14:paraId="12194817" w14:textId="77777777" w:rsidTr="00B721D9">
        <w:trPr>
          <w:trHeight w:val="585"/>
        </w:trPr>
        <w:tc>
          <w:tcPr>
            <w:tcW w:w="121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0D87A3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</w:pPr>
            <w:r w:rsidRPr="00B721D9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>Externalizing disorders include ADHD, oppositional defiant disorder, conduct disorder, and alcohol and drug abuse and dependence.</w:t>
            </w:r>
          </w:p>
        </w:tc>
      </w:tr>
      <w:tr w:rsidR="00B721D9" w:rsidRPr="00B721D9" w14:paraId="71274C68" w14:textId="77777777" w:rsidTr="00B721D9">
        <w:trPr>
          <w:trHeight w:val="300"/>
        </w:trPr>
        <w:tc>
          <w:tcPr>
            <w:tcW w:w="121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EF65F5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</w:pPr>
            <w:proofErr w:type="spellStart"/>
            <w:r w:rsidRPr="00B721D9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vertAlign w:val="superscript"/>
                <w:lang w:val="en-NZ" w:eastAsia="en-NZ"/>
              </w:rPr>
              <w:t>a</w:t>
            </w:r>
            <w:r w:rsidRPr="00B721D9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>Nominator</w:t>
            </w:r>
            <w:proofErr w:type="spellEnd"/>
            <w:r w:rsidRPr="00B721D9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 xml:space="preserve"> N (number of participants reporting the outcome)</w:t>
            </w:r>
          </w:p>
        </w:tc>
      </w:tr>
      <w:tr w:rsidR="00B721D9" w:rsidRPr="00B721D9" w14:paraId="3E340A20" w14:textId="77777777" w:rsidTr="00B721D9">
        <w:trPr>
          <w:trHeight w:val="300"/>
        </w:trPr>
        <w:tc>
          <w:tcPr>
            <w:tcW w:w="121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AB1AE9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</w:pPr>
            <w:proofErr w:type="spellStart"/>
            <w:r w:rsidRPr="00B721D9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vertAlign w:val="superscript"/>
                <w:lang w:val="en-NZ" w:eastAsia="en-NZ"/>
              </w:rPr>
              <w:t>b</w:t>
            </w:r>
            <w:r w:rsidRPr="00B721D9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>Denominator</w:t>
            </w:r>
            <w:proofErr w:type="spellEnd"/>
            <w:r w:rsidRPr="00B721D9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 xml:space="preserve"> N (number of participants asked the question)</w:t>
            </w:r>
          </w:p>
        </w:tc>
      </w:tr>
      <w:tr w:rsidR="00B721D9" w:rsidRPr="00B721D9" w14:paraId="48BC00F6" w14:textId="77777777" w:rsidTr="00B721D9">
        <w:trPr>
          <w:trHeight w:val="300"/>
        </w:trPr>
        <w:tc>
          <w:tcPr>
            <w:tcW w:w="121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55147" w14:textId="77777777" w:rsidR="00B721D9" w:rsidRPr="00B721D9" w:rsidRDefault="00B721D9" w:rsidP="00B721D9">
            <w:pPr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</w:pPr>
            <w:proofErr w:type="spellStart"/>
            <w:r w:rsidRPr="00B721D9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vertAlign w:val="superscript"/>
                <w:lang w:val="en-NZ" w:eastAsia="en-NZ"/>
              </w:rPr>
              <w:t>c</w:t>
            </w:r>
            <w:r w:rsidRPr="00B721D9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>Percentages</w:t>
            </w:r>
            <w:proofErr w:type="spellEnd"/>
            <w:r w:rsidRPr="00B721D9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 xml:space="preserve"> are based on weighted data</w:t>
            </w:r>
          </w:p>
        </w:tc>
      </w:tr>
    </w:tbl>
    <w:p w14:paraId="6F7DB40F" w14:textId="77777777" w:rsidR="00B721D9" w:rsidRDefault="00B721D9"/>
    <w:p w14:paraId="4471835C" w14:textId="77777777" w:rsidR="00604B88" w:rsidRDefault="00604B88">
      <w:r>
        <w:br w:type="page"/>
      </w:r>
    </w:p>
    <w:tbl>
      <w:tblPr>
        <w:tblW w:w="11169" w:type="dxa"/>
        <w:tblLook w:val="04A0" w:firstRow="1" w:lastRow="0" w:firstColumn="1" w:lastColumn="0" w:noHBand="0" w:noVBand="1"/>
      </w:tblPr>
      <w:tblGrid>
        <w:gridCol w:w="2459"/>
        <w:gridCol w:w="639"/>
        <w:gridCol w:w="784"/>
        <w:gridCol w:w="481"/>
        <w:gridCol w:w="481"/>
        <w:gridCol w:w="534"/>
        <w:gridCol w:w="534"/>
        <w:gridCol w:w="586"/>
        <w:gridCol w:w="481"/>
        <w:gridCol w:w="555"/>
        <w:gridCol w:w="1094"/>
        <w:gridCol w:w="1080"/>
        <w:gridCol w:w="991"/>
        <w:gridCol w:w="470"/>
      </w:tblGrid>
      <w:tr w:rsidR="00604B88" w:rsidRPr="00604B88" w14:paraId="2CED0F1F" w14:textId="77777777" w:rsidTr="00FB0FCC">
        <w:trPr>
          <w:trHeight w:val="378"/>
        </w:trPr>
        <w:tc>
          <w:tcPr>
            <w:tcW w:w="111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92714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b/>
                <w:bCs/>
                <w:color w:val="003399"/>
                <w:sz w:val="25"/>
                <w:szCs w:val="25"/>
                <w:lang w:val="en-NZ" w:eastAsia="en-N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3399"/>
                <w:sz w:val="25"/>
                <w:szCs w:val="25"/>
                <w:lang w:val="en-NZ" w:eastAsia="en-NZ"/>
              </w:rPr>
              <w:lastRenderedPageBreak/>
              <w:t xml:space="preserve">Table S3a. </w:t>
            </w:r>
            <w:r w:rsidRPr="00604B88">
              <w:rPr>
                <w:rFonts w:ascii="Helvetica" w:eastAsia="Times New Roman" w:hAnsi="Helvetica" w:cs="Helvetica"/>
                <w:b/>
                <w:bCs/>
                <w:color w:val="003399"/>
                <w:sz w:val="25"/>
                <w:szCs w:val="25"/>
                <w:lang w:val="en-NZ" w:eastAsia="en-NZ"/>
              </w:rPr>
              <w:t>Lifetime prevalence of suicidality in respondents with or without IED.</w:t>
            </w:r>
          </w:p>
        </w:tc>
      </w:tr>
      <w:tr w:rsidR="00604B88" w:rsidRPr="00604B88" w14:paraId="4F35AEB8" w14:textId="77777777" w:rsidTr="00FB0FCC">
        <w:trPr>
          <w:trHeight w:val="240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9DE79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88301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675EF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730FD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F0CC9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A61AB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1D77A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454FC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D3684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1402C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77FC6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D93B7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8B136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36DBD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</w:tr>
      <w:tr w:rsidR="00604B88" w:rsidRPr="00604B88" w14:paraId="7EB14C05" w14:textId="77777777" w:rsidTr="00FB0FCC">
        <w:trPr>
          <w:trHeight w:val="300"/>
        </w:trPr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6495ED"/>
            <w:noWrap/>
            <w:vAlign w:val="bottom"/>
            <w:hideMark/>
          </w:tcPr>
          <w:p w14:paraId="597CB87C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238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6495ED"/>
            <w:noWrap/>
            <w:vAlign w:val="bottom"/>
            <w:hideMark/>
          </w:tcPr>
          <w:p w14:paraId="20BE5F9D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No IED</w:t>
            </w:r>
          </w:p>
        </w:tc>
        <w:tc>
          <w:tcPr>
            <w:tcW w:w="632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6495ED"/>
            <w:noWrap/>
            <w:vAlign w:val="bottom"/>
            <w:hideMark/>
          </w:tcPr>
          <w:p w14:paraId="4266D976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IED</w:t>
            </w:r>
          </w:p>
        </w:tc>
      </w:tr>
      <w:tr w:rsidR="00604B88" w:rsidRPr="00604B88" w14:paraId="44FFFDF2" w14:textId="77777777" w:rsidTr="00FB0FCC">
        <w:trPr>
          <w:trHeight w:val="300"/>
        </w:trPr>
        <w:tc>
          <w:tcPr>
            <w:tcW w:w="24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6495ED"/>
            <w:noWrap/>
            <w:vAlign w:val="bottom"/>
            <w:hideMark/>
          </w:tcPr>
          <w:p w14:paraId="72BE58F2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238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6495ED"/>
            <w:noWrap/>
            <w:vAlign w:val="bottom"/>
            <w:hideMark/>
          </w:tcPr>
          <w:p w14:paraId="0B6722F2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Percentages</w:t>
            </w:r>
          </w:p>
        </w:tc>
        <w:tc>
          <w:tcPr>
            <w:tcW w:w="213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6495ED"/>
            <w:noWrap/>
            <w:vAlign w:val="bottom"/>
            <w:hideMark/>
          </w:tcPr>
          <w:p w14:paraId="0EB4481A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Percentages</w:t>
            </w:r>
          </w:p>
        </w:tc>
        <w:tc>
          <w:tcPr>
            <w:tcW w:w="419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6495ED"/>
            <w:noWrap/>
            <w:vAlign w:val="bottom"/>
            <w:hideMark/>
          </w:tcPr>
          <w:p w14:paraId="353ECB0A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Parameter estimates</w:t>
            </w:r>
          </w:p>
        </w:tc>
      </w:tr>
      <w:tr w:rsidR="00604B88" w:rsidRPr="00604B88" w14:paraId="580E6DF5" w14:textId="77777777" w:rsidTr="00FB0FCC">
        <w:trPr>
          <w:trHeight w:val="300"/>
        </w:trPr>
        <w:tc>
          <w:tcPr>
            <w:tcW w:w="2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2BBE1969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Suicidality variable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36E1AB95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n</w:t>
            </w: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bscript"/>
                <w:lang w:val="en-NZ" w:eastAsia="en-NZ"/>
              </w:rPr>
              <w:t>1</w:t>
            </w: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perscript"/>
                <w:lang w:val="en-NZ" w:eastAsia="en-NZ"/>
              </w:rPr>
              <w:t>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0A805630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n</w:t>
            </w: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bscript"/>
                <w:lang w:val="en-NZ" w:eastAsia="en-NZ"/>
              </w:rPr>
              <w:t>2</w:t>
            </w: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perscript"/>
                <w:lang w:val="en-NZ" w:eastAsia="en-NZ"/>
              </w:rPr>
              <w:t>b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787727DB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%</w:t>
            </w: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perscript"/>
                <w:lang w:val="en-NZ" w:eastAsia="en-NZ"/>
              </w:rPr>
              <w:t>c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0E40F426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SE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6CE30562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n</w:t>
            </w: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bscript"/>
                <w:lang w:val="en-NZ" w:eastAsia="en-NZ"/>
              </w:rPr>
              <w:t>1</w:t>
            </w: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perscript"/>
                <w:lang w:val="en-NZ" w:eastAsia="en-NZ"/>
              </w:rPr>
              <w:t>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5C52678D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n</w:t>
            </w: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bscript"/>
                <w:lang w:val="en-NZ" w:eastAsia="en-NZ"/>
              </w:rPr>
              <w:t>2</w:t>
            </w: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perscript"/>
                <w:lang w:val="en-NZ" w:eastAsia="en-NZ"/>
              </w:rPr>
              <w:t>b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605B7C3D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%</w:t>
            </w: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perscript"/>
                <w:lang w:val="en-NZ" w:eastAsia="en-NZ"/>
              </w:rPr>
              <w:t>c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30BA1F35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SE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6F4BEF12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OR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4F1F75EE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(95% CI)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04FC16FD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Wald X2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560A8E1F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P-value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495ED"/>
            <w:noWrap/>
            <w:vAlign w:val="bottom"/>
            <w:hideMark/>
          </w:tcPr>
          <w:p w14:paraId="6DFB2D86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DF</w:t>
            </w:r>
          </w:p>
        </w:tc>
      </w:tr>
      <w:tr w:rsidR="00FB0FCC" w:rsidRPr="00604B88" w14:paraId="1013EEF4" w14:textId="77777777" w:rsidTr="00FB0FCC">
        <w:trPr>
          <w:trHeight w:val="282"/>
        </w:trPr>
        <w:tc>
          <w:tcPr>
            <w:tcW w:w="24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D28A5" w14:textId="77777777" w:rsidR="00FB0FCC" w:rsidRPr="00604B88" w:rsidRDefault="00FB0FCC" w:rsidP="00FB0FCC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Ideation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D1735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6492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04139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86138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2C9A7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7.3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ECA02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0.1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898D4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263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BB848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651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99600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38.1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C2A96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2.0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A72E5" w14:textId="19399448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hAnsi="Helvetica"/>
                <w:color w:val="000000"/>
                <w:sz w:val="19"/>
                <w:szCs w:val="19"/>
              </w:rPr>
              <w:t>5.4*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669B9" w14:textId="2B501A0D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hAnsi="Helvetica"/>
                <w:color w:val="000000"/>
                <w:sz w:val="19"/>
                <w:szCs w:val="19"/>
              </w:rPr>
              <w:t>(4.5-6.5)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2B055" w14:textId="2B6E1CAB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hAnsi="Helvetica"/>
                <w:color w:val="000000"/>
                <w:sz w:val="19"/>
                <w:szCs w:val="19"/>
              </w:rPr>
              <w:t>312.7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3635A" w14:textId="54E2EAAD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&lt;0.001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D74F8E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</w:t>
            </w:r>
          </w:p>
        </w:tc>
      </w:tr>
      <w:tr w:rsidR="00FB0FCC" w:rsidRPr="00604B88" w14:paraId="3DA8CD69" w14:textId="77777777" w:rsidTr="00FB0FCC">
        <w:trPr>
          <w:trHeight w:val="282"/>
        </w:trPr>
        <w:tc>
          <w:tcPr>
            <w:tcW w:w="24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2BD7C" w14:textId="77777777" w:rsidR="00FB0FCC" w:rsidRPr="00604B88" w:rsidRDefault="00FB0FCC" w:rsidP="00FB0FCC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Plan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C3CC0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2068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37182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86138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6674F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2.3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62ECB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0.1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E0D91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127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B5C33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651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CF948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17.6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3F017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1.6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E46ED" w14:textId="755E8A41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hAnsi="Helvetica"/>
                <w:color w:val="000000"/>
                <w:sz w:val="19"/>
                <w:szCs w:val="19"/>
              </w:rPr>
              <w:t>5.9*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3AEC8" w14:textId="3893E989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hAnsi="Helvetica"/>
                <w:color w:val="000000"/>
                <w:sz w:val="19"/>
                <w:szCs w:val="19"/>
              </w:rPr>
              <w:t>(4.6-7.4)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4FE2F" w14:textId="623E6FEB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hAnsi="Helvetica"/>
                <w:color w:val="000000"/>
                <w:sz w:val="19"/>
                <w:szCs w:val="19"/>
              </w:rPr>
              <w:t>220.7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8279E" w14:textId="61F86CCA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&lt;0.001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24AA5E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</w:t>
            </w:r>
          </w:p>
        </w:tc>
      </w:tr>
      <w:tr w:rsidR="00FB0FCC" w:rsidRPr="00604B88" w14:paraId="5AADE18F" w14:textId="77777777" w:rsidTr="00FB0FCC">
        <w:trPr>
          <w:trHeight w:val="282"/>
        </w:trPr>
        <w:tc>
          <w:tcPr>
            <w:tcW w:w="2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DD1954" w14:textId="77777777" w:rsidR="00FB0FCC" w:rsidRPr="00604B88" w:rsidRDefault="00FB0FCC" w:rsidP="00FB0FCC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Attempt/gesture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21595F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1935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E71A6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86138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AA281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2.1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09075B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0.1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6BF565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124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B1D42C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651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256378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17.4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65B102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1.4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47F55" w14:textId="2C060666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hAnsi="Helvetica"/>
                <w:color w:val="000000"/>
                <w:sz w:val="19"/>
                <w:szCs w:val="19"/>
              </w:rPr>
              <w:t>6.3*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D59F0B" w14:textId="1E76D48C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hAnsi="Helvetica"/>
                <w:color w:val="000000"/>
                <w:sz w:val="19"/>
                <w:szCs w:val="19"/>
              </w:rPr>
              <w:t>(5.0-7.8)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43478F" w14:textId="4A33854F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hAnsi="Helvetica"/>
                <w:color w:val="000000"/>
                <w:sz w:val="19"/>
                <w:szCs w:val="19"/>
              </w:rPr>
              <w:t>264.5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D03A7" w14:textId="4989BB36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&lt;0.001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21FB2E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</w:t>
            </w:r>
          </w:p>
        </w:tc>
      </w:tr>
      <w:tr w:rsidR="00604B88" w:rsidRPr="00604B88" w14:paraId="7BBB0830" w14:textId="77777777" w:rsidTr="00FB0FCC">
        <w:trPr>
          <w:trHeight w:val="240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32096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5FB14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DE6E9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05EC7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0B284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D2A9A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815B6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5B0B3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884BE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92BF6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86C63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2DAA5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ACD20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C0EA7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</w:tr>
      <w:tr w:rsidR="00604B88" w:rsidRPr="00604B88" w14:paraId="21889117" w14:textId="77777777" w:rsidTr="00FB0FCC">
        <w:trPr>
          <w:trHeight w:val="300"/>
        </w:trPr>
        <w:tc>
          <w:tcPr>
            <w:tcW w:w="111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360C74" w14:textId="09D113F9" w:rsidR="00604B88" w:rsidRPr="00604B88" w:rsidRDefault="00604B88" w:rsidP="00604B88">
            <w:pPr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>Logistic regression was used to compare the prevalence of the suicidality variables.</w:t>
            </w:r>
            <w:r w:rsidR="00FB0FCC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 xml:space="preserve"> </w:t>
            </w:r>
            <w:r w:rsidR="00FB0FCC" w:rsidRPr="00FB0FCC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>All analyses control for participants' age, sex, education (in country-specific quartiles), and country of origin.</w:t>
            </w:r>
          </w:p>
        </w:tc>
      </w:tr>
      <w:tr w:rsidR="00604B88" w:rsidRPr="00604B88" w14:paraId="2C3F2202" w14:textId="77777777" w:rsidTr="00FB0FCC">
        <w:trPr>
          <w:trHeight w:val="300"/>
        </w:trPr>
        <w:tc>
          <w:tcPr>
            <w:tcW w:w="111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32D5C2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</w:pPr>
            <w:proofErr w:type="spellStart"/>
            <w:r w:rsidRPr="00604B88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vertAlign w:val="superscript"/>
                <w:lang w:val="en-NZ" w:eastAsia="en-NZ"/>
              </w:rPr>
              <w:t>a</w:t>
            </w:r>
            <w:r w:rsidRPr="00604B88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>Nominator</w:t>
            </w:r>
            <w:proofErr w:type="spellEnd"/>
            <w:r w:rsidRPr="00604B88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 xml:space="preserve"> N (number of participants reporting the outcome)</w:t>
            </w:r>
          </w:p>
        </w:tc>
      </w:tr>
      <w:tr w:rsidR="00604B88" w:rsidRPr="00604B88" w14:paraId="1910F9AC" w14:textId="77777777" w:rsidTr="00FB0FCC">
        <w:trPr>
          <w:trHeight w:val="300"/>
        </w:trPr>
        <w:tc>
          <w:tcPr>
            <w:tcW w:w="111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0878DA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</w:pPr>
            <w:proofErr w:type="spellStart"/>
            <w:r w:rsidRPr="00604B88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vertAlign w:val="superscript"/>
                <w:lang w:val="en-NZ" w:eastAsia="en-NZ"/>
              </w:rPr>
              <w:t>b</w:t>
            </w:r>
            <w:r w:rsidRPr="00604B88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>Denominator</w:t>
            </w:r>
            <w:proofErr w:type="spellEnd"/>
            <w:r w:rsidRPr="00604B88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 xml:space="preserve"> N (number of participants asked the question)</w:t>
            </w:r>
          </w:p>
        </w:tc>
      </w:tr>
      <w:tr w:rsidR="00604B88" w:rsidRPr="00604B88" w14:paraId="2B97C18C" w14:textId="77777777" w:rsidTr="00FB0FCC">
        <w:trPr>
          <w:trHeight w:val="300"/>
        </w:trPr>
        <w:tc>
          <w:tcPr>
            <w:tcW w:w="111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46F0FC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</w:pPr>
            <w:proofErr w:type="spellStart"/>
            <w:r w:rsidRPr="00604B88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vertAlign w:val="superscript"/>
                <w:lang w:val="en-NZ" w:eastAsia="en-NZ"/>
              </w:rPr>
              <w:t>c</w:t>
            </w:r>
            <w:r w:rsidRPr="00604B88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>Percentages</w:t>
            </w:r>
            <w:proofErr w:type="spellEnd"/>
            <w:r w:rsidRPr="00604B88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 xml:space="preserve"> are based on weighted data</w:t>
            </w:r>
          </w:p>
        </w:tc>
      </w:tr>
    </w:tbl>
    <w:p w14:paraId="77E8F511" w14:textId="77777777" w:rsidR="00604B88" w:rsidRDefault="00604B88"/>
    <w:tbl>
      <w:tblPr>
        <w:tblW w:w="5000" w:type="pct"/>
        <w:tblLook w:val="04A0" w:firstRow="1" w:lastRow="0" w:firstColumn="1" w:lastColumn="0" w:noHBand="0" w:noVBand="1"/>
      </w:tblPr>
      <w:tblGrid>
        <w:gridCol w:w="1346"/>
        <w:gridCol w:w="439"/>
        <w:gridCol w:w="440"/>
        <w:gridCol w:w="263"/>
        <w:gridCol w:w="265"/>
        <w:gridCol w:w="440"/>
        <w:gridCol w:w="566"/>
        <w:gridCol w:w="501"/>
        <w:gridCol w:w="446"/>
        <w:gridCol w:w="529"/>
        <w:gridCol w:w="602"/>
        <w:gridCol w:w="555"/>
        <w:gridCol w:w="326"/>
        <w:gridCol w:w="323"/>
        <w:gridCol w:w="530"/>
        <w:gridCol w:w="586"/>
        <w:gridCol w:w="556"/>
        <w:gridCol w:w="606"/>
        <w:gridCol w:w="529"/>
        <w:gridCol w:w="441"/>
        <w:gridCol w:w="299"/>
        <w:gridCol w:w="257"/>
        <w:gridCol w:w="1055"/>
        <w:gridCol w:w="528"/>
        <w:gridCol w:w="439"/>
        <w:gridCol w:w="501"/>
        <w:gridCol w:w="332"/>
        <w:gridCol w:w="258"/>
      </w:tblGrid>
      <w:tr w:rsidR="00604B88" w:rsidRPr="00604B88" w14:paraId="2C191693" w14:textId="77777777" w:rsidTr="00FB0FCC">
        <w:trPr>
          <w:gridAfter w:val="1"/>
          <w:wAfter w:w="93" w:type="pct"/>
          <w:trHeight w:val="381"/>
        </w:trPr>
        <w:tc>
          <w:tcPr>
            <w:tcW w:w="4907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E8BE1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b/>
                <w:bCs/>
                <w:color w:val="003399"/>
                <w:sz w:val="25"/>
                <w:szCs w:val="25"/>
                <w:lang w:val="en-NZ" w:eastAsia="en-N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3399"/>
                <w:sz w:val="25"/>
                <w:szCs w:val="25"/>
                <w:lang w:val="en-NZ" w:eastAsia="en-NZ"/>
              </w:rPr>
              <w:t xml:space="preserve">Table S3b. </w:t>
            </w:r>
            <w:r w:rsidRPr="00604B88">
              <w:rPr>
                <w:rFonts w:ascii="Helvetica" w:eastAsia="Times New Roman" w:hAnsi="Helvetica" w:cs="Helvetica"/>
                <w:b/>
                <w:bCs/>
                <w:color w:val="003399"/>
                <w:sz w:val="25"/>
                <w:szCs w:val="25"/>
                <w:lang w:val="en-NZ" w:eastAsia="en-NZ"/>
              </w:rPr>
              <w:t>Lifetime prevalence of suicidality in respondents with IED with or without any lifetime comorbidity.</w:t>
            </w:r>
          </w:p>
        </w:tc>
      </w:tr>
      <w:tr w:rsidR="00FB0FCC" w:rsidRPr="00604B88" w14:paraId="2033B1B8" w14:textId="77777777" w:rsidTr="00FB0FCC">
        <w:trPr>
          <w:gridAfter w:val="1"/>
          <w:wAfter w:w="93" w:type="pct"/>
          <w:trHeight w:val="240"/>
        </w:trPr>
        <w:tc>
          <w:tcPr>
            <w:tcW w:w="8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83C517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2CEC55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733EB6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39B10D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49E68A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1DF30E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023F66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46E155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3F32F9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36408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715E20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34B596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270BAA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F7603D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</w:tr>
      <w:tr w:rsidR="00604B88" w:rsidRPr="00604B88" w14:paraId="3BB31970" w14:textId="77777777" w:rsidTr="00FB0FCC">
        <w:trPr>
          <w:gridAfter w:val="1"/>
          <w:wAfter w:w="93" w:type="pct"/>
          <w:trHeight w:val="600"/>
        </w:trPr>
        <w:tc>
          <w:tcPr>
            <w:tcW w:w="89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6495ED"/>
            <w:noWrap/>
            <w:vAlign w:val="bottom"/>
            <w:hideMark/>
          </w:tcPr>
          <w:p w14:paraId="7A35A41A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1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14:paraId="76E5657D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Respondents without any lifetime</w:t>
            </w: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br/>
              <w:t>comorbidity</w:t>
            </w:r>
          </w:p>
        </w:tc>
        <w:tc>
          <w:tcPr>
            <w:tcW w:w="281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95ED"/>
            <w:noWrap/>
            <w:vAlign w:val="bottom"/>
            <w:hideMark/>
          </w:tcPr>
          <w:p w14:paraId="597369EA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Respondents with any lifetime comorbidity</w:t>
            </w:r>
          </w:p>
        </w:tc>
      </w:tr>
      <w:tr w:rsidR="00604B88" w:rsidRPr="00604B88" w14:paraId="336470ED" w14:textId="77777777" w:rsidTr="00FB0FCC">
        <w:trPr>
          <w:gridAfter w:val="1"/>
          <w:wAfter w:w="93" w:type="pct"/>
          <w:trHeight w:val="300"/>
        </w:trPr>
        <w:tc>
          <w:tcPr>
            <w:tcW w:w="89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495ED"/>
            <w:noWrap/>
            <w:vAlign w:val="bottom"/>
            <w:hideMark/>
          </w:tcPr>
          <w:p w14:paraId="60E3B8F3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120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6495ED"/>
            <w:noWrap/>
            <w:vAlign w:val="bottom"/>
            <w:hideMark/>
          </w:tcPr>
          <w:p w14:paraId="1B3B2543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Percentages</w:t>
            </w:r>
          </w:p>
        </w:tc>
        <w:tc>
          <w:tcPr>
            <w:tcW w:w="103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6495ED"/>
            <w:noWrap/>
            <w:vAlign w:val="bottom"/>
            <w:hideMark/>
          </w:tcPr>
          <w:p w14:paraId="47112CCB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Percentages</w:t>
            </w:r>
          </w:p>
        </w:tc>
        <w:tc>
          <w:tcPr>
            <w:tcW w:w="1785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6495ED"/>
            <w:noWrap/>
            <w:vAlign w:val="bottom"/>
            <w:hideMark/>
          </w:tcPr>
          <w:p w14:paraId="78F03D16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Parameter estimates</w:t>
            </w:r>
          </w:p>
        </w:tc>
      </w:tr>
      <w:tr w:rsidR="00FB0FCC" w:rsidRPr="00604B88" w14:paraId="1F6EDAC7" w14:textId="77777777" w:rsidTr="00FB0FCC">
        <w:trPr>
          <w:gridAfter w:val="1"/>
          <w:wAfter w:w="93" w:type="pct"/>
          <w:trHeight w:val="300"/>
        </w:trPr>
        <w:tc>
          <w:tcPr>
            <w:tcW w:w="8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95ED"/>
            <w:noWrap/>
            <w:vAlign w:val="bottom"/>
            <w:hideMark/>
          </w:tcPr>
          <w:p w14:paraId="2F4CF85C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Suicidality variable</w:t>
            </w:r>
          </w:p>
        </w:tc>
        <w:tc>
          <w:tcPr>
            <w:tcW w:w="2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36E0A71B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n</w:t>
            </w: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bscript"/>
                <w:lang w:val="en-NZ" w:eastAsia="en-NZ"/>
              </w:rPr>
              <w:t>1</w:t>
            </w: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perscript"/>
                <w:lang w:val="en-NZ" w:eastAsia="en-NZ"/>
              </w:rPr>
              <w:t>a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63778DCC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n</w:t>
            </w: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bscript"/>
                <w:lang w:val="en-NZ" w:eastAsia="en-NZ"/>
              </w:rPr>
              <w:t>2</w:t>
            </w: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perscript"/>
                <w:lang w:val="en-NZ" w:eastAsia="en-NZ"/>
              </w:rPr>
              <w:t>b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7C87C6E3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%</w:t>
            </w: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perscript"/>
                <w:lang w:val="en-NZ" w:eastAsia="en-NZ"/>
              </w:rPr>
              <w:t>c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noWrap/>
            <w:vAlign w:val="bottom"/>
            <w:hideMark/>
          </w:tcPr>
          <w:p w14:paraId="7FE5F55C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SE</w:t>
            </w:r>
          </w:p>
        </w:tc>
        <w:tc>
          <w:tcPr>
            <w:tcW w:w="3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3402D737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n</w:t>
            </w: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bscript"/>
                <w:lang w:val="en-NZ" w:eastAsia="en-NZ"/>
              </w:rPr>
              <w:t>1</w:t>
            </w: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perscript"/>
                <w:lang w:val="en-NZ" w:eastAsia="en-NZ"/>
              </w:rPr>
              <w:t>a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6C071825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n</w:t>
            </w: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bscript"/>
                <w:lang w:val="en-NZ" w:eastAsia="en-NZ"/>
              </w:rPr>
              <w:t>2</w:t>
            </w: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perscript"/>
                <w:lang w:val="en-NZ" w:eastAsia="en-NZ"/>
              </w:rPr>
              <w:t>b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67362200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%</w:t>
            </w: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vertAlign w:val="superscript"/>
                <w:lang w:val="en-NZ" w:eastAsia="en-NZ"/>
              </w:rPr>
              <w:t>c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noWrap/>
            <w:vAlign w:val="bottom"/>
            <w:hideMark/>
          </w:tcPr>
          <w:p w14:paraId="22C33CD5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SE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37018142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OR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4FC89E90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(95% CI)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5E77CF21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Wald X2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495ED"/>
            <w:noWrap/>
            <w:vAlign w:val="bottom"/>
            <w:hideMark/>
          </w:tcPr>
          <w:p w14:paraId="35521681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P-value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noWrap/>
            <w:vAlign w:val="bottom"/>
            <w:hideMark/>
          </w:tcPr>
          <w:p w14:paraId="293633D2" w14:textId="77777777" w:rsidR="00604B88" w:rsidRPr="00604B88" w:rsidRDefault="00604B88" w:rsidP="00604B88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color w:val="FFFFFF"/>
                <w:sz w:val="19"/>
                <w:szCs w:val="19"/>
                <w:lang w:val="en-NZ" w:eastAsia="en-NZ"/>
              </w:rPr>
              <w:t>DF</w:t>
            </w:r>
          </w:p>
        </w:tc>
      </w:tr>
      <w:tr w:rsidR="00FB0FCC" w:rsidRPr="00604B88" w14:paraId="18F73B76" w14:textId="77777777" w:rsidTr="00FB0FCC">
        <w:trPr>
          <w:gridAfter w:val="1"/>
          <w:wAfter w:w="93" w:type="pct"/>
          <w:trHeight w:val="279"/>
        </w:trPr>
        <w:tc>
          <w:tcPr>
            <w:tcW w:w="89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BD5D0" w14:textId="77777777" w:rsidR="00FB0FCC" w:rsidRPr="00604B88" w:rsidRDefault="00FB0FCC" w:rsidP="00FB0FCC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Ideation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67E60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23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B25C8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111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53BB4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26.1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03E41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6.3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149F5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228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F3011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504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3E3F4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40.9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CD126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2.5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0598D" w14:textId="55F51BDA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hAnsi="Helvetic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83948" w14:textId="5599993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hAnsi="Helvetica"/>
                <w:color w:val="000000"/>
                <w:sz w:val="19"/>
                <w:szCs w:val="19"/>
              </w:rPr>
              <w:t>(0.7-3.1)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A6ECC" w14:textId="557789D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hAnsi="Helvetica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97AAC" w14:textId="3E4C5115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hAnsi="Helvetica"/>
                <w:color w:val="000000"/>
                <w:sz w:val="19"/>
                <w:szCs w:val="19"/>
              </w:rPr>
              <w:t>0.340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40E59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</w:t>
            </w:r>
          </w:p>
        </w:tc>
      </w:tr>
      <w:tr w:rsidR="00FB0FCC" w:rsidRPr="00604B88" w14:paraId="6A8CF9BC" w14:textId="77777777" w:rsidTr="00FB0FCC">
        <w:trPr>
          <w:gridAfter w:val="1"/>
          <w:wAfter w:w="93" w:type="pct"/>
          <w:trHeight w:val="279"/>
        </w:trPr>
        <w:tc>
          <w:tcPr>
            <w:tcW w:w="89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0CA26" w14:textId="77777777" w:rsidR="00FB0FCC" w:rsidRPr="00604B88" w:rsidRDefault="00FB0FCC" w:rsidP="00FB0FCC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Plan</w:t>
            </w:r>
          </w:p>
        </w:tc>
        <w:tc>
          <w:tcPr>
            <w:tcW w:w="25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7FB0F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5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72D78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111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7FEDA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3.5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8DC1D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1.7</w:t>
            </w:r>
          </w:p>
        </w:tc>
        <w:tc>
          <w:tcPr>
            <w:tcW w:w="31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14C74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118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EEB29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504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068BF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20.5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F53F4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1.9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4BF6A" w14:textId="01869D80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hAnsi="Helvetica"/>
                <w:color w:val="000000"/>
                <w:sz w:val="19"/>
                <w:szCs w:val="19"/>
              </w:rPr>
              <w:t>5.4*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FFE15" w14:textId="6A009C65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hAnsi="Helvetica"/>
                <w:color w:val="000000"/>
                <w:sz w:val="19"/>
                <w:szCs w:val="19"/>
              </w:rPr>
              <w:t>(1.9-15.4)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3246D" w14:textId="30AE84B2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hAnsi="Helvetica"/>
                <w:color w:val="000000"/>
                <w:sz w:val="19"/>
                <w:szCs w:val="19"/>
              </w:rPr>
              <w:t>10.1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9374D" w14:textId="631E756E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hAnsi="Helvetica"/>
                <w:color w:val="000000"/>
                <w:sz w:val="19"/>
                <w:szCs w:val="19"/>
              </w:rPr>
              <w:t>0.001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B51C6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</w:t>
            </w:r>
          </w:p>
        </w:tc>
      </w:tr>
      <w:tr w:rsidR="00FB0FCC" w:rsidRPr="00604B88" w14:paraId="0C8D0DBA" w14:textId="77777777" w:rsidTr="00FB0FCC">
        <w:trPr>
          <w:gridAfter w:val="1"/>
          <w:wAfter w:w="93" w:type="pct"/>
          <w:trHeight w:val="279"/>
        </w:trPr>
        <w:tc>
          <w:tcPr>
            <w:tcW w:w="8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59536" w14:textId="77777777" w:rsidR="00FB0FCC" w:rsidRPr="00604B88" w:rsidRDefault="00FB0FCC" w:rsidP="00FB0FCC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Attempt/gesture</w:t>
            </w:r>
          </w:p>
        </w:tc>
        <w:tc>
          <w:tcPr>
            <w:tcW w:w="2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A1262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B0044F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111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A201D8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6.6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DAFAE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2.4</w:t>
            </w:r>
          </w:p>
        </w:tc>
        <w:tc>
          <w:tcPr>
            <w:tcW w:w="3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B99BEC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106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9F9449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504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088F8E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19.4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82F06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1.8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B0DD5B" w14:textId="6C17ECFC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hAnsi="Helvetica"/>
                <w:color w:val="000000"/>
                <w:sz w:val="19"/>
                <w:szCs w:val="19"/>
              </w:rPr>
              <w:t>2.4*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28E6A4" w14:textId="1E496043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hAnsi="Helvetica"/>
                <w:color w:val="000000"/>
                <w:sz w:val="19"/>
                <w:szCs w:val="19"/>
              </w:rPr>
              <w:t>(1.1-5.6)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2501B6" w14:textId="691288E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hAnsi="Helvetica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BF7EAE" w14:textId="2F00D063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>
              <w:rPr>
                <w:rFonts w:ascii="Helvetica" w:hAnsi="Helvetica"/>
                <w:color w:val="000000"/>
                <w:sz w:val="19"/>
                <w:szCs w:val="19"/>
              </w:rPr>
              <w:t>0.033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BB1B4" w14:textId="77777777" w:rsidR="00FB0FCC" w:rsidRPr="00604B88" w:rsidRDefault="00FB0FCC" w:rsidP="00FB0FCC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NZ" w:eastAsia="en-NZ"/>
              </w:rPr>
              <w:t>1</w:t>
            </w:r>
          </w:p>
        </w:tc>
      </w:tr>
      <w:tr w:rsidR="00FB0FCC" w:rsidRPr="00604B88" w14:paraId="0FE11358" w14:textId="77777777" w:rsidTr="00FB0FCC">
        <w:trPr>
          <w:gridAfter w:val="1"/>
          <w:wAfter w:w="93" w:type="pct"/>
          <w:trHeight w:val="240"/>
        </w:trPr>
        <w:tc>
          <w:tcPr>
            <w:tcW w:w="89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4490D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33F35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C92AA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38FB9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D91BD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CB7EF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90F1D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5835C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D2043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B7AE2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63A6C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C00B2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3A719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E3C6E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color w:val="003399"/>
                <w:sz w:val="19"/>
                <w:szCs w:val="19"/>
                <w:lang w:val="en-NZ" w:eastAsia="en-NZ"/>
              </w:rPr>
              <w:t> </w:t>
            </w:r>
          </w:p>
        </w:tc>
      </w:tr>
      <w:tr w:rsidR="00604B88" w:rsidRPr="00604B88" w14:paraId="19699AF0" w14:textId="77777777" w:rsidTr="00FB0FCC">
        <w:trPr>
          <w:gridAfter w:val="1"/>
          <w:wAfter w:w="93" w:type="pct"/>
          <w:trHeight w:val="300"/>
        </w:trPr>
        <w:tc>
          <w:tcPr>
            <w:tcW w:w="4907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FC01B" w14:textId="55201B06" w:rsidR="00604B88" w:rsidRPr="00604B88" w:rsidRDefault="00604B88" w:rsidP="00604B88">
            <w:pPr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</w:pPr>
            <w:r w:rsidRPr="00604B88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>Logistic regression was used to compare the prevalence of the suicidality variables.</w:t>
            </w:r>
            <w:r w:rsidR="00FB0FCC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 xml:space="preserve"> </w:t>
            </w:r>
            <w:r w:rsidR="00FB0FCC" w:rsidRPr="00FB0FCC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>All analyses control for participants' age, sex, education (in country-specific quartiles), and country of origin.</w:t>
            </w:r>
          </w:p>
        </w:tc>
      </w:tr>
      <w:tr w:rsidR="00604B88" w:rsidRPr="00604B88" w14:paraId="049803D9" w14:textId="77777777" w:rsidTr="00FB0FCC">
        <w:trPr>
          <w:gridAfter w:val="1"/>
          <w:wAfter w:w="93" w:type="pct"/>
          <w:trHeight w:val="300"/>
        </w:trPr>
        <w:tc>
          <w:tcPr>
            <w:tcW w:w="4907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99579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</w:pPr>
            <w:proofErr w:type="spellStart"/>
            <w:r w:rsidRPr="00604B88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vertAlign w:val="superscript"/>
                <w:lang w:val="en-NZ" w:eastAsia="en-NZ"/>
              </w:rPr>
              <w:t>a</w:t>
            </w:r>
            <w:r w:rsidRPr="00604B88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>Nominator</w:t>
            </w:r>
            <w:proofErr w:type="spellEnd"/>
            <w:r w:rsidRPr="00604B88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 xml:space="preserve"> N (number of participants reporting the outcome)</w:t>
            </w:r>
          </w:p>
        </w:tc>
      </w:tr>
      <w:tr w:rsidR="00604B88" w:rsidRPr="00604B88" w14:paraId="45220774" w14:textId="77777777" w:rsidTr="00FB0FCC">
        <w:trPr>
          <w:gridAfter w:val="1"/>
          <w:wAfter w:w="93" w:type="pct"/>
          <w:trHeight w:val="300"/>
        </w:trPr>
        <w:tc>
          <w:tcPr>
            <w:tcW w:w="4907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D85AD8" w14:textId="77777777" w:rsidR="00604B88" w:rsidRPr="00604B88" w:rsidRDefault="00604B88" w:rsidP="00604B88">
            <w:pPr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</w:pPr>
            <w:proofErr w:type="spellStart"/>
            <w:r w:rsidRPr="00604B88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vertAlign w:val="superscript"/>
                <w:lang w:val="en-NZ" w:eastAsia="en-NZ"/>
              </w:rPr>
              <w:t>b</w:t>
            </w:r>
            <w:r w:rsidRPr="00604B88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>Denominator</w:t>
            </w:r>
            <w:proofErr w:type="spellEnd"/>
            <w:r w:rsidRPr="00604B88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 xml:space="preserve"> N (number of participants asked the question)</w:t>
            </w:r>
          </w:p>
        </w:tc>
      </w:tr>
      <w:tr w:rsidR="00604B88" w:rsidRPr="00604B88" w14:paraId="1461BF5F" w14:textId="77777777" w:rsidTr="00FB0FCC">
        <w:trPr>
          <w:gridAfter w:val="1"/>
          <w:wAfter w:w="93" w:type="pct"/>
          <w:trHeight w:val="300"/>
        </w:trPr>
        <w:tc>
          <w:tcPr>
            <w:tcW w:w="4907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4F015" w14:textId="77777777" w:rsidR="00604B88" w:rsidRDefault="00604B88" w:rsidP="00604B88">
            <w:pPr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</w:pPr>
            <w:proofErr w:type="spellStart"/>
            <w:r w:rsidRPr="00604B88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vertAlign w:val="superscript"/>
                <w:lang w:val="en-NZ" w:eastAsia="en-NZ"/>
              </w:rPr>
              <w:lastRenderedPageBreak/>
              <w:t>c</w:t>
            </w:r>
            <w:r w:rsidRPr="00604B88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>Percentages</w:t>
            </w:r>
            <w:proofErr w:type="spellEnd"/>
            <w:r w:rsidRPr="00604B88"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  <w:t xml:space="preserve"> are based on weighted data</w:t>
            </w:r>
          </w:p>
          <w:p w14:paraId="0F1227C5" w14:textId="77777777" w:rsidR="001D593E" w:rsidRDefault="001D593E" w:rsidP="00604B88">
            <w:pPr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</w:pPr>
          </w:p>
          <w:p w14:paraId="4584D810" w14:textId="4CDB2B1F" w:rsidR="001D593E" w:rsidRPr="00604B88" w:rsidRDefault="001D593E" w:rsidP="00604B88">
            <w:pPr>
              <w:rPr>
                <w:rFonts w:ascii="Helvetica" w:eastAsia="Times New Roman" w:hAnsi="Helvetica" w:cs="Helvetica"/>
                <w:b/>
                <w:bCs/>
                <w:i/>
                <w:iCs/>
                <w:color w:val="003399"/>
                <w:sz w:val="19"/>
                <w:szCs w:val="19"/>
                <w:lang w:val="en-NZ" w:eastAsia="en-NZ"/>
              </w:rPr>
            </w:pPr>
          </w:p>
        </w:tc>
      </w:tr>
      <w:tr w:rsidR="004540E4" w:rsidRPr="004540E4" w14:paraId="5DA99F95" w14:textId="77777777" w:rsidTr="001D593E">
        <w:trPr>
          <w:trHeight w:val="68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E04450" w14:textId="79EE8C43" w:rsidR="004540E4" w:rsidRPr="001D593E" w:rsidRDefault="00095FA8" w:rsidP="004540E4">
            <w:pPr>
              <w:rPr>
                <w:rFonts w:ascii="Helvetica" w:eastAsia="Times New Roman" w:hAnsi="Helvetica" w:cs="Times New Roman"/>
                <w:b/>
                <w:bCs/>
                <w:color w:val="003399"/>
                <w:sz w:val="25"/>
                <w:szCs w:val="25"/>
              </w:rPr>
            </w:pPr>
            <w:r w:rsidRPr="001D593E">
              <w:rPr>
                <w:rFonts w:ascii="Helvetica" w:hAnsi="Helvetica"/>
                <w:sz w:val="25"/>
                <w:szCs w:val="25"/>
              </w:rPr>
              <w:t xml:space="preserve">Table S4. </w:t>
            </w:r>
            <w:r w:rsidR="004540E4" w:rsidRPr="001D593E">
              <w:rPr>
                <w:rFonts w:ascii="Helvetica" w:eastAsia="Times New Roman" w:hAnsi="Helvetica" w:cs="Times New Roman"/>
                <w:b/>
                <w:bCs/>
                <w:color w:val="003399"/>
                <w:sz w:val="25"/>
                <w:szCs w:val="25"/>
              </w:rPr>
              <w:t>Lifetime prevalence of suicidality in respondents without IED or with specific IED subtypes, with respondents without IED as the reference category.</w:t>
            </w:r>
          </w:p>
        </w:tc>
      </w:tr>
      <w:tr w:rsidR="00FB0FCC" w:rsidRPr="004540E4" w14:paraId="795D1EE4" w14:textId="77777777" w:rsidTr="00FB0FCC">
        <w:trPr>
          <w:trHeight w:val="24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BEDE5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25112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CE212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9D821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5531D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25362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593E5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781FF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30141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410D9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746CC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3E483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25EB7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8663F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781F1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0A231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AE8A6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C0C24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ABEE3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9BD0B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619C6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7A56A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176F4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</w:tr>
      <w:tr w:rsidR="00A60CDE" w:rsidRPr="004540E4" w14:paraId="4625A614" w14:textId="77777777" w:rsidTr="00FB0FCC">
        <w:trPr>
          <w:trHeight w:val="300"/>
        </w:trPr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6495ED"/>
            <w:vAlign w:val="bottom"/>
            <w:hideMark/>
          </w:tcPr>
          <w:p w14:paraId="04771023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6495ED"/>
            <w:vAlign w:val="bottom"/>
            <w:hideMark/>
          </w:tcPr>
          <w:p w14:paraId="66B2B334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6495ED"/>
            <w:vAlign w:val="bottom"/>
            <w:hideMark/>
          </w:tcPr>
          <w:p w14:paraId="7091BD56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 </w:t>
            </w:r>
          </w:p>
        </w:tc>
        <w:tc>
          <w:tcPr>
            <w:tcW w:w="4203" w:type="pct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6495ED"/>
            <w:vAlign w:val="bottom"/>
            <w:hideMark/>
          </w:tcPr>
          <w:p w14:paraId="22197837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IED subtypes</w:t>
            </w:r>
          </w:p>
        </w:tc>
      </w:tr>
      <w:tr w:rsidR="001D593E" w:rsidRPr="004540E4" w14:paraId="06ECD5C8" w14:textId="77777777" w:rsidTr="00FB0FCC">
        <w:trPr>
          <w:trHeight w:val="600"/>
        </w:trPr>
        <w:tc>
          <w:tcPr>
            <w:tcW w:w="4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6495ED"/>
            <w:vAlign w:val="center"/>
            <w:hideMark/>
          </w:tcPr>
          <w:p w14:paraId="2D612DC6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6495ED"/>
            <w:vAlign w:val="center"/>
            <w:hideMark/>
          </w:tcPr>
          <w:p w14:paraId="0425DCF9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No IED</w:t>
            </w:r>
          </w:p>
        </w:tc>
        <w:tc>
          <w:tcPr>
            <w:tcW w:w="89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6495ED"/>
            <w:vAlign w:val="center"/>
            <w:hideMark/>
          </w:tcPr>
          <w:p w14:paraId="3B9B0058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Destroy and hurt</w:t>
            </w:r>
          </w:p>
        </w:tc>
        <w:tc>
          <w:tcPr>
            <w:tcW w:w="83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495ED"/>
            <w:vAlign w:val="center"/>
            <w:hideMark/>
          </w:tcPr>
          <w:p w14:paraId="4468F92C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Destroy and threaten</w:t>
            </w:r>
          </w:p>
        </w:tc>
        <w:tc>
          <w:tcPr>
            <w:tcW w:w="81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495ED"/>
            <w:vAlign w:val="center"/>
            <w:hideMark/>
          </w:tcPr>
          <w:p w14:paraId="0A2BF896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Destroy things</w:t>
            </w:r>
          </w:p>
        </w:tc>
        <w:tc>
          <w:tcPr>
            <w:tcW w:w="92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495ED"/>
            <w:vAlign w:val="center"/>
            <w:hideMark/>
          </w:tcPr>
          <w:p w14:paraId="53EC3FAC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Hurt people</w:t>
            </w:r>
          </w:p>
        </w:tc>
        <w:tc>
          <w:tcPr>
            <w:tcW w:w="73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495ED"/>
            <w:vAlign w:val="center"/>
            <w:hideMark/>
          </w:tcPr>
          <w:p w14:paraId="295397A1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Threaten people</w:t>
            </w:r>
          </w:p>
        </w:tc>
      </w:tr>
      <w:tr w:rsidR="00FB0FCC" w:rsidRPr="004540E4" w14:paraId="69EC3F92" w14:textId="77777777" w:rsidTr="00FB0FCC">
        <w:trPr>
          <w:trHeight w:val="360"/>
        </w:trPr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46D20869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 xml:space="preserve">Suicidality </w:t>
            </w:r>
          </w:p>
        </w:tc>
        <w:tc>
          <w:tcPr>
            <w:tcW w:w="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02998B2D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%</w:t>
            </w: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  <w:vertAlign w:val="superscript"/>
              </w:rPr>
              <w:t>c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495ED"/>
            <w:vAlign w:val="bottom"/>
            <w:hideMark/>
          </w:tcPr>
          <w:p w14:paraId="577CE775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SE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6DC8507D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%</w:t>
            </w: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  <w:vertAlign w:val="superscript"/>
              </w:rPr>
              <w:t>c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38C4CC36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SE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70DB16BF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OR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495ED"/>
            <w:vAlign w:val="bottom"/>
            <w:hideMark/>
          </w:tcPr>
          <w:p w14:paraId="20048324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(95% CI)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6827C954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%</w:t>
            </w: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  <w:vertAlign w:val="superscript"/>
              </w:rPr>
              <w:t>c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59637FC5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SE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592983C1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OR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495ED"/>
            <w:vAlign w:val="bottom"/>
            <w:hideMark/>
          </w:tcPr>
          <w:p w14:paraId="28B05F21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(95% CI)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113E2A91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%</w:t>
            </w: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  <w:vertAlign w:val="superscript"/>
              </w:rPr>
              <w:t>c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18F3AB49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SE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56FEC23F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OR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495ED"/>
            <w:vAlign w:val="bottom"/>
            <w:hideMark/>
          </w:tcPr>
          <w:p w14:paraId="066EC39B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(95% CI)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6252C72E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%</w:t>
            </w: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  <w:vertAlign w:val="superscript"/>
              </w:rPr>
              <w:t>c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1CB0208E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SE</w:t>
            </w: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2BDDB031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OR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495ED"/>
            <w:vAlign w:val="bottom"/>
            <w:hideMark/>
          </w:tcPr>
          <w:p w14:paraId="72BD2203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(95% CI)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5CCEC19A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%</w:t>
            </w: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  <w:vertAlign w:val="superscript"/>
              </w:rPr>
              <w:t>c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02E61C2C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SE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50D374B0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OR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495ED"/>
            <w:vAlign w:val="bottom"/>
            <w:hideMark/>
          </w:tcPr>
          <w:p w14:paraId="5B306053" w14:textId="77777777" w:rsidR="004540E4" w:rsidRPr="004540E4" w:rsidRDefault="004540E4" w:rsidP="004540E4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(95% CI)</w:t>
            </w:r>
          </w:p>
        </w:tc>
      </w:tr>
      <w:tr w:rsidR="00FB0FCC" w:rsidRPr="004540E4" w14:paraId="1378F9E9" w14:textId="77777777" w:rsidTr="00FB0FCC">
        <w:trPr>
          <w:trHeight w:val="280"/>
        </w:trPr>
        <w:tc>
          <w:tcPr>
            <w:tcW w:w="4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FA1B4" w14:textId="77777777" w:rsidR="00FB0FCC" w:rsidRPr="00FB0FCC" w:rsidRDefault="00FB0FCC" w:rsidP="00FB0FCC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Ideation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B2BD1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CB7F6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8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A1356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43.2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4A235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FAE89" w14:textId="3F93A4E2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6.3*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78B19" w14:textId="32A65EF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(4.9-8.1)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002F2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44.6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DAE9E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0BFCA" w14:textId="335255C9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7.2*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A5A6F" w14:textId="589B2EA1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(3.3-16.0)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C3B0E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23CC3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1D2EA" w14:textId="3ACB4854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4.4*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53F30" w14:textId="30FD9E3F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(2.2-8.7)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5E8BC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E3509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571B6" w14:textId="445D060E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4.0*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82BFC" w14:textId="79449552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(2.6-6.4)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C265B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859A8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471C0" w14:textId="6C2E27D1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3.6*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CA5FF" w14:textId="27B5EB76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(1.8-7.3)</w:t>
            </w:r>
          </w:p>
        </w:tc>
      </w:tr>
      <w:tr w:rsidR="00FB0FCC" w:rsidRPr="004540E4" w14:paraId="42D1944A" w14:textId="77777777" w:rsidTr="00FB0FCC">
        <w:trPr>
          <w:trHeight w:val="280"/>
        </w:trPr>
        <w:tc>
          <w:tcPr>
            <w:tcW w:w="4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8240E" w14:textId="77777777" w:rsidR="00FB0FCC" w:rsidRPr="00FB0FCC" w:rsidRDefault="00FB0FCC" w:rsidP="00FB0FCC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C00B4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3EE80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8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1A11A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E6546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FE79A" w14:textId="191FF73C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6.6*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4C91F" w14:textId="4B4D1614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(5.0-8.8)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4A3B8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9B49F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2E504" w14:textId="6B3D437E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7.5*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8BF92" w14:textId="1A986DC3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(3.5-16.1)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9F3D9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C7AF7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612DF" w14:textId="57C56416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2.7*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ED73D" w14:textId="185D1AC6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(1.1-6.2)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44463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03BF1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86C4F" w14:textId="393796D4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5.7*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FF1C8" w14:textId="7B732121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(3.5-9.5)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B72C1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E1B92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4987C" w14:textId="4DAD08F8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4.2*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AD531" w14:textId="1EE9C678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(1.7-10.4)</w:t>
            </w:r>
          </w:p>
        </w:tc>
      </w:tr>
      <w:tr w:rsidR="00FB0FCC" w:rsidRPr="004540E4" w14:paraId="0E877C6B" w14:textId="77777777" w:rsidTr="00FB0FCC">
        <w:trPr>
          <w:trHeight w:val="280"/>
        </w:trPr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32AC67" w14:textId="77777777" w:rsidR="00FB0FCC" w:rsidRPr="00FB0FCC" w:rsidRDefault="00FB0FCC" w:rsidP="00FB0FCC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Attempt/gesture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0CDD3D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901D57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8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C26494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9950AB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B86DDC" w14:textId="3C7C7C1A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7.7*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B848A" w14:textId="55CAC173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(6.0-10.0)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F86018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8B813E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E9D934" w14:textId="703D1DB0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4.1*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E63C8" w14:textId="320D7B83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(1.5-10.8)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86927F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AEFDBC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48F44D" w14:textId="0AA66943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3.7*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13A76" w14:textId="624B365B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(1.5-8.8)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BCB0E3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DABD25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9715A1" w14:textId="27E20A21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5.5*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56527" w14:textId="3C92D056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(3.2-9.4)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A674B1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D776E0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F861A4" w14:textId="1D0020A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4.4*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6AA7F" w14:textId="4F528125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(1.7-11.4)</w:t>
            </w:r>
          </w:p>
        </w:tc>
      </w:tr>
      <w:tr w:rsidR="00FB0FCC" w:rsidRPr="004540E4" w14:paraId="6763E1D1" w14:textId="77777777" w:rsidTr="00FB0FCC">
        <w:trPr>
          <w:trHeight w:val="24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BCC3C6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F77E5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975480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9170D7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A2C6BD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F2A4F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F6F709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FE20B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FAEAA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C9477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85180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B8526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FE124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CEFDA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4A6CDE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3F3F10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32E6A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89509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A7620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128D35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BFED17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76617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47F4A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</w:tr>
      <w:tr w:rsidR="004540E4" w:rsidRPr="004540E4" w14:paraId="56CF39F3" w14:textId="77777777" w:rsidTr="001D593E">
        <w:trPr>
          <w:trHeight w:val="30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DB0802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b/>
                <w:bCs/>
                <w:i/>
                <w:iCs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i/>
                <w:iCs/>
                <w:color w:val="003399"/>
                <w:sz w:val="19"/>
                <w:szCs w:val="19"/>
              </w:rPr>
              <w:t>IED subtypes were defined based on behavior during anger attacks (lifetime).</w:t>
            </w:r>
          </w:p>
        </w:tc>
      </w:tr>
      <w:tr w:rsidR="004540E4" w:rsidRPr="004540E4" w14:paraId="789E4827" w14:textId="77777777" w:rsidTr="001D593E">
        <w:trPr>
          <w:trHeight w:val="30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EEF79E" w14:textId="3849CF28" w:rsidR="004540E4" w:rsidRPr="004540E4" w:rsidRDefault="004540E4" w:rsidP="004540E4">
            <w:pPr>
              <w:rPr>
                <w:rFonts w:ascii="Helvetica" w:eastAsia="Times New Roman" w:hAnsi="Helvetica" w:cs="Times New Roman"/>
                <w:b/>
                <w:bCs/>
                <w:i/>
                <w:iCs/>
                <w:color w:val="003399"/>
                <w:sz w:val="19"/>
                <w:szCs w:val="19"/>
              </w:rPr>
            </w:pPr>
            <w:r w:rsidRPr="004540E4">
              <w:rPr>
                <w:rFonts w:ascii="Helvetica" w:eastAsia="Times New Roman" w:hAnsi="Helvetica" w:cs="Times New Roman"/>
                <w:b/>
                <w:bCs/>
                <w:i/>
                <w:iCs/>
                <w:color w:val="003399"/>
                <w:sz w:val="19"/>
                <w:szCs w:val="19"/>
              </w:rPr>
              <w:t>Logistic regression was used to compare the prevalence of the suicidality variables.</w:t>
            </w:r>
            <w:r w:rsidR="00FB0FCC">
              <w:rPr>
                <w:rFonts w:ascii="Helvetica" w:eastAsia="Times New Roman" w:hAnsi="Helvetica" w:cs="Times New Roman"/>
                <w:b/>
                <w:bCs/>
                <w:i/>
                <w:iCs/>
                <w:color w:val="003399"/>
                <w:sz w:val="19"/>
                <w:szCs w:val="19"/>
              </w:rPr>
              <w:t xml:space="preserve"> </w:t>
            </w:r>
            <w:r w:rsidR="00FB0FCC" w:rsidRPr="00FB0FCC">
              <w:rPr>
                <w:rFonts w:ascii="Helvetica" w:eastAsia="Times New Roman" w:hAnsi="Helvetica" w:cs="Times New Roman"/>
                <w:b/>
                <w:bCs/>
                <w:i/>
                <w:iCs/>
                <w:color w:val="003399"/>
                <w:sz w:val="19"/>
                <w:szCs w:val="19"/>
              </w:rPr>
              <w:t xml:space="preserve">All analyses control for participants' age, sex, education (in country-specific quartiles), and country of origin. </w:t>
            </w:r>
          </w:p>
        </w:tc>
      </w:tr>
      <w:tr w:rsidR="004540E4" w:rsidRPr="004540E4" w14:paraId="141E83FB" w14:textId="77777777" w:rsidTr="001D593E">
        <w:trPr>
          <w:trHeight w:val="30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B732F" w14:textId="77777777" w:rsidR="004540E4" w:rsidRPr="004540E4" w:rsidRDefault="004540E4" w:rsidP="004540E4">
            <w:pPr>
              <w:rPr>
                <w:rFonts w:ascii="Helvetica" w:eastAsia="Times New Roman" w:hAnsi="Helvetica" w:cs="Times New Roman"/>
                <w:b/>
                <w:bCs/>
                <w:i/>
                <w:iCs/>
                <w:color w:val="003399"/>
                <w:sz w:val="19"/>
                <w:szCs w:val="19"/>
              </w:rPr>
            </w:pPr>
            <w:proofErr w:type="spellStart"/>
            <w:r w:rsidRPr="004540E4">
              <w:rPr>
                <w:rFonts w:ascii="Helvetica" w:eastAsia="Times New Roman" w:hAnsi="Helvetica" w:cs="Times New Roman"/>
                <w:b/>
                <w:bCs/>
                <w:i/>
                <w:iCs/>
                <w:color w:val="003399"/>
                <w:sz w:val="19"/>
                <w:szCs w:val="19"/>
                <w:vertAlign w:val="superscript"/>
              </w:rPr>
              <w:t>c</w:t>
            </w:r>
            <w:r w:rsidRPr="004540E4">
              <w:rPr>
                <w:rFonts w:ascii="Helvetica" w:eastAsia="Times New Roman" w:hAnsi="Helvetica" w:cs="Times New Roman"/>
                <w:b/>
                <w:bCs/>
                <w:i/>
                <w:iCs/>
                <w:color w:val="003399"/>
                <w:sz w:val="19"/>
                <w:szCs w:val="19"/>
              </w:rPr>
              <w:t>Percentages</w:t>
            </w:r>
            <w:proofErr w:type="spellEnd"/>
            <w:r w:rsidRPr="004540E4">
              <w:rPr>
                <w:rFonts w:ascii="Helvetica" w:eastAsia="Times New Roman" w:hAnsi="Helvetica" w:cs="Times New Roman"/>
                <w:b/>
                <w:bCs/>
                <w:i/>
                <w:iCs/>
                <w:color w:val="003399"/>
                <w:sz w:val="19"/>
                <w:szCs w:val="19"/>
              </w:rPr>
              <w:t xml:space="preserve"> are based on weighted data</w:t>
            </w:r>
          </w:p>
        </w:tc>
      </w:tr>
    </w:tbl>
    <w:p w14:paraId="1716D660" w14:textId="71B9E69C" w:rsidR="004540E4" w:rsidRDefault="004540E4"/>
    <w:p w14:paraId="03D0D1E2" w14:textId="77777777" w:rsidR="004540E4" w:rsidRDefault="004540E4"/>
    <w:p w14:paraId="76BB6804" w14:textId="77777777" w:rsidR="007B3F1E" w:rsidRDefault="007B3F1E">
      <w:r>
        <w:br w:type="page"/>
      </w:r>
    </w:p>
    <w:tbl>
      <w:tblPr>
        <w:tblW w:w="1474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604"/>
        <w:gridCol w:w="553"/>
        <w:gridCol w:w="548"/>
        <w:gridCol w:w="549"/>
        <w:gridCol w:w="528"/>
        <w:gridCol w:w="524"/>
        <w:gridCol w:w="857"/>
        <w:gridCol w:w="613"/>
        <w:gridCol w:w="580"/>
        <w:gridCol w:w="571"/>
        <w:gridCol w:w="856"/>
        <w:gridCol w:w="566"/>
        <w:gridCol w:w="439"/>
        <w:gridCol w:w="456"/>
        <w:gridCol w:w="963"/>
        <w:gridCol w:w="567"/>
        <w:gridCol w:w="567"/>
        <w:gridCol w:w="514"/>
        <w:gridCol w:w="903"/>
        <w:gridCol w:w="684"/>
        <w:gridCol w:w="734"/>
        <w:gridCol w:w="567"/>
      </w:tblGrid>
      <w:tr w:rsidR="007B3F1E" w:rsidRPr="007B3F1E" w14:paraId="183ACE41" w14:textId="77777777" w:rsidTr="000E2B5E">
        <w:trPr>
          <w:trHeight w:val="700"/>
        </w:trPr>
        <w:tc>
          <w:tcPr>
            <w:tcW w:w="147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540FD" w14:textId="115452ED" w:rsidR="007B3F1E" w:rsidRPr="007B3F1E" w:rsidRDefault="00095FA8" w:rsidP="007B3F1E">
            <w:pPr>
              <w:rPr>
                <w:rFonts w:ascii="Helvetica" w:eastAsia="Times New Roman" w:hAnsi="Helvetica" w:cs="Times New Roman"/>
                <w:b/>
                <w:bCs/>
                <w:color w:val="003399"/>
                <w:sz w:val="25"/>
                <w:szCs w:val="25"/>
              </w:rPr>
            </w:pPr>
            <w:r w:rsidRPr="001D593E">
              <w:rPr>
                <w:rFonts w:ascii="Helvetica" w:hAnsi="Helvetica"/>
                <w:sz w:val="25"/>
                <w:szCs w:val="25"/>
              </w:rPr>
              <w:lastRenderedPageBreak/>
              <w:t xml:space="preserve">Table S5: </w:t>
            </w:r>
            <w:r w:rsidR="007B3F1E" w:rsidRPr="001D593E">
              <w:rPr>
                <w:rFonts w:ascii="Helvetica" w:eastAsia="Times New Roman" w:hAnsi="Helvetica" w:cs="Times New Roman"/>
                <w:b/>
                <w:bCs/>
                <w:color w:val="003399"/>
                <w:sz w:val="25"/>
                <w:szCs w:val="25"/>
              </w:rPr>
              <w:t>Severe 12-month disability in particular domains or in any domain in respondents with specific IED subtypes, with participants who</w:t>
            </w:r>
            <w:r w:rsidR="007B3F1E" w:rsidRPr="007B3F1E">
              <w:rPr>
                <w:rFonts w:ascii="Helvetica" w:eastAsia="Times New Roman" w:hAnsi="Helvetica" w:cs="Times New Roman"/>
                <w:b/>
                <w:bCs/>
                <w:color w:val="003399"/>
                <w:sz w:val="25"/>
                <w:szCs w:val="25"/>
              </w:rPr>
              <w:t xml:space="preserve"> hurt people and destroy things during anger attacks as the reference category.</w:t>
            </w:r>
          </w:p>
        </w:tc>
      </w:tr>
      <w:tr w:rsidR="000E2B5E" w:rsidRPr="007B3F1E" w14:paraId="2E4A9E45" w14:textId="77777777" w:rsidTr="000E2B5E">
        <w:trPr>
          <w:trHeight w:val="24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74AC3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BE8B0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A9D93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BF0FD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8D28F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277B8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7880F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B7ED2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CE9D2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30B95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03B5A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1DF02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53E79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A6D6B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463F6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B8FCA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7ED6F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C85E0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8D84F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F4B4E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8CBE0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2105C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</w:tr>
      <w:tr w:rsidR="000E2B5E" w:rsidRPr="007B3F1E" w14:paraId="357AD55B" w14:textId="77777777" w:rsidTr="000E2B5E">
        <w:trPr>
          <w:trHeight w:val="300"/>
        </w:trPr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6495ED"/>
            <w:vAlign w:val="bottom"/>
            <w:hideMark/>
          </w:tcPr>
          <w:p w14:paraId="7FA698DA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 </w:t>
            </w:r>
          </w:p>
        </w:tc>
        <w:tc>
          <w:tcPr>
            <w:tcW w:w="11154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6495ED"/>
            <w:vAlign w:val="bottom"/>
            <w:hideMark/>
          </w:tcPr>
          <w:p w14:paraId="3542D097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IED subtypes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6495ED"/>
            <w:vAlign w:val="bottom"/>
            <w:hideMark/>
          </w:tcPr>
          <w:p w14:paraId="5F491230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 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6495ED"/>
            <w:vAlign w:val="bottom"/>
            <w:hideMark/>
          </w:tcPr>
          <w:p w14:paraId="114B9368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495ED"/>
            <w:vAlign w:val="bottom"/>
            <w:hideMark/>
          </w:tcPr>
          <w:p w14:paraId="1B62B9B3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 </w:t>
            </w:r>
          </w:p>
        </w:tc>
      </w:tr>
      <w:tr w:rsidR="000E2B5E" w:rsidRPr="007B3F1E" w14:paraId="491B102C" w14:textId="77777777" w:rsidTr="000E2B5E">
        <w:trPr>
          <w:trHeight w:val="600"/>
        </w:trPr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6495ED"/>
            <w:vAlign w:val="bottom"/>
            <w:hideMark/>
          </w:tcPr>
          <w:p w14:paraId="4457C8EB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6495ED"/>
            <w:vAlign w:val="center"/>
            <w:hideMark/>
          </w:tcPr>
          <w:p w14:paraId="76C3B66F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Destroy and</w:t>
            </w: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br/>
              <w:t>hurt</w:t>
            </w:r>
          </w:p>
        </w:tc>
        <w:tc>
          <w:tcPr>
            <w:tcW w:w="24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495ED"/>
            <w:vAlign w:val="center"/>
            <w:hideMark/>
          </w:tcPr>
          <w:p w14:paraId="4D3AC313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Destroy and threaten</w:t>
            </w:r>
          </w:p>
        </w:tc>
        <w:tc>
          <w:tcPr>
            <w:tcW w:w="2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495ED"/>
            <w:vAlign w:val="center"/>
            <w:hideMark/>
          </w:tcPr>
          <w:p w14:paraId="625A8864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Destroy things</w:t>
            </w:r>
          </w:p>
        </w:tc>
        <w:tc>
          <w:tcPr>
            <w:tcW w:w="2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495ED"/>
            <w:vAlign w:val="center"/>
            <w:hideMark/>
          </w:tcPr>
          <w:p w14:paraId="462F5206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Hurt people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495ED"/>
            <w:vAlign w:val="center"/>
            <w:hideMark/>
          </w:tcPr>
          <w:p w14:paraId="206A8706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Threaten people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495ED"/>
            <w:vAlign w:val="center"/>
            <w:hideMark/>
          </w:tcPr>
          <w:p w14:paraId="31CAB8AA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Overall test</w:t>
            </w:r>
          </w:p>
        </w:tc>
      </w:tr>
      <w:tr w:rsidR="000E2B5E" w:rsidRPr="007B3F1E" w14:paraId="5C41C72E" w14:textId="77777777" w:rsidTr="000E2B5E">
        <w:trPr>
          <w:trHeight w:val="48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2E484D97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Disability domain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26D55906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%</w:t>
            </w: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  <w:vertAlign w:val="superscript"/>
              </w:rPr>
              <w:t>c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61C4F360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SE</w:t>
            </w: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5BB98C8E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%</w:t>
            </w: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  <w:vertAlign w:val="superscript"/>
              </w:rPr>
              <w:t>c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785205E4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SE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7DB8E1A7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OR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495ED"/>
            <w:vAlign w:val="bottom"/>
            <w:hideMark/>
          </w:tcPr>
          <w:p w14:paraId="38B5BE2D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(95% CI)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2F4D9D97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%</w:t>
            </w: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  <w:vertAlign w:val="superscript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4FA36A25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SE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4B2BE170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OR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495ED"/>
            <w:vAlign w:val="bottom"/>
            <w:hideMark/>
          </w:tcPr>
          <w:p w14:paraId="6D7450EA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(95% CI)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225108EF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%</w:t>
            </w: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  <w:vertAlign w:val="superscript"/>
              </w:rPr>
              <w:t>c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19D09045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SE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713B5991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OR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495ED"/>
            <w:vAlign w:val="bottom"/>
            <w:hideMark/>
          </w:tcPr>
          <w:p w14:paraId="0CE7F9DA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(95% CI)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3A68E282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%</w:t>
            </w: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64C6658C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SE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2A32A146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OR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495ED"/>
            <w:vAlign w:val="bottom"/>
            <w:hideMark/>
          </w:tcPr>
          <w:p w14:paraId="7361C61B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(95% CI)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08F9E52F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Wald X2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495ED"/>
            <w:vAlign w:val="bottom"/>
            <w:hideMark/>
          </w:tcPr>
          <w:p w14:paraId="75D9FAC9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P-value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495ED"/>
            <w:vAlign w:val="bottom"/>
            <w:hideMark/>
          </w:tcPr>
          <w:p w14:paraId="4676F27F" w14:textId="77777777" w:rsidR="007B3F1E" w:rsidRPr="007B3F1E" w:rsidRDefault="007B3F1E" w:rsidP="007B3F1E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color w:val="FFFFFF"/>
                <w:sz w:val="16"/>
                <w:szCs w:val="19"/>
              </w:rPr>
              <w:t>DF</w:t>
            </w:r>
          </w:p>
        </w:tc>
      </w:tr>
      <w:tr w:rsidR="00FB0FCC" w:rsidRPr="007B3F1E" w14:paraId="3E8A1BD9" w14:textId="77777777" w:rsidTr="000E2B5E">
        <w:trPr>
          <w:trHeight w:val="280"/>
        </w:trPr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30FC4" w14:textId="77777777" w:rsidR="00FB0FCC" w:rsidRPr="00FB0FCC" w:rsidRDefault="00FB0FCC" w:rsidP="00FB0FCC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Home management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0CD29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B7A82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7942F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CA971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D09C7" w14:textId="2BDA98D5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CD3D5" w14:textId="53CCF46D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(0.2-2.3)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78998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63F65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AE1DB" w14:textId="2BB7EC3A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75212" w14:textId="53939C4B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(0.1-1.2)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44944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B8F8B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E992B" w14:textId="531767E4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6E003" w14:textId="51A8770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(0.2-1.8)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CA150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56C2E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3ECB1" w14:textId="5EF43F54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BFCD1" w14:textId="1DF55C91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(0.3-4.0)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ED8D0" w14:textId="61CFB422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052D9" w14:textId="268E7B7C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6F38C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FB0FCC" w:rsidRPr="007B3F1E" w14:paraId="7793D2DD" w14:textId="77777777" w:rsidTr="000E2B5E">
        <w:trPr>
          <w:trHeight w:val="280"/>
        </w:trPr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B3371" w14:textId="4E07A2FA" w:rsidR="00FB0FCC" w:rsidRPr="00FB0FCC" w:rsidRDefault="00FB0FCC" w:rsidP="00FB0FCC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Ability to work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14732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53E81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B9FB8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B5347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680D1" w14:textId="73CC69D2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8AA57" w14:textId="3CDEE1C4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(0.2-3.0)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BB255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541D7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BC293" w14:textId="02D619F8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469B5" w14:textId="56DE62B8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(0.5-4.4)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7F23D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4CB74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DEAF3" w14:textId="4632D55A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B1C89" w14:textId="6A311081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(0.1-1.4)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26658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D2F1B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529A7" w14:textId="620C753E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BB579" w14:textId="3794F0B4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(0.1-1.6)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DB993" w14:textId="469C19D2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51558" w14:textId="432406E2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09BC0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FB0FCC" w:rsidRPr="007B3F1E" w14:paraId="79760982" w14:textId="77777777" w:rsidTr="000E2B5E">
        <w:trPr>
          <w:trHeight w:val="520"/>
        </w:trPr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D5860" w14:textId="77777777" w:rsidR="00FB0FCC" w:rsidRPr="00FB0FCC" w:rsidRDefault="00FB0FCC" w:rsidP="00FB0FCC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Ability to form and maintain close relationships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450E4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FF19A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47250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2714F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19C1E" w14:textId="7494EE8D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F227C" w14:textId="1683DCF8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(0.2-1.7)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AD088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EB0F2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70EF3" w14:textId="79CD7980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0.3*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574B7" w14:textId="598074B0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(0.1-0.8)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B74CF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D0B5C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979F3" w14:textId="47B9DD4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83B98" w14:textId="58C3A402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(0.2-1.2)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2E14D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A31D2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61FE0" w14:textId="0AB7E358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1C55D" w14:textId="534F8EAF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(0.2-2.3)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D7DB1" w14:textId="0CF682EF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BC159" w14:textId="5828E6D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54933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FB0FCC" w:rsidRPr="007B3F1E" w14:paraId="68B19E43" w14:textId="77777777" w:rsidTr="000E2B5E">
        <w:trPr>
          <w:trHeight w:val="280"/>
        </w:trPr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7B437" w14:textId="77777777" w:rsidR="00FB0FCC" w:rsidRPr="00FB0FCC" w:rsidRDefault="00FB0FCC" w:rsidP="00FB0FCC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Social life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982B6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29.7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86D11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CDCD9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14919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E1CDF" w14:textId="115D310C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67A38" w14:textId="13E2E815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(0.1-1.9)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B7CB3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BCE5F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8E934" w14:textId="725C8D1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74FCD" w14:textId="33583849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(0.1-1.3)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D3222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900D7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224AD" w14:textId="63003E88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5E241" w14:textId="131D3A51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(0.2-1.4)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5B68D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8F804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FA584" w14:textId="5C02BDF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DA0BB" w14:textId="2986C32B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(0.4-4.0)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BEF70" w14:textId="1D41D5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D7CCC" w14:textId="342C9EAC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9612D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FB0FCC" w:rsidRPr="007B3F1E" w14:paraId="28B098DB" w14:textId="77777777" w:rsidTr="000E2B5E">
        <w:trPr>
          <w:trHeight w:val="280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1162E9" w14:textId="77777777" w:rsidR="00FB0FCC" w:rsidRPr="00FB0FCC" w:rsidRDefault="00FB0FCC" w:rsidP="00FB0FCC">
            <w:pPr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  <w:t>Any domain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0C3B58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  <w:t>43.1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4D695F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D05503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5A410A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7DD427" w14:textId="0589EE33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0CCDD" w14:textId="3543D363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(0.3-2.1)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FFF4F4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651719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33E77C" w14:textId="32C1A754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44BE0" w14:textId="26159ACF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(0.2-1.5)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1FA353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  <w:t>35.1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C95D8E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  <w:t>7.4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16BF1D" w14:textId="7F087439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EB406" w14:textId="2CE56576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(0.3-1.5)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3D00A7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  <w:t>44.5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4EE287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554968" w14:textId="6436D878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DF7FE" w14:textId="5F031B26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(0.5-4.3)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4FA39C" w14:textId="7DEC6856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449DCB" w14:textId="2ECFFAC9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</w:pPr>
            <w:r w:rsidRPr="00FB0FCC"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653FC" w14:textId="77777777" w:rsidR="00FB0FCC" w:rsidRPr="00FB0FCC" w:rsidRDefault="00FB0FCC" w:rsidP="00FB0FCC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</w:pPr>
            <w:r w:rsidRPr="00FB0FCC">
              <w:rPr>
                <w:rFonts w:ascii="Helvetica" w:eastAsia="Times New Roman" w:hAnsi="Helvetica" w:cs="Times New Roma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0E2B5E" w:rsidRPr="007B3F1E" w14:paraId="06F490C0" w14:textId="77777777" w:rsidTr="000E2B5E">
        <w:trPr>
          <w:trHeight w:val="24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4C6C7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A8320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563BA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FAF35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17FE3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3F637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97225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CF14D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1D431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61EA3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22DF3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9C235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C39B5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E8F0C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2A556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DB640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57F35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DD271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F301D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59410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E073F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8E921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color w:val="003399"/>
                <w:sz w:val="19"/>
                <w:szCs w:val="19"/>
              </w:rPr>
              <w:t> </w:t>
            </w:r>
          </w:p>
        </w:tc>
      </w:tr>
      <w:tr w:rsidR="007B3F1E" w:rsidRPr="007B3F1E" w14:paraId="1668BC9F" w14:textId="77777777" w:rsidTr="000E2B5E">
        <w:trPr>
          <w:trHeight w:val="300"/>
        </w:trPr>
        <w:tc>
          <w:tcPr>
            <w:tcW w:w="147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61CFAB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b/>
                <w:bCs/>
                <w:i/>
                <w:iCs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i/>
                <w:iCs/>
                <w:color w:val="003399"/>
                <w:sz w:val="19"/>
                <w:szCs w:val="19"/>
              </w:rPr>
              <w:t>IED subtypes were defined based on behavior during anger attacks (lifetime). Severe disability in a particular domain is defined as a score of &gt;6 on the Sheehan Disability Scale for that domain.</w:t>
            </w:r>
          </w:p>
        </w:tc>
      </w:tr>
      <w:tr w:rsidR="007B3F1E" w:rsidRPr="007B3F1E" w14:paraId="16BC6B2C" w14:textId="77777777" w:rsidTr="000E2B5E">
        <w:trPr>
          <w:trHeight w:val="300"/>
        </w:trPr>
        <w:tc>
          <w:tcPr>
            <w:tcW w:w="147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8F002" w14:textId="528EAB17" w:rsidR="007B3F1E" w:rsidRPr="007B3F1E" w:rsidRDefault="007B3F1E" w:rsidP="007B3F1E">
            <w:pPr>
              <w:rPr>
                <w:rFonts w:ascii="Helvetica" w:eastAsia="Times New Roman" w:hAnsi="Helvetica" w:cs="Times New Roman"/>
                <w:b/>
                <w:bCs/>
                <w:i/>
                <w:iCs/>
                <w:color w:val="003399"/>
                <w:sz w:val="19"/>
                <w:szCs w:val="19"/>
              </w:rPr>
            </w:pPr>
            <w:r w:rsidRPr="007B3F1E">
              <w:rPr>
                <w:rFonts w:ascii="Helvetica" w:eastAsia="Times New Roman" w:hAnsi="Helvetica" w:cs="Times New Roman"/>
                <w:b/>
                <w:bCs/>
                <w:i/>
                <w:iCs/>
                <w:color w:val="003399"/>
                <w:sz w:val="19"/>
                <w:szCs w:val="19"/>
              </w:rPr>
              <w:t>Logistic regression was used to compare the prevalence of severe disability.</w:t>
            </w:r>
            <w:r w:rsidR="00FB0FCC">
              <w:rPr>
                <w:rFonts w:ascii="Helvetica" w:eastAsia="Times New Roman" w:hAnsi="Helvetica" w:cs="Times New Roman"/>
                <w:b/>
                <w:bCs/>
                <w:i/>
                <w:iCs/>
                <w:color w:val="003399"/>
                <w:sz w:val="19"/>
                <w:szCs w:val="19"/>
              </w:rPr>
              <w:t xml:space="preserve"> </w:t>
            </w:r>
            <w:r w:rsidR="00FB0FCC" w:rsidRPr="00FB0FCC">
              <w:rPr>
                <w:rFonts w:ascii="Helvetica" w:eastAsia="Times New Roman" w:hAnsi="Helvetica" w:cs="Times New Roman"/>
                <w:b/>
                <w:bCs/>
                <w:i/>
                <w:iCs/>
                <w:color w:val="003399"/>
                <w:sz w:val="19"/>
                <w:szCs w:val="19"/>
              </w:rPr>
              <w:t>All analyses control for participants' age, sex, education (in country-specific quartiles), and country of origin.</w:t>
            </w:r>
          </w:p>
        </w:tc>
      </w:tr>
      <w:tr w:rsidR="007B3F1E" w:rsidRPr="007B3F1E" w14:paraId="272CB6E2" w14:textId="77777777" w:rsidTr="000E2B5E">
        <w:trPr>
          <w:trHeight w:val="300"/>
        </w:trPr>
        <w:tc>
          <w:tcPr>
            <w:tcW w:w="147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B27484" w14:textId="77777777" w:rsidR="007B3F1E" w:rsidRPr="007B3F1E" w:rsidRDefault="007B3F1E" w:rsidP="007B3F1E">
            <w:pPr>
              <w:rPr>
                <w:rFonts w:ascii="Helvetica" w:eastAsia="Times New Roman" w:hAnsi="Helvetica" w:cs="Times New Roman"/>
                <w:b/>
                <w:bCs/>
                <w:i/>
                <w:iCs/>
                <w:color w:val="003399"/>
                <w:sz w:val="19"/>
                <w:szCs w:val="19"/>
              </w:rPr>
            </w:pPr>
            <w:proofErr w:type="spellStart"/>
            <w:r w:rsidRPr="007B3F1E">
              <w:rPr>
                <w:rFonts w:ascii="Helvetica" w:eastAsia="Times New Roman" w:hAnsi="Helvetica" w:cs="Times New Roman"/>
                <w:b/>
                <w:bCs/>
                <w:i/>
                <w:iCs/>
                <w:color w:val="003399"/>
                <w:sz w:val="19"/>
                <w:szCs w:val="19"/>
                <w:vertAlign w:val="superscript"/>
              </w:rPr>
              <w:t>c</w:t>
            </w:r>
            <w:r w:rsidRPr="007B3F1E">
              <w:rPr>
                <w:rFonts w:ascii="Helvetica" w:eastAsia="Times New Roman" w:hAnsi="Helvetica" w:cs="Times New Roman"/>
                <w:b/>
                <w:bCs/>
                <w:i/>
                <w:iCs/>
                <w:color w:val="003399"/>
                <w:sz w:val="19"/>
                <w:szCs w:val="19"/>
              </w:rPr>
              <w:t>Percentages</w:t>
            </w:r>
            <w:proofErr w:type="spellEnd"/>
            <w:r w:rsidRPr="007B3F1E">
              <w:rPr>
                <w:rFonts w:ascii="Helvetica" w:eastAsia="Times New Roman" w:hAnsi="Helvetica" w:cs="Times New Roman"/>
                <w:b/>
                <w:bCs/>
                <w:i/>
                <w:iCs/>
                <w:color w:val="003399"/>
                <w:sz w:val="19"/>
                <w:szCs w:val="19"/>
              </w:rPr>
              <w:t xml:space="preserve"> are based on weighted data</w:t>
            </w:r>
          </w:p>
        </w:tc>
      </w:tr>
    </w:tbl>
    <w:p w14:paraId="3016160C" w14:textId="21FF0194" w:rsidR="00095FA8" w:rsidRDefault="00095FA8"/>
    <w:p w14:paraId="5A5889F9" w14:textId="77777777" w:rsidR="00604B88" w:rsidRDefault="00604B88"/>
    <w:sectPr w:rsidR="00604B88" w:rsidSect="007C528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83"/>
    <w:rsid w:val="000934F7"/>
    <w:rsid w:val="00095FA8"/>
    <w:rsid w:val="000E2B5E"/>
    <w:rsid w:val="001C5E1D"/>
    <w:rsid w:val="001D593E"/>
    <w:rsid w:val="001D7211"/>
    <w:rsid w:val="0026191A"/>
    <w:rsid w:val="00396B1C"/>
    <w:rsid w:val="003F4B93"/>
    <w:rsid w:val="004540E4"/>
    <w:rsid w:val="00604B88"/>
    <w:rsid w:val="006B184A"/>
    <w:rsid w:val="007B3F1E"/>
    <w:rsid w:val="007C5283"/>
    <w:rsid w:val="008A0E7F"/>
    <w:rsid w:val="008E5A67"/>
    <w:rsid w:val="009D654B"/>
    <w:rsid w:val="00A60CDE"/>
    <w:rsid w:val="00B1576E"/>
    <w:rsid w:val="00B721D9"/>
    <w:rsid w:val="00BA3B1D"/>
    <w:rsid w:val="00CA7A4F"/>
    <w:rsid w:val="00CE2591"/>
    <w:rsid w:val="00E00AF6"/>
    <w:rsid w:val="00E54952"/>
    <w:rsid w:val="00E57AB0"/>
    <w:rsid w:val="00EF2DB9"/>
    <w:rsid w:val="00F03C95"/>
    <w:rsid w:val="00F72FC8"/>
    <w:rsid w:val="00F76FFF"/>
    <w:rsid w:val="00FA6E83"/>
    <w:rsid w:val="00FB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F5A2F"/>
  <w15:docId w15:val="{B09673CC-8CA5-40D0-B5DD-D87D119A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4"/>
        <w:szCs w:val="22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283"/>
    <w:rPr>
      <w:rFonts w:asciiTheme="minorHAnsi" w:eastAsiaTheme="minorEastAsia" w:hAnsiTheme="minorHAnsi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F76F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6FFF"/>
    <w:rPr>
      <w:rFonts w:ascii="Segoe UI" w:eastAsiaTheme="minorEastAsia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1C5E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5E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5E1D"/>
    <w:rPr>
      <w:rFonts w:asciiTheme="minorHAnsi" w:eastAsiaTheme="minorEastAsia" w:hAnsiTheme="minorHAns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5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5E1D"/>
    <w:rPr>
      <w:rFonts w:asciiTheme="minorHAnsi" w:eastAsiaTheme="minorEastAsia" w:hAnsiTheme="minorHAns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dsm</cp:lastModifiedBy>
  <cp:revision>2</cp:revision>
  <cp:lastPrinted>2019-08-12T22:45:00Z</cp:lastPrinted>
  <dcterms:created xsi:type="dcterms:W3CDTF">2020-05-06T00:01:00Z</dcterms:created>
  <dcterms:modified xsi:type="dcterms:W3CDTF">2020-05-06T00:01:00Z</dcterms:modified>
</cp:coreProperties>
</file>