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3F44" w14:textId="77777777" w:rsidR="00B76278" w:rsidRPr="00B76278" w:rsidRDefault="00B76278" w:rsidP="00D3642C">
      <w:pPr>
        <w:pStyle w:val="Heading1"/>
      </w:pPr>
      <w:r>
        <w:t>Potentially preventable hospitalisations in mental health service users: a population-wide cohort study</w:t>
      </w:r>
    </w:p>
    <w:p w14:paraId="59BBF7BB" w14:textId="77777777" w:rsidR="00EE5C82" w:rsidRDefault="00EE5C82"/>
    <w:p w14:paraId="6F36F08D" w14:textId="2D7C57A1" w:rsidR="00C022F7" w:rsidRDefault="00C022F7" w:rsidP="00873300">
      <w:pPr>
        <w:pStyle w:val="Heading1"/>
      </w:pPr>
      <w:r w:rsidRPr="00C07E67">
        <w:t>SUPPLEMENTARY MATERIAL</w:t>
      </w:r>
    </w:p>
    <w:p w14:paraId="273CA9A9" w14:textId="77777777" w:rsidR="00873300" w:rsidRPr="00873300" w:rsidRDefault="00873300" w:rsidP="00873300"/>
    <w:p w14:paraId="61E3B272" w14:textId="27FDC629" w:rsidR="00AE7219" w:rsidRDefault="00AE7219" w:rsidP="00162618">
      <w:pPr>
        <w:pStyle w:val="ListParagraph"/>
        <w:numPr>
          <w:ilvl w:val="1"/>
          <w:numId w:val="1"/>
        </w:numPr>
      </w:pPr>
      <w:r>
        <w:t>S1 Definition of Potentially Preventable Hospitalisations</w:t>
      </w:r>
    </w:p>
    <w:p w14:paraId="7265B554" w14:textId="0ED99C67" w:rsidR="00162618" w:rsidRDefault="005E411C" w:rsidP="00162618">
      <w:pPr>
        <w:pStyle w:val="ListParagraph"/>
        <w:numPr>
          <w:ilvl w:val="1"/>
          <w:numId w:val="1"/>
        </w:numPr>
      </w:pPr>
      <w:r>
        <w:t>S</w:t>
      </w:r>
      <w:r w:rsidR="00AE7219">
        <w:t>2</w:t>
      </w:r>
      <w:r>
        <w:t xml:space="preserve"> </w:t>
      </w:r>
      <w:r w:rsidR="00162618">
        <w:t>Details of cohort</w:t>
      </w:r>
    </w:p>
    <w:p w14:paraId="42EA54DF" w14:textId="5635FBF7" w:rsidR="00162618" w:rsidRDefault="005E411C" w:rsidP="00162618">
      <w:pPr>
        <w:pStyle w:val="ListParagraph"/>
        <w:numPr>
          <w:ilvl w:val="1"/>
          <w:numId w:val="1"/>
        </w:numPr>
      </w:pPr>
      <w:r>
        <w:t>S</w:t>
      </w:r>
      <w:r w:rsidR="00AE7219">
        <w:t>3</w:t>
      </w:r>
      <w:r>
        <w:t xml:space="preserve"> </w:t>
      </w:r>
      <w:r w:rsidR="00162618">
        <w:t xml:space="preserve">Supplementary data table for </w:t>
      </w:r>
      <w:r w:rsidR="009052C8">
        <w:t>Figure 1</w:t>
      </w:r>
      <w:r w:rsidR="00162618">
        <w:t xml:space="preserve"> (Age x condition type interaction) </w:t>
      </w:r>
    </w:p>
    <w:p w14:paraId="32C6C482" w14:textId="3600A935" w:rsidR="005B2A18" w:rsidRDefault="005E411C" w:rsidP="00162618">
      <w:pPr>
        <w:pStyle w:val="ListParagraph"/>
        <w:numPr>
          <w:ilvl w:val="1"/>
          <w:numId w:val="1"/>
        </w:numPr>
      </w:pPr>
      <w:r>
        <w:t>S</w:t>
      </w:r>
      <w:r w:rsidR="00AE7219">
        <w:t>4</w:t>
      </w:r>
      <w:r>
        <w:t xml:space="preserve"> </w:t>
      </w:r>
      <w:r w:rsidR="005B2A18">
        <w:t>Supp</w:t>
      </w:r>
      <w:r w:rsidR="009052C8">
        <w:t xml:space="preserve">lementary </w:t>
      </w:r>
      <w:r w:rsidR="005B2A18">
        <w:t xml:space="preserve">data table for </w:t>
      </w:r>
      <w:r w:rsidR="009052C8">
        <w:t>Figure 2</w:t>
      </w:r>
    </w:p>
    <w:p w14:paraId="0E6D6C5F" w14:textId="44D72F7F" w:rsidR="007073B2" w:rsidRDefault="005E411C" w:rsidP="00162618">
      <w:pPr>
        <w:pStyle w:val="ListParagraph"/>
        <w:numPr>
          <w:ilvl w:val="1"/>
          <w:numId w:val="1"/>
        </w:numPr>
      </w:pPr>
      <w:r>
        <w:t>S</w:t>
      </w:r>
      <w:r w:rsidR="00AE7219">
        <w:t>5</w:t>
      </w:r>
      <w:r>
        <w:t xml:space="preserve"> </w:t>
      </w:r>
      <w:r w:rsidR="00454210">
        <w:t>Sensitivity analysis</w:t>
      </w:r>
      <w:r w:rsidR="00D14FC6">
        <w:t>: main</w:t>
      </w:r>
      <w:r w:rsidR="00454210">
        <w:t xml:space="preserve"> results </w:t>
      </w:r>
    </w:p>
    <w:p w14:paraId="44D981C7" w14:textId="529D3956" w:rsidR="00D14FC6" w:rsidRDefault="005E4D77" w:rsidP="005E4D77">
      <w:pPr>
        <w:pStyle w:val="ListParagraph"/>
        <w:numPr>
          <w:ilvl w:val="1"/>
          <w:numId w:val="1"/>
        </w:numPr>
      </w:pPr>
      <w:r>
        <w:t>S</w:t>
      </w:r>
      <w:r w:rsidR="00C015C6">
        <w:t>6</w:t>
      </w:r>
      <w:bookmarkStart w:id="0" w:name="_GoBack"/>
      <w:bookmarkEnd w:id="0"/>
      <w:r>
        <w:t xml:space="preserve"> Index of Relative Socioeconomic Disadvantage (IRSD) additional information </w:t>
      </w:r>
      <w:r w:rsidR="00D14FC6">
        <w:t xml:space="preserve"> </w:t>
      </w:r>
    </w:p>
    <w:p w14:paraId="205C32D3" w14:textId="77777777" w:rsidR="00AE7219" w:rsidRDefault="00AE7219"/>
    <w:p w14:paraId="24C924BF" w14:textId="124FF44F" w:rsidR="005E4D77" w:rsidRDefault="005E4D77">
      <w:pPr>
        <w:sectPr w:rsidR="005E4D77" w:rsidSect="00873300">
          <w:pgSz w:w="11906" w:h="16838"/>
          <w:pgMar w:top="1440" w:right="709" w:bottom="1440" w:left="851" w:header="708" w:footer="708" w:gutter="0"/>
          <w:cols w:space="708"/>
          <w:docGrid w:linePitch="360"/>
        </w:sectPr>
      </w:pPr>
    </w:p>
    <w:p w14:paraId="30B6AB05" w14:textId="77777777" w:rsidR="00AE7219" w:rsidRPr="00C97788" w:rsidRDefault="00AE7219" w:rsidP="00AE7219">
      <w:pPr>
        <w:rPr>
          <w:b/>
          <w:bCs/>
        </w:rPr>
      </w:pPr>
      <w:r w:rsidRPr="00C97788">
        <w:rPr>
          <w:b/>
          <w:bCs/>
        </w:rPr>
        <w:lastRenderedPageBreak/>
        <w:t xml:space="preserve">Table S1:   Definition of PPH episodes. </w:t>
      </w:r>
    </w:p>
    <w:p w14:paraId="6ACBB5F5" w14:textId="77777777" w:rsidR="00AE7219" w:rsidRDefault="00AE7219" w:rsidP="00AE7219">
      <w:pPr>
        <w:rPr>
          <w:lang w:val="en-US"/>
        </w:rPr>
      </w:pPr>
      <w:r>
        <w:rPr>
          <w:lang w:val="en-US"/>
        </w:rPr>
        <w:t>Specification is b</w:t>
      </w:r>
      <w:r w:rsidRPr="007D15F3">
        <w:rPr>
          <w:lang w:val="en-US"/>
        </w:rPr>
        <w:t>ased on</w:t>
      </w:r>
      <w:r>
        <w:rPr>
          <w:lang w:val="en-US"/>
        </w:rPr>
        <w:t xml:space="preserve"> the Australian </w:t>
      </w:r>
      <w:r w:rsidRPr="007D15F3">
        <w:rPr>
          <w:lang w:val="en-US"/>
        </w:rPr>
        <w:t xml:space="preserve">National Healthcare Agreement: PI 18-Selected potentially preventable </w:t>
      </w:r>
      <w:proofErr w:type="spellStart"/>
      <w:r w:rsidRPr="007D15F3">
        <w:rPr>
          <w:lang w:val="en-US"/>
        </w:rPr>
        <w:t>hospitalisations</w:t>
      </w:r>
      <w:proofErr w:type="spellEnd"/>
      <w:r w:rsidRPr="007D15F3">
        <w:rPr>
          <w:lang w:val="en-US"/>
        </w:rPr>
        <w:t>, 2017.</w:t>
      </w:r>
      <w:r>
        <w:rPr>
          <w:lang w:val="en-US"/>
        </w:rPr>
        <w:t xml:space="preserve"> </w:t>
      </w:r>
      <w:hyperlink r:id="rId6" w:history="1">
        <w:r w:rsidRPr="00CD4D26">
          <w:rPr>
            <w:rStyle w:val="Hyperlink"/>
            <w:lang w:val="en-US"/>
          </w:rPr>
          <w:t>https://meteor.aihw.gov.au/content/index.phtml/itemId/658499</w:t>
        </w:r>
      </w:hyperlink>
      <w:r>
        <w:rPr>
          <w:lang w:val="en-US"/>
        </w:rPr>
        <w:t xml:space="preserve"> </w:t>
      </w:r>
      <w:r w:rsidRPr="007D15F3">
        <w:rPr>
          <w:lang w:val="en-US"/>
        </w:rPr>
        <w:t xml:space="preserve"> </w:t>
      </w:r>
    </w:p>
    <w:p w14:paraId="24105B5C" w14:textId="77777777" w:rsidR="00AE7219" w:rsidRDefault="00AE7219" w:rsidP="00AE7219">
      <w:pPr>
        <w:rPr>
          <w:lang w:val="en-US"/>
        </w:rPr>
      </w:pPr>
      <w:r>
        <w:rPr>
          <w:lang w:val="en-US"/>
        </w:rPr>
        <w:t xml:space="preserve">Diagnosis codes used </w:t>
      </w:r>
      <w:r w:rsidRPr="007D15F3">
        <w:rPr>
          <w:lang w:val="en-US"/>
        </w:rPr>
        <w:t>The International Statistical Classification of Diseases and Related Health Problems</w:t>
      </w:r>
      <w:r>
        <w:rPr>
          <w:lang w:val="en-US"/>
        </w:rPr>
        <w:t xml:space="preserve"> Version 10, the </w:t>
      </w:r>
      <w:r w:rsidRPr="007D15F3">
        <w:rPr>
          <w:lang w:val="en-US"/>
        </w:rPr>
        <w:t>National Centre for Classification in Health, Australia; AM - Australian Modification</w:t>
      </w:r>
      <w:r>
        <w:rPr>
          <w:lang w:val="en-US"/>
        </w:rPr>
        <w:t xml:space="preserve"> (ICD10-AM). </w:t>
      </w:r>
      <w:r w:rsidRPr="007D15F3">
        <w:rPr>
          <w:lang w:val="en-US"/>
        </w:rPr>
        <w:t xml:space="preserve">‘In any diagnosis’ uses 51 diagnosis </w:t>
      </w:r>
      <w:r>
        <w:rPr>
          <w:lang w:val="en-US"/>
        </w:rPr>
        <w:t xml:space="preserve">recorded in up to 51 additional diagnosis </w:t>
      </w:r>
      <w:r w:rsidRPr="007D15F3">
        <w:rPr>
          <w:lang w:val="en-US"/>
        </w:rPr>
        <w:t>fields</w:t>
      </w:r>
      <w:r>
        <w:rPr>
          <w:lang w:val="en-US"/>
        </w:rPr>
        <w:t xml:space="preserve"> per episode of care</w:t>
      </w:r>
      <w:r w:rsidRPr="007D15F3">
        <w:rPr>
          <w:lang w:val="en-US"/>
        </w:rPr>
        <w:t>.</w:t>
      </w:r>
      <w:r>
        <w:rPr>
          <w:lang w:val="en-US"/>
        </w:rPr>
        <w:t xml:space="preserve">  Table adapted from </w:t>
      </w:r>
      <w:proofErr w:type="spellStart"/>
      <w:r>
        <w:rPr>
          <w:lang w:val="en-US"/>
        </w:rPr>
        <w:t>Healthstats</w:t>
      </w:r>
      <w:proofErr w:type="spellEnd"/>
      <w:r>
        <w:rPr>
          <w:lang w:val="en-US"/>
        </w:rPr>
        <w:t xml:space="preserve"> NSW </w:t>
      </w:r>
      <w:hyperlink r:id="rId7" w:history="1">
        <w:r w:rsidRPr="00CD4D26">
          <w:rPr>
            <w:rStyle w:val="Hyperlink"/>
            <w:lang w:val="en-US"/>
          </w:rPr>
          <w:t>http://www.healthstats.nsw.gov.au/indicator/bod_acshos</w:t>
        </w:r>
      </w:hyperlink>
      <w:r>
        <w:rPr>
          <w:lang w:val="en-US"/>
        </w:rPr>
        <w:t xml:space="preserve">.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035"/>
        <w:gridCol w:w="3205"/>
        <w:gridCol w:w="9214"/>
      </w:tblGrid>
      <w:tr w:rsidR="00AE7219" w:rsidRPr="007D15F3" w14:paraId="59F8804F" w14:textId="77777777" w:rsidTr="000F1310">
        <w:trPr>
          <w:trHeight w:val="255"/>
          <w:tblHeader/>
        </w:trPr>
        <w:tc>
          <w:tcPr>
            <w:tcW w:w="2035" w:type="dxa"/>
            <w:shd w:val="clear" w:color="auto" w:fill="BFBFBF" w:themeFill="background1" w:themeFillShade="BF"/>
            <w:noWrap/>
            <w:hideMark/>
          </w:tcPr>
          <w:p w14:paraId="228DACDE" w14:textId="77777777" w:rsidR="00AE7219" w:rsidRPr="007D15F3" w:rsidRDefault="00AE7219" w:rsidP="000F1310">
            <w:r w:rsidRPr="007D15F3">
              <w:t>Category</w:t>
            </w:r>
          </w:p>
        </w:tc>
        <w:tc>
          <w:tcPr>
            <w:tcW w:w="3205" w:type="dxa"/>
            <w:shd w:val="clear" w:color="auto" w:fill="BFBFBF" w:themeFill="background1" w:themeFillShade="BF"/>
            <w:noWrap/>
            <w:hideMark/>
          </w:tcPr>
          <w:p w14:paraId="302D8F53" w14:textId="77777777" w:rsidR="00AE7219" w:rsidRPr="007D15F3" w:rsidRDefault="00AE7219" w:rsidP="000F1310">
            <w:r w:rsidRPr="007D15F3">
              <w:t>ICD-10-AM</w:t>
            </w:r>
            <w:r>
              <w:t xml:space="preserve"> codes</w:t>
            </w:r>
          </w:p>
        </w:tc>
        <w:tc>
          <w:tcPr>
            <w:tcW w:w="9214" w:type="dxa"/>
            <w:shd w:val="clear" w:color="auto" w:fill="BFBFBF" w:themeFill="background1" w:themeFillShade="BF"/>
            <w:noWrap/>
            <w:hideMark/>
          </w:tcPr>
          <w:p w14:paraId="5EE0325A" w14:textId="77777777" w:rsidR="00AE7219" w:rsidRPr="007D15F3" w:rsidRDefault="00AE7219" w:rsidP="000F1310">
            <w:r w:rsidRPr="007D15F3">
              <w:t>Comments</w:t>
            </w:r>
          </w:p>
        </w:tc>
      </w:tr>
      <w:tr w:rsidR="00AE7219" w:rsidRPr="007D15F3" w14:paraId="393A5FC5" w14:textId="77777777" w:rsidTr="000F1310">
        <w:trPr>
          <w:trHeight w:val="255"/>
        </w:trPr>
        <w:tc>
          <w:tcPr>
            <w:tcW w:w="14454" w:type="dxa"/>
            <w:gridSpan w:val="3"/>
            <w:shd w:val="clear" w:color="auto" w:fill="BDD6EE" w:themeFill="accent1" w:themeFillTint="66"/>
            <w:noWrap/>
            <w:hideMark/>
          </w:tcPr>
          <w:p w14:paraId="2D5F39D5" w14:textId="77777777" w:rsidR="00AE7219" w:rsidRPr="007D15F3" w:rsidRDefault="00AE7219" w:rsidP="000F1310">
            <w:r w:rsidRPr="007D15F3">
              <w:t>Vaccine preventable conditions</w:t>
            </w:r>
          </w:p>
        </w:tc>
      </w:tr>
      <w:tr w:rsidR="00AE7219" w:rsidRPr="007D15F3" w14:paraId="5F75A529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0F78D5AC" w14:textId="77777777" w:rsidR="00AE7219" w:rsidRPr="007D15F3" w:rsidRDefault="00AE7219" w:rsidP="000F1310">
            <w:r w:rsidRPr="007D15F3">
              <w:t>Pneumonia and influenza (vaccine-preventable)</w:t>
            </w:r>
          </w:p>
        </w:tc>
        <w:tc>
          <w:tcPr>
            <w:tcW w:w="3205" w:type="dxa"/>
            <w:noWrap/>
            <w:hideMark/>
          </w:tcPr>
          <w:p w14:paraId="29A9D771" w14:textId="77777777" w:rsidR="00AE7219" w:rsidRPr="007D15F3" w:rsidRDefault="00AE7219" w:rsidP="000F1310">
            <w:r w:rsidRPr="007D15F3">
              <w:t>J10, J11, J13, J14</w:t>
            </w:r>
          </w:p>
        </w:tc>
        <w:tc>
          <w:tcPr>
            <w:tcW w:w="9214" w:type="dxa"/>
            <w:noWrap/>
            <w:hideMark/>
          </w:tcPr>
          <w:p w14:paraId="73BAC71D" w14:textId="77777777" w:rsidR="00AE7219" w:rsidRPr="007D15F3" w:rsidRDefault="00AE7219" w:rsidP="000F1310">
            <w:r w:rsidRPr="007D15F3">
              <w:t>In any diagnosis. Exclude people under 2 months. Rehabilitation records are excluded.</w:t>
            </w:r>
          </w:p>
        </w:tc>
      </w:tr>
      <w:tr w:rsidR="00AE7219" w:rsidRPr="007D15F3" w14:paraId="76E8A369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3F4DF906" w14:textId="77777777" w:rsidR="00AE7219" w:rsidRPr="007D15F3" w:rsidRDefault="00AE7219" w:rsidP="000F1310">
            <w:r w:rsidRPr="007D15F3">
              <w:t>Other vaccine-preventable conditions</w:t>
            </w:r>
          </w:p>
        </w:tc>
        <w:tc>
          <w:tcPr>
            <w:tcW w:w="3205" w:type="dxa"/>
            <w:noWrap/>
            <w:hideMark/>
          </w:tcPr>
          <w:p w14:paraId="2D5740EF" w14:textId="77777777" w:rsidR="00AE7219" w:rsidRPr="007D15F3" w:rsidRDefault="00AE7219" w:rsidP="000F1310">
            <w:r w:rsidRPr="007D15F3">
              <w:t>A08.0, A35, A36, A37, A80, B01, B05, B06, B16.1, B16.9, B18.0, B18.1, B26, G00.0</w:t>
            </w:r>
          </w:p>
        </w:tc>
        <w:tc>
          <w:tcPr>
            <w:tcW w:w="9214" w:type="dxa"/>
            <w:noWrap/>
            <w:hideMark/>
          </w:tcPr>
          <w:p w14:paraId="0762DDEE" w14:textId="77777777" w:rsidR="00AE7219" w:rsidRPr="007D15F3" w:rsidRDefault="00AE7219" w:rsidP="000F1310">
            <w:r w:rsidRPr="007D15F3">
              <w:t>In any diagnosis. Rotaviral Enteritis (A08.0) included for records with separation date 1 July 2007 onwards. Rehabilitation records are excluded.</w:t>
            </w:r>
          </w:p>
        </w:tc>
      </w:tr>
      <w:tr w:rsidR="00AE7219" w:rsidRPr="007D15F3" w14:paraId="73E15E86" w14:textId="77777777" w:rsidTr="000F1310">
        <w:trPr>
          <w:trHeight w:val="255"/>
        </w:trPr>
        <w:tc>
          <w:tcPr>
            <w:tcW w:w="14454" w:type="dxa"/>
            <w:gridSpan w:val="3"/>
            <w:shd w:val="clear" w:color="auto" w:fill="BDD6EE" w:themeFill="accent1" w:themeFillTint="66"/>
            <w:noWrap/>
          </w:tcPr>
          <w:p w14:paraId="55D1FCF0" w14:textId="77777777" w:rsidR="00AE7219" w:rsidRPr="007D15F3" w:rsidRDefault="00AE7219" w:rsidP="000F1310">
            <w:r>
              <w:t>Chronic conditions</w:t>
            </w:r>
          </w:p>
        </w:tc>
      </w:tr>
      <w:tr w:rsidR="00AE7219" w:rsidRPr="007D15F3" w14:paraId="153CB994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27F424A1" w14:textId="77777777" w:rsidR="00AE7219" w:rsidRPr="007D15F3" w:rsidRDefault="00AE7219" w:rsidP="000F1310">
            <w:r>
              <w:t xml:space="preserve">Chronic </w:t>
            </w:r>
            <w:r w:rsidRPr="007D15F3">
              <w:t>Asthma</w:t>
            </w:r>
          </w:p>
        </w:tc>
        <w:tc>
          <w:tcPr>
            <w:tcW w:w="3205" w:type="dxa"/>
            <w:noWrap/>
            <w:hideMark/>
          </w:tcPr>
          <w:p w14:paraId="5C2E0855" w14:textId="77777777" w:rsidR="00AE7219" w:rsidRPr="007D15F3" w:rsidRDefault="00AE7219" w:rsidP="000F1310">
            <w:r w:rsidRPr="007D15F3">
              <w:t>J45, J46</w:t>
            </w:r>
          </w:p>
        </w:tc>
        <w:tc>
          <w:tcPr>
            <w:tcW w:w="9214" w:type="dxa"/>
            <w:noWrap/>
            <w:hideMark/>
          </w:tcPr>
          <w:p w14:paraId="6D028888" w14:textId="77777777" w:rsidR="00AE7219" w:rsidRPr="007D15F3" w:rsidRDefault="00AE7219" w:rsidP="000F1310">
            <w:r w:rsidRPr="007D15F3">
              <w:t>As principal diagnosis. Exclude children aged less than 4 years. Rehabilitation records are excluded.</w:t>
            </w:r>
          </w:p>
        </w:tc>
      </w:tr>
      <w:tr w:rsidR="00AE7219" w:rsidRPr="007D15F3" w14:paraId="066AF24C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55A81318" w14:textId="77777777" w:rsidR="00AE7219" w:rsidRPr="007D15F3" w:rsidRDefault="00AE7219" w:rsidP="000F1310">
            <w:r w:rsidRPr="007D15F3">
              <w:t>Congestive cardiac failure</w:t>
            </w:r>
          </w:p>
        </w:tc>
        <w:tc>
          <w:tcPr>
            <w:tcW w:w="3205" w:type="dxa"/>
            <w:noWrap/>
            <w:hideMark/>
          </w:tcPr>
          <w:p w14:paraId="2BF15FA1" w14:textId="77777777" w:rsidR="00AE7219" w:rsidRPr="007D15F3" w:rsidRDefault="00AE7219" w:rsidP="000F1310">
            <w:r w:rsidRPr="007D15F3">
              <w:t>I50, I11.0, J81</w:t>
            </w:r>
          </w:p>
        </w:tc>
        <w:tc>
          <w:tcPr>
            <w:tcW w:w="9214" w:type="dxa"/>
            <w:noWrap/>
            <w:hideMark/>
          </w:tcPr>
          <w:p w14:paraId="65EE6A25" w14:textId="77777777" w:rsidR="00AE7219" w:rsidRPr="007D15F3" w:rsidRDefault="00AE7219" w:rsidP="000F1310">
            <w:r w:rsidRPr="007D15F3">
              <w:t>As principal diagnosis. Exclude cases with the following cardiac procedure codes: Blocks 600-606, 608-650, 653-657, 660-664, 666, 669-682, 684-691, 693, 705-707, 717 and codes 33172-00[715], 33827-01[733], 34800-00[726], 35412-00[11], 38721-01[733], 90217-02[734], 90215-02[732]. Rehabilitation records are excluded.</w:t>
            </w:r>
          </w:p>
        </w:tc>
      </w:tr>
      <w:tr w:rsidR="00AE7219" w:rsidRPr="007D15F3" w14:paraId="7C04C3B8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4FDE13D1" w14:textId="77777777" w:rsidR="00AE7219" w:rsidRPr="007D15F3" w:rsidRDefault="00AE7219" w:rsidP="000F1310">
            <w:r w:rsidRPr="007D15F3">
              <w:t>Diabetes complications</w:t>
            </w:r>
          </w:p>
        </w:tc>
        <w:tc>
          <w:tcPr>
            <w:tcW w:w="3205" w:type="dxa"/>
            <w:noWrap/>
            <w:hideMark/>
          </w:tcPr>
          <w:p w14:paraId="15AB1A56" w14:textId="77777777" w:rsidR="00AE7219" w:rsidRPr="007D15F3" w:rsidRDefault="00AE7219" w:rsidP="000F1310">
            <w:r w:rsidRPr="007D15F3">
              <w:t>E10, E11, E13, E14</w:t>
            </w:r>
          </w:p>
        </w:tc>
        <w:tc>
          <w:tcPr>
            <w:tcW w:w="9214" w:type="dxa"/>
            <w:noWrap/>
            <w:hideMark/>
          </w:tcPr>
          <w:p w14:paraId="601E0DD0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361156E1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5DD55DE8" w14:textId="77777777" w:rsidR="00AE7219" w:rsidRPr="007D15F3" w:rsidRDefault="00AE7219" w:rsidP="000F1310">
            <w:r w:rsidRPr="007D15F3">
              <w:t>COPD</w:t>
            </w:r>
          </w:p>
        </w:tc>
        <w:tc>
          <w:tcPr>
            <w:tcW w:w="3205" w:type="dxa"/>
            <w:noWrap/>
            <w:hideMark/>
          </w:tcPr>
          <w:p w14:paraId="5D80750E" w14:textId="77777777" w:rsidR="00AE7219" w:rsidRPr="007D15F3" w:rsidRDefault="00AE7219" w:rsidP="000F1310">
            <w:r w:rsidRPr="007D15F3">
              <w:t>J20, J41, J42, J43, J44</w:t>
            </w:r>
          </w:p>
        </w:tc>
        <w:tc>
          <w:tcPr>
            <w:tcW w:w="9214" w:type="dxa"/>
            <w:noWrap/>
            <w:hideMark/>
          </w:tcPr>
          <w:p w14:paraId="241789E2" w14:textId="77777777" w:rsidR="00AE7219" w:rsidRPr="007D15F3" w:rsidRDefault="00AE7219" w:rsidP="000F1310">
            <w:r w:rsidRPr="007D15F3">
              <w:t>J41-J44 as principal diagnosis. J20 as principal diagnosis with additional diagnoses of J41, J42, J43, J44. Rehabilitation records are excluded.</w:t>
            </w:r>
          </w:p>
        </w:tc>
      </w:tr>
      <w:tr w:rsidR="00AE7219" w:rsidRPr="007D15F3" w14:paraId="5554E700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523EBCEB" w14:textId="77777777" w:rsidR="00AE7219" w:rsidRPr="007D15F3" w:rsidRDefault="00AE7219" w:rsidP="000F1310">
            <w:r w:rsidRPr="007D15F3">
              <w:t>Bronchiectasis</w:t>
            </w:r>
          </w:p>
        </w:tc>
        <w:tc>
          <w:tcPr>
            <w:tcW w:w="3205" w:type="dxa"/>
            <w:noWrap/>
            <w:hideMark/>
          </w:tcPr>
          <w:p w14:paraId="4BE272A4" w14:textId="77777777" w:rsidR="00AE7219" w:rsidRPr="007D15F3" w:rsidRDefault="00AE7219" w:rsidP="000F1310">
            <w:r w:rsidRPr="007D15F3">
              <w:t>J47, J20</w:t>
            </w:r>
          </w:p>
        </w:tc>
        <w:tc>
          <w:tcPr>
            <w:tcW w:w="9214" w:type="dxa"/>
            <w:noWrap/>
            <w:hideMark/>
          </w:tcPr>
          <w:p w14:paraId="4954CD4D" w14:textId="77777777" w:rsidR="00AE7219" w:rsidRPr="007D15F3" w:rsidRDefault="00AE7219" w:rsidP="000F1310">
            <w:r w:rsidRPr="007D15F3">
              <w:t>As principal diagnosis. J20 only with additional diagnosis of J47. Rehabilitation records are excluded.</w:t>
            </w:r>
          </w:p>
        </w:tc>
      </w:tr>
      <w:tr w:rsidR="00AE7219" w:rsidRPr="007D15F3" w14:paraId="76E6AEB1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352ED7A6" w14:textId="77777777" w:rsidR="00AE7219" w:rsidRPr="007D15F3" w:rsidRDefault="00AE7219" w:rsidP="000F1310">
            <w:r w:rsidRPr="007D15F3">
              <w:t>Angina</w:t>
            </w:r>
          </w:p>
        </w:tc>
        <w:tc>
          <w:tcPr>
            <w:tcW w:w="3205" w:type="dxa"/>
            <w:noWrap/>
            <w:hideMark/>
          </w:tcPr>
          <w:p w14:paraId="6113BD51" w14:textId="77777777" w:rsidR="00AE7219" w:rsidRPr="007D15F3" w:rsidRDefault="00AE7219" w:rsidP="000F1310">
            <w:r w:rsidRPr="007D15F3">
              <w:t>I20, I24.0, I24.8, I24.9</w:t>
            </w:r>
          </w:p>
        </w:tc>
        <w:tc>
          <w:tcPr>
            <w:tcW w:w="9214" w:type="dxa"/>
            <w:noWrap/>
            <w:hideMark/>
          </w:tcPr>
          <w:p w14:paraId="4D52A73D" w14:textId="77777777" w:rsidR="00AE7219" w:rsidRPr="007D15F3" w:rsidRDefault="00AE7219" w:rsidP="000F1310">
            <w:r w:rsidRPr="007D15F3">
              <w:t>As principal diagnosis. Exclude cases according to the list of procedures excluded from the Congestive cardiac failure category above. Rehabilitation records are excluded.</w:t>
            </w:r>
          </w:p>
        </w:tc>
      </w:tr>
      <w:tr w:rsidR="00AE7219" w:rsidRPr="007D15F3" w14:paraId="74F00B85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0AC8ACD9" w14:textId="77777777" w:rsidR="00AE7219" w:rsidRPr="007D15F3" w:rsidRDefault="00AE7219" w:rsidP="000F1310">
            <w:r w:rsidRPr="007D15F3">
              <w:t>Iron deficiency anaemia</w:t>
            </w:r>
          </w:p>
        </w:tc>
        <w:tc>
          <w:tcPr>
            <w:tcW w:w="3205" w:type="dxa"/>
            <w:noWrap/>
            <w:hideMark/>
          </w:tcPr>
          <w:p w14:paraId="4F9BADB7" w14:textId="77777777" w:rsidR="00AE7219" w:rsidRPr="007D15F3" w:rsidRDefault="00AE7219" w:rsidP="000F1310">
            <w:r w:rsidRPr="007D15F3">
              <w:t>D50.1, D50.8, D50.9</w:t>
            </w:r>
          </w:p>
        </w:tc>
        <w:tc>
          <w:tcPr>
            <w:tcW w:w="9214" w:type="dxa"/>
            <w:noWrap/>
            <w:hideMark/>
          </w:tcPr>
          <w:p w14:paraId="226417C1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4670C65E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37F6E74D" w14:textId="77777777" w:rsidR="00AE7219" w:rsidRPr="007D15F3" w:rsidRDefault="00AE7219" w:rsidP="000F1310">
            <w:r w:rsidRPr="007D15F3">
              <w:t>Hypertension</w:t>
            </w:r>
          </w:p>
        </w:tc>
        <w:tc>
          <w:tcPr>
            <w:tcW w:w="3205" w:type="dxa"/>
            <w:noWrap/>
            <w:hideMark/>
          </w:tcPr>
          <w:p w14:paraId="161443BA" w14:textId="77777777" w:rsidR="00AE7219" w:rsidRPr="007D15F3" w:rsidRDefault="00AE7219" w:rsidP="000F1310">
            <w:r w:rsidRPr="007D15F3">
              <w:t>I10, I11.9</w:t>
            </w:r>
          </w:p>
        </w:tc>
        <w:tc>
          <w:tcPr>
            <w:tcW w:w="9214" w:type="dxa"/>
            <w:noWrap/>
            <w:hideMark/>
          </w:tcPr>
          <w:p w14:paraId="2276E660" w14:textId="77777777" w:rsidR="00AE7219" w:rsidRPr="007D15F3" w:rsidRDefault="00AE7219" w:rsidP="000F1310">
            <w:r w:rsidRPr="007D15F3">
              <w:t xml:space="preserve">As principal </w:t>
            </w:r>
            <w:proofErr w:type="spellStart"/>
            <w:proofErr w:type="gramStart"/>
            <w:r w:rsidRPr="007D15F3">
              <w:t>diagnosis.Exclude</w:t>
            </w:r>
            <w:proofErr w:type="spellEnd"/>
            <w:proofErr w:type="gramEnd"/>
            <w:r w:rsidRPr="007D15F3">
              <w:t xml:space="preserve"> cases with procedure codes according to the list of procedures excluded from the Congestive cardiac failure category above. Rehabilitation records are excluded.</w:t>
            </w:r>
          </w:p>
        </w:tc>
      </w:tr>
      <w:tr w:rsidR="00AE7219" w:rsidRPr="007D15F3" w14:paraId="5DEB8391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6F76E7A7" w14:textId="77777777" w:rsidR="00AE7219" w:rsidRPr="007D15F3" w:rsidRDefault="00AE7219" w:rsidP="000F1310">
            <w:r w:rsidRPr="007D15F3">
              <w:t>Nutritional deficiencies</w:t>
            </w:r>
          </w:p>
        </w:tc>
        <w:tc>
          <w:tcPr>
            <w:tcW w:w="3205" w:type="dxa"/>
            <w:noWrap/>
            <w:hideMark/>
          </w:tcPr>
          <w:p w14:paraId="3FA1D3E6" w14:textId="77777777" w:rsidR="00AE7219" w:rsidRPr="007D15F3" w:rsidRDefault="00AE7219" w:rsidP="000F1310">
            <w:r w:rsidRPr="007D15F3">
              <w:t>E40, E41, E42, E43, E55.0, E64.3</w:t>
            </w:r>
          </w:p>
        </w:tc>
        <w:tc>
          <w:tcPr>
            <w:tcW w:w="9214" w:type="dxa"/>
            <w:noWrap/>
            <w:hideMark/>
          </w:tcPr>
          <w:p w14:paraId="3E4AFD7D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4BFDDC39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2F2345BE" w14:textId="77777777" w:rsidR="00AE7219" w:rsidRPr="007D15F3" w:rsidRDefault="00AE7219" w:rsidP="000F1310">
            <w:r w:rsidRPr="007D15F3">
              <w:t>Rheumatic heart diseases</w:t>
            </w:r>
          </w:p>
        </w:tc>
        <w:tc>
          <w:tcPr>
            <w:tcW w:w="3205" w:type="dxa"/>
            <w:noWrap/>
            <w:hideMark/>
          </w:tcPr>
          <w:p w14:paraId="77374B5C" w14:textId="77777777" w:rsidR="00AE7219" w:rsidRPr="007D15F3" w:rsidRDefault="00AE7219" w:rsidP="000F1310">
            <w:r w:rsidRPr="007D15F3">
              <w:t>I00, I01, I02, I05, I06, I07, I08, I09</w:t>
            </w:r>
          </w:p>
        </w:tc>
        <w:tc>
          <w:tcPr>
            <w:tcW w:w="9214" w:type="dxa"/>
            <w:noWrap/>
            <w:hideMark/>
          </w:tcPr>
          <w:p w14:paraId="1F52F140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56AE115A" w14:textId="77777777" w:rsidTr="000F1310">
        <w:trPr>
          <w:trHeight w:val="255"/>
        </w:trPr>
        <w:tc>
          <w:tcPr>
            <w:tcW w:w="14454" w:type="dxa"/>
            <w:gridSpan w:val="3"/>
            <w:shd w:val="clear" w:color="auto" w:fill="BDD6EE" w:themeFill="accent1" w:themeFillTint="66"/>
            <w:noWrap/>
            <w:hideMark/>
          </w:tcPr>
          <w:p w14:paraId="64F6447B" w14:textId="77777777" w:rsidR="00AE7219" w:rsidRPr="007D15F3" w:rsidRDefault="00AE7219" w:rsidP="000F1310">
            <w:r w:rsidRPr="007D15F3">
              <w:lastRenderedPageBreak/>
              <w:t>Acute</w:t>
            </w:r>
            <w:r>
              <w:t xml:space="preserve"> Conditions </w:t>
            </w:r>
          </w:p>
        </w:tc>
      </w:tr>
      <w:tr w:rsidR="00AE7219" w:rsidRPr="007D15F3" w14:paraId="7B66228B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6EDC8E65" w14:textId="77777777" w:rsidR="00AE7219" w:rsidRPr="007D15F3" w:rsidRDefault="00AE7219" w:rsidP="000F1310">
            <w:r w:rsidRPr="007D15F3">
              <w:t>Pneumonia (not vaccine-preventable)</w:t>
            </w:r>
          </w:p>
        </w:tc>
        <w:tc>
          <w:tcPr>
            <w:tcW w:w="3205" w:type="dxa"/>
            <w:noWrap/>
            <w:hideMark/>
          </w:tcPr>
          <w:p w14:paraId="1E4FBDB1" w14:textId="77777777" w:rsidR="00AE7219" w:rsidRPr="007D15F3" w:rsidRDefault="00AE7219" w:rsidP="000F1310">
            <w:r w:rsidRPr="007D15F3">
              <w:t>J15.3, J15.4, J15.7, J16.0</w:t>
            </w:r>
          </w:p>
        </w:tc>
        <w:tc>
          <w:tcPr>
            <w:tcW w:w="9214" w:type="dxa"/>
            <w:noWrap/>
            <w:hideMark/>
          </w:tcPr>
          <w:p w14:paraId="742CF2A9" w14:textId="77777777" w:rsidR="00AE7219" w:rsidRPr="007D15F3" w:rsidRDefault="00AE7219" w:rsidP="000F1310">
            <w:r w:rsidRPr="007D15F3">
              <w:t>In any diagnosis. Exclude people under 2 months. Rehabilitation records are excluded.</w:t>
            </w:r>
          </w:p>
        </w:tc>
      </w:tr>
      <w:tr w:rsidR="00AE7219" w:rsidRPr="007D15F3" w14:paraId="75447DB2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18483718" w14:textId="77777777" w:rsidR="00AE7219" w:rsidRPr="007D15F3" w:rsidRDefault="00AE7219" w:rsidP="000F1310">
            <w:r w:rsidRPr="007D15F3">
              <w:t>Urinary tract infections, including pyelonephritis</w:t>
            </w:r>
          </w:p>
        </w:tc>
        <w:tc>
          <w:tcPr>
            <w:tcW w:w="3205" w:type="dxa"/>
            <w:noWrap/>
            <w:hideMark/>
          </w:tcPr>
          <w:p w14:paraId="25764C4B" w14:textId="77777777" w:rsidR="00AE7219" w:rsidRPr="007D15F3" w:rsidRDefault="00AE7219" w:rsidP="000F1310">
            <w:r w:rsidRPr="007D15F3">
              <w:t>N10, N11, N12, N13.6, N15.1, N15.9, N28.9, N39.0, N39.9</w:t>
            </w:r>
          </w:p>
        </w:tc>
        <w:tc>
          <w:tcPr>
            <w:tcW w:w="9214" w:type="dxa"/>
            <w:noWrap/>
            <w:hideMark/>
          </w:tcPr>
          <w:p w14:paraId="4659920B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74B5A6A1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5F96FD5D" w14:textId="77777777" w:rsidR="00AE7219" w:rsidRPr="007D15F3" w:rsidRDefault="00AE7219" w:rsidP="000F1310">
            <w:r w:rsidRPr="007D15F3">
              <w:t>Perforated/bleeding ulcer</w:t>
            </w:r>
          </w:p>
        </w:tc>
        <w:tc>
          <w:tcPr>
            <w:tcW w:w="3205" w:type="dxa"/>
            <w:noWrap/>
            <w:hideMark/>
          </w:tcPr>
          <w:p w14:paraId="3E82C19C" w14:textId="77777777" w:rsidR="00AE7219" w:rsidRPr="007D15F3" w:rsidRDefault="00AE7219" w:rsidP="000F1310">
            <w:r w:rsidRPr="007D15F3">
              <w:t>K25.0, K25.1, K25.2, K25.4, K25.5, K25.6, K26.0, K26.1, K26.2, K26.4, K26.5, K26.6, K27.0, K27.1, K27.2, K27.4, K27.5, K27.6, K28.0, K28.1, K28.2, K28.4, K28.5, K28.6</w:t>
            </w:r>
          </w:p>
        </w:tc>
        <w:tc>
          <w:tcPr>
            <w:tcW w:w="9214" w:type="dxa"/>
            <w:noWrap/>
            <w:hideMark/>
          </w:tcPr>
          <w:p w14:paraId="394A5BEF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6D1178A1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77C66146" w14:textId="77777777" w:rsidR="00AE7219" w:rsidRPr="007D15F3" w:rsidRDefault="00AE7219" w:rsidP="000F1310">
            <w:r w:rsidRPr="007D15F3">
              <w:t>Cellulitis</w:t>
            </w:r>
          </w:p>
        </w:tc>
        <w:tc>
          <w:tcPr>
            <w:tcW w:w="3205" w:type="dxa"/>
            <w:noWrap/>
            <w:hideMark/>
          </w:tcPr>
          <w:p w14:paraId="108EC520" w14:textId="77777777" w:rsidR="00AE7219" w:rsidRPr="007D15F3" w:rsidRDefault="00AE7219" w:rsidP="000F1310">
            <w:r w:rsidRPr="007D15F3">
              <w:t>L02, L03, L04, L08, L88, L98.0, L98.3</w:t>
            </w:r>
          </w:p>
        </w:tc>
        <w:tc>
          <w:tcPr>
            <w:tcW w:w="9214" w:type="dxa"/>
            <w:noWrap/>
            <w:hideMark/>
          </w:tcPr>
          <w:p w14:paraId="502D187E" w14:textId="77777777" w:rsidR="00AE7219" w:rsidRPr="007D15F3" w:rsidRDefault="00AE7219" w:rsidP="000F1310">
            <w:r w:rsidRPr="007D15F3">
              <w:t>As principal diagnosis. Exclude cases with any procedure except those in blocks 1820 to 2016, or if procedure is 30216-00, 30216-01, 30216-02, 30676-00, 30223-01, 30223-02, 30064-00, 90660-00, 90661-00, and this is the only listed procedure. Rehabilitation records are excluded.</w:t>
            </w:r>
          </w:p>
        </w:tc>
      </w:tr>
      <w:tr w:rsidR="00AE7219" w:rsidRPr="007D15F3" w14:paraId="5596A47C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524DB70B" w14:textId="77777777" w:rsidR="00AE7219" w:rsidRPr="007D15F3" w:rsidRDefault="00AE7219" w:rsidP="000F1310">
            <w:r w:rsidRPr="007D15F3">
              <w:t>Pelvic inflammatory disease</w:t>
            </w:r>
          </w:p>
        </w:tc>
        <w:tc>
          <w:tcPr>
            <w:tcW w:w="3205" w:type="dxa"/>
            <w:noWrap/>
            <w:hideMark/>
          </w:tcPr>
          <w:p w14:paraId="0A73F2E5" w14:textId="77777777" w:rsidR="00AE7219" w:rsidRPr="007D15F3" w:rsidRDefault="00AE7219" w:rsidP="000F1310">
            <w:r w:rsidRPr="007D15F3">
              <w:t>N70, N73, N74</w:t>
            </w:r>
          </w:p>
        </w:tc>
        <w:tc>
          <w:tcPr>
            <w:tcW w:w="9214" w:type="dxa"/>
            <w:noWrap/>
            <w:hideMark/>
          </w:tcPr>
          <w:p w14:paraId="1D3A0320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4F8AD6C5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0F311C4A" w14:textId="77777777" w:rsidR="00AE7219" w:rsidRPr="007D15F3" w:rsidRDefault="00AE7219" w:rsidP="000F1310">
            <w:r w:rsidRPr="007D15F3">
              <w:t>Ear, nose and throat infections</w:t>
            </w:r>
          </w:p>
        </w:tc>
        <w:tc>
          <w:tcPr>
            <w:tcW w:w="3205" w:type="dxa"/>
            <w:noWrap/>
            <w:hideMark/>
          </w:tcPr>
          <w:p w14:paraId="6A17044B" w14:textId="77777777" w:rsidR="00AE7219" w:rsidRPr="007D15F3" w:rsidRDefault="00AE7219" w:rsidP="000F1310">
            <w:r w:rsidRPr="007D15F3">
              <w:t>H66, J02, J03, J06, J31.2</w:t>
            </w:r>
          </w:p>
        </w:tc>
        <w:tc>
          <w:tcPr>
            <w:tcW w:w="9214" w:type="dxa"/>
            <w:noWrap/>
            <w:hideMark/>
          </w:tcPr>
          <w:p w14:paraId="100CA10B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6B1B73F5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1C5E311D" w14:textId="77777777" w:rsidR="00AE7219" w:rsidRPr="007D15F3" w:rsidRDefault="00AE7219" w:rsidP="000F1310">
            <w:r w:rsidRPr="007D15F3">
              <w:t>Dental conditions</w:t>
            </w:r>
          </w:p>
        </w:tc>
        <w:tc>
          <w:tcPr>
            <w:tcW w:w="3205" w:type="dxa"/>
            <w:noWrap/>
            <w:hideMark/>
          </w:tcPr>
          <w:p w14:paraId="648EEE70" w14:textId="77777777" w:rsidR="00AE7219" w:rsidRPr="007D15F3" w:rsidRDefault="00AE7219" w:rsidP="000F1310">
            <w:r w:rsidRPr="007D15F3">
              <w:t>K02, K03, K04, K05, K06, K08, K09.8, K09.9, K12, K13, K14.0</w:t>
            </w:r>
          </w:p>
        </w:tc>
        <w:tc>
          <w:tcPr>
            <w:tcW w:w="9214" w:type="dxa"/>
            <w:noWrap/>
            <w:hideMark/>
          </w:tcPr>
          <w:p w14:paraId="5A5E34C6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0E63297F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173C6AA7" w14:textId="77777777" w:rsidR="00AE7219" w:rsidRPr="007D15F3" w:rsidRDefault="00AE7219" w:rsidP="000F1310">
            <w:r w:rsidRPr="007D15F3">
              <w:t>Convulsions and epilepsy</w:t>
            </w:r>
          </w:p>
        </w:tc>
        <w:tc>
          <w:tcPr>
            <w:tcW w:w="3205" w:type="dxa"/>
            <w:noWrap/>
            <w:hideMark/>
          </w:tcPr>
          <w:p w14:paraId="03D44AD5" w14:textId="77777777" w:rsidR="00AE7219" w:rsidRPr="007D15F3" w:rsidRDefault="00AE7219" w:rsidP="000F1310">
            <w:r w:rsidRPr="007D15F3">
              <w:t>G40, G41, R56</w:t>
            </w:r>
          </w:p>
        </w:tc>
        <w:tc>
          <w:tcPr>
            <w:tcW w:w="9214" w:type="dxa"/>
            <w:noWrap/>
            <w:hideMark/>
          </w:tcPr>
          <w:p w14:paraId="02478FC5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31F81291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0D3BB812" w14:textId="77777777" w:rsidR="00AE7219" w:rsidRPr="007D15F3" w:rsidRDefault="00AE7219" w:rsidP="000F1310">
            <w:r w:rsidRPr="007D15F3">
              <w:t>Eclampsia</w:t>
            </w:r>
          </w:p>
        </w:tc>
        <w:tc>
          <w:tcPr>
            <w:tcW w:w="3205" w:type="dxa"/>
            <w:noWrap/>
            <w:hideMark/>
          </w:tcPr>
          <w:p w14:paraId="4711473B" w14:textId="77777777" w:rsidR="00AE7219" w:rsidRPr="007D15F3" w:rsidRDefault="00AE7219" w:rsidP="000F1310">
            <w:r w:rsidRPr="007D15F3">
              <w:t>O15</w:t>
            </w:r>
          </w:p>
        </w:tc>
        <w:tc>
          <w:tcPr>
            <w:tcW w:w="9214" w:type="dxa"/>
            <w:noWrap/>
            <w:hideMark/>
          </w:tcPr>
          <w:p w14:paraId="7CE68137" w14:textId="77777777" w:rsidR="00AE7219" w:rsidRPr="007D15F3" w:rsidRDefault="00AE7219" w:rsidP="000F1310">
            <w:r w:rsidRPr="007D15F3">
              <w:t>As principal diagnosis. Rehabilitation records are excluded.</w:t>
            </w:r>
          </w:p>
        </w:tc>
      </w:tr>
      <w:tr w:rsidR="00AE7219" w:rsidRPr="007D15F3" w14:paraId="29F1A9A3" w14:textId="77777777" w:rsidTr="000F1310">
        <w:trPr>
          <w:trHeight w:val="255"/>
        </w:trPr>
        <w:tc>
          <w:tcPr>
            <w:tcW w:w="2035" w:type="dxa"/>
            <w:noWrap/>
            <w:hideMark/>
          </w:tcPr>
          <w:p w14:paraId="14ED1A9F" w14:textId="77777777" w:rsidR="00AE7219" w:rsidRPr="007D15F3" w:rsidRDefault="00AE7219" w:rsidP="000F1310">
            <w:r w:rsidRPr="007D15F3">
              <w:t>Gangrene</w:t>
            </w:r>
          </w:p>
        </w:tc>
        <w:tc>
          <w:tcPr>
            <w:tcW w:w="3205" w:type="dxa"/>
            <w:noWrap/>
            <w:hideMark/>
          </w:tcPr>
          <w:p w14:paraId="67230659" w14:textId="77777777" w:rsidR="00AE7219" w:rsidRPr="007D15F3" w:rsidRDefault="00AE7219" w:rsidP="000F1310">
            <w:r w:rsidRPr="007D15F3">
              <w:t>R02, I70.24, E09.52</w:t>
            </w:r>
          </w:p>
        </w:tc>
        <w:tc>
          <w:tcPr>
            <w:tcW w:w="9214" w:type="dxa"/>
            <w:noWrap/>
            <w:hideMark/>
          </w:tcPr>
          <w:p w14:paraId="45B77433" w14:textId="77777777" w:rsidR="00AE7219" w:rsidRPr="007D15F3" w:rsidRDefault="00AE7219" w:rsidP="000F1310">
            <w:r w:rsidRPr="007D15F3">
              <w:t>R02 in any diagnosis. I70.2 and E09.52 as principal diagnosis. Rehabilitation records are excluded.</w:t>
            </w:r>
          </w:p>
        </w:tc>
      </w:tr>
    </w:tbl>
    <w:p w14:paraId="16E33462" w14:textId="53936969" w:rsidR="00AE7219" w:rsidRDefault="00AE7219">
      <w:r>
        <w:br w:type="page"/>
      </w:r>
    </w:p>
    <w:p w14:paraId="593FB98F" w14:textId="77777777" w:rsidR="007073B2" w:rsidRDefault="007073B2"/>
    <w:p w14:paraId="255D4C19" w14:textId="6C3C8E12" w:rsidR="007073B2" w:rsidRPr="00AE7219" w:rsidRDefault="00607A51" w:rsidP="007073B2">
      <w:pPr>
        <w:pStyle w:val="ListParagraph"/>
        <w:rPr>
          <w:b/>
          <w:bCs/>
        </w:rPr>
      </w:pPr>
      <w:bookmarkStart w:id="1" w:name="_Hlk53087634"/>
      <w:r w:rsidRPr="00AE7219">
        <w:rPr>
          <w:b/>
          <w:bCs/>
        </w:rPr>
        <w:t xml:space="preserve">Table </w:t>
      </w:r>
      <w:r w:rsidR="00862ACB" w:rsidRPr="00AE7219">
        <w:rPr>
          <w:b/>
          <w:bCs/>
        </w:rPr>
        <w:t>S</w:t>
      </w:r>
      <w:r w:rsidR="00AE7219" w:rsidRPr="00AE7219">
        <w:rPr>
          <w:b/>
          <w:bCs/>
        </w:rPr>
        <w:t>2</w:t>
      </w:r>
      <w:r w:rsidR="000C7826" w:rsidRPr="00AE7219">
        <w:rPr>
          <w:b/>
          <w:bCs/>
        </w:rPr>
        <w:t xml:space="preserve">: </w:t>
      </w:r>
      <w:r w:rsidR="007073B2" w:rsidRPr="00AE7219">
        <w:rPr>
          <w:b/>
          <w:bCs/>
        </w:rPr>
        <w:t xml:space="preserve">  Age and sex of people using NSW specialised mental health services in 2015-16 and 2016-17, compared to NSW population. </w:t>
      </w:r>
    </w:p>
    <w:bookmarkEnd w:id="1"/>
    <w:p w14:paraId="073D3347" w14:textId="77777777" w:rsidR="007073B2" w:rsidRDefault="007073B2" w:rsidP="007073B2">
      <w:pPr>
        <w:pStyle w:val="ListParagraph"/>
      </w:pPr>
    </w:p>
    <w:tbl>
      <w:tblPr>
        <w:tblW w:w="7475" w:type="dxa"/>
        <w:jc w:val="center"/>
        <w:tblLook w:val="04A0" w:firstRow="1" w:lastRow="0" w:firstColumn="1" w:lastColumn="0" w:noHBand="0" w:noVBand="1"/>
      </w:tblPr>
      <w:tblGrid>
        <w:gridCol w:w="2835"/>
        <w:gridCol w:w="2540"/>
        <w:gridCol w:w="2100"/>
      </w:tblGrid>
      <w:tr w:rsidR="007073B2" w:rsidRPr="007073B2" w14:paraId="16A06FE6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CBFC0" w14:textId="02C70B6F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 </w:t>
            </w: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F540" w14:textId="6A582842" w:rsidR="007073B2" w:rsidRPr="007073B2" w:rsidRDefault="005D7D3B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MH </w:t>
            </w:r>
            <w:r w:rsidR="007073B2"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service use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1838C" w14:textId="1BDD6DC2" w:rsidR="007073B2" w:rsidRPr="007073B2" w:rsidRDefault="005D7D3B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Other NSW residents</w:t>
            </w:r>
          </w:p>
        </w:tc>
      </w:tr>
      <w:tr w:rsidR="007073B2" w:rsidRPr="007073B2" w14:paraId="2FB05D81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C75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People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D4C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178,009 (100.0%)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97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7,561,265 (100.0%)</w:t>
            </w:r>
          </w:p>
        </w:tc>
      </w:tr>
      <w:tr w:rsidR="005026A9" w:rsidRPr="007073B2" w14:paraId="6C48B557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3620" w14:textId="77777777" w:rsidR="005026A9" w:rsidRPr="007073B2" w:rsidRDefault="005026A9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28B7" w14:textId="77777777" w:rsidR="005026A9" w:rsidRPr="007073B2" w:rsidRDefault="005026A9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CC13" w14:textId="77777777" w:rsidR="005026A9" w:rsidRPr="007073B2" w:rsidRDefault="005026A9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026A9" w:rsidRPr="007073B2" w14:paraId="343C69D2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9D234" w14:textId="3C61AC8A" w:rsidR="005026A9" w:rsidRPr="005026A9" w:rsidRDefault="005026A9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  <w:r w:rsidRPr="005026A9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>Sex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E5BE" w14:textId="77777777" w:rsidR="005026A9" w:rsidRPr="007073B2" w:rsidRDefault="005026A9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5D20" w14:textId="77777777" w:rsidR="005026A9" w:rsidRPr="007073B2" w:rsidRDefault="005026A9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073B2" w:rsidRPr="007073B2" w14:paraId="6ADEFAED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D77C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Male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DAC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89,222 (50.1%)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1037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3,745,192 (49.5%)</w:t>
            </w:r>
          </w:p>
        </w:tc>
      </w:tr>
      <w:tr w:rsidR="007073B2" w:rsidRPr="007073B2" w14:paraId="2B520021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3FD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Female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14F4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88,689 (49.8%)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9647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3,816,171 (50.5%)</w:t>
            </w:r>
          </w:p>
        </w:tc>
      </w:tr>
      <w:tr w:rsidR="005026A9" w:rsidRPr="007073B2" w14:paraId="0C862001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B9D1" w14:textId="2B582350" w:rsidR="005026A9" w:rsidRPr="007073B2" w:rsidRDefault="005026A9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Other or unknown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C614A" w14:textId="2F649969" w:rsidR="005026A9" w:rsidRPr="007073B2" w:rsidRDefault="005026A9" w:rsidP="0050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98 (0.1%)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2FF8" w14:textId="77777777" w:rsidR="005026A9" w:rsidRPr="007073B2" w:rsidRDefault="005026A9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073B2" w:rsidRPr="007073B2" w14:paraId="7D736618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C24" w14:textId="77777777" w:rsidR="005026A9" w:rsidRDefault="005026A9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3DBBFC5" w14:textId="77777777" w:rsidR="007073B2" w:rsidRPr="005026A9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  <w:r w:rsidRPr="005026A9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 xml:space="preserve">Age Group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A8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1ED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073B2" w:rsidRPr="007073B2" w14:paraId="19954B46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071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00-04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2448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1,153 (0.6%)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0D7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499,817 (6.6%)</w:t>
            </w:r>
          </w:p>
        </w:tc>
      </w:tr>
      <w:tr w:rsidR="007073B2" w:rsidRPr="007073B2" w14:paraId="35231E31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76F4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05-09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CCC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4,762 (2.7%)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3C1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493,476 (6.5%)</w:t>
            </w:r>
          </w:p>
        </w:tc>
      </w:tr>
      <w:tr w:rsidR="007073B2" w:rsidRPr="007073B2" w14:paraId="07DC724A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7CB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10-14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FFD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11,337 (6.4%)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46C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442,413 (5.9%)</w:t>
            </w:r>
          </w:p>
        </w:tc>
      </w:tr>
      <w:tr w:rsidR="007073B2" w:rsidRPr="007073B2" w14:paraId="7B0FEB12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2633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15-19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3789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21,357 (12.0%)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7C5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444,177 (5.9%)</w:t>
            </w:r>
          </w:p>
        </w:tc>
      </w:tr>
      <w:tr w:rsidR="007073B2" w:rsidRPr="007073B2" w14:paraId="5A24066B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112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20-24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902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16,881 (9.5%)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7C7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513,355 (6.8%)</w:t>
            </w:r>
          </w:p>
        </w:tc>
      </w:tr>
      <w:tr w:rsidR="007073B2" w:rsidRPr="007073B2" w14:paraId="1D8B5EBC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AA4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25-29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1244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16,411 (9.2%)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88A2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559,549 (7.4%)</w:t>
            </w:r>
          </w:p>
        </w:tc>
      </w:tr>
      <w:tr w:rsidR="007073B2" w:rsidRPr="007073B2" w14:paraId="6A06FF90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0866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30-34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A1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15,682 (8.8%)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D82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555,213 (7.3%)</w:t>
            </w:r>
          </w:p>
        </w:tc>
      </w:tr>
      <w:tr w:rsidR="007073B2" w:rsidRPr="007073B2" w14:paraId="677364F4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2143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35-39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DB09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15,843 (8.9%)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BDFD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499,497 (6.6%)</w:t>
            </w:r>
          </w:p>
        </w:tc>
      </w:tr>
      <w:tr w:rsidR="007073B2" w:rsidRPr="007073B2" w14:paraId="4CF9D912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E0DF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40-44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AFE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14,641 (8.2%)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64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502,978 (6.7%)</w:t>
            </w:r>
          </w:p>
        </w:tc>
      </w:tr>
      <w:tr w:rsidR="007073B2" w:rsidRPr="007073B2" w14:paraId="0A66CE34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747D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45-49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6EF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13,631 (7.7%)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928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486,521 (6.4%)</w:t>
            </w:r>
          </w:p>
        </w:tc>
      </w:tr>
      <w:tr w:rsidR="007073B2" w:rsidRPr="007073B2" w14:paraId="05DF58C2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5CFC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50-54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FCF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11,183 (6.3%)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C21B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482,961 (6.4%)</w:t>
            </w:r>
          </w:p>
        </w:tc>
      </w:tr>
      <w:tr w:rsidR="007073B2" w:rsidRPr="007073B2" w14:paraId="411FC946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C0DF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55-59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645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8,733 (4.9%)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F730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468,265 (6.2%)</w:t>
            </w:r>
          </w:p>
        </w:tc>
      </w:tr>
      <w:tr w:rsidR="007073B2" w:rsidRPr="007073B2" w14:paraId="3190465F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E4A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60-64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13E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6,438 (3.6%)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1B2C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415,739 (5.5%)</w:t>
            </w:r>
          </w:p>
        </w:tc>
      </w:tr>
      <w:tr w:rsidR="007073B2" w:rsidRPr="007073B2" w14:paraId="578C6144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6C2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65-69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574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5,399 (3.0%)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6BA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381,127 (5.0%)</w:t>
            </w:r>
          </w:p>
        </w:tc>
      </w:tr>
      <w:tr w:rsidR="007073B2" w:rsidRPr="007073B2" w14:paraId="71AAFE29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436C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70-74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5849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4,281 (2.4%)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9806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289,214 (3.8%)</w:t>
            </w:r>
          </w:p>
        </w:tc>
      </w:tr>
      <w:tr w:rsidR="007073B2" w:rsidRPr="007073B2" w14:paraId="5157CA09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EE2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75-79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E4D5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3,703 (2.1%)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C5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213,350 (2.8%)</w:t>
            </w:r>
          </w:p>
        </w:tc>
      </w:tr>
      <w:tr w:rsidR="007073B2" w:rsidRPr="007073B2" w14:paraId="4E539324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BF7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80-84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D66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3,114 (1.7%)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483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151,008 (2.0%)</w:t>
            </w:r>
          </w:p>
        </w:tc>
      </w:tr>
      <w:tr w:rsidR="007073B2" w:rsidRPr="007073B2" w14:paraId="6D77A0DB" w14:textId="77777777" w:rsidTr="005026A9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0A5D7" w14:textId="77777777" w:rsidR="007073B2" w:rsidRPr="007073B2" w:rsidRDefault="007073B2" w:rsidP="00502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85+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1A2D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3,460 (1.9%)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E792" w14:textId="77777777" w:rsidR="007073B2" w:rsidRPr="007073B2" w:rsidRDefault="007073B2" w:rsidP="00707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073B2">
              <w:rPr>
                <w:rFonts w:ascii="Calibri" w:eastAsia="Times New Roman" w:hAnsi="Calibri" w:cs="Calibri"/>
                <w:color w:val="000000"/>
                <w:lang w:eastAsia="en-AU"/>
              </w:rPr>
              <w:t>162,605 (2.2%)</w:t>
            </w:r>
          </w:p>
        </w:tc>
      </w:tr>
    </w:tbl>
    <w:p w14:paraId="2162E314" w14:textId="77777777" w:rsidR="007073B2" w:rsidRDefault="007073B2" w:rsidP="007073B2">
      <w:pPr>
        <w:pStyle w:val="ListParagraph"/>
      </w:pPr>
    </w:p>
    <w:p w14:paraId="69AE30EF" w14:textId="77777777" w:rsidR="000C7826" w:rsidRDefault="007073B2" w:rsidP="007073B2">
      <w:pPr>
        <w:pStyle w:val="ListParagraph"/>
      </w:pPr>
      <w:r>
        <w:t> </w:t>
      </w:r>
    </w:p>
    <w:p w14:paraId="62C58299" w14:textId="4E301FB1" w:rsidR="00873300" w:rsidRDefault="000C7826" w:rsidP="005026A9">
      <w:pPr>
        <w:sectPr w:rsidR="00873300" w:rsidSect="00AE7219">
          <w:pgSz w:w="16838" w:h="11906" w:orient="landscape"/>
          <w:pgMar w:top="851" w:right="1440" w:bottom="709" w:left="1440" w:header="708" w:footer="708" w:gutter="0"/>
          <w:cols w:space="708"/>
          <w:docGrid w:linePitch="360"/>
        </w:sectPr>
      </w:pPr>
      <w:r>
        <w:t xml:space="preserve"> </w:t>
      </w:r>
    </w:p>
    <w:p w14:paraId="198E4E8F" w14:textId="649F4A4E" w:rsidR="00C022F7" w:rsidRPr="00AE7219" w:rsidRDefault="000C7826" w:rsidP="005026A9">
      <w:pPr>
        <w:rPr>
          <w:b/>
          <w:bCs/>
        </w:rPr>
      </w:pPr>
      <w:r w:rsidRPr="00AE7219">
        <w:rPr>
          <w:b/>
          <w:bCs/>
        </w:rPr>
        <w:lastRenderedPageBreak/>
        <w:t xml:space="preserve">Table </w:t>
      </w:r>
      <w:r w:rsidR="00862ACB" w:rsidRPr="00AE7219">
        <w:rPr>
          <w:b/>
          <w:bCs/>
        </w:rPr>
        <w:t>s</w:t>
      </w:r>
      <w:r w:rsidR="00AE7219" w:rsidRPr="00AE7219">
        <w:rPr>
          <w:b/>
          <w:bCs/>
        </w:rPr>
        <w:t>3</w:t>
      </w:r>
      <w:r w:rsidRPr="00AE7219">
        <w:rPr>
          <w:b/>
          <w:bCs/>
        </w:rPr>
        <w:t xml:space="preserve">: PPH rates by condition type and age group (Data for </w:t>
      </w:r>
      <w:r w:rsidR="009052C8" w:rsidRPr="00AE7219">
        <w:rPr>
          <w:b/>
          <w:bCs/>
        </w:rPr>
        <w:t>Figure 1</w:t>
      </w:r>
      <w:r w:rsidRPr="00AE7219">
        <w:rPr>
          <w:b/>
          <w:bCs/>
        </w:rPr>
        <w:t xml:space="preserve">) </w:t>
      </w:r>
    </w:p>
    <w:p w14:paraId="03688FC8" w14:textId="77777777" w:rsidR="000C7826" w:rsidRDefault="000C7826" w:rsidP="007073B2">
      <w:pPr>
        <w:pStyle w:val="ListParagrap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8"/>
        <w:gridCol w:w="2453"/>
        <w:gridCol w:w="2453"/>
        <w:gridCol w:w="1303"/>
        <w:gridCol w:w="297"/>
        <w:gridCol w:w="2411"/>
        <w:gridCol w:w="2029"/>
        <w:gridCol w:w="1414"/>
      </w:tblGrid>
      <w:tr w:rsidR="000C7826" w:rsidRPr="000C7826" w14:paraId="7FAF8181" w14:textId="77777777" w:rsidTr="000C782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0983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38EB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Any PPH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AA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149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Chronic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conditions</w:t>
            </w:r>
          </w:p>
        </w:tc>
      </w:tr>
      <w:tr w:rsidR="000C7826" w:rsidRPr="000C7826" w14:paraId="67452F81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341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Age group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3248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MH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5402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 MH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C730" w14:textId="0D1A56DD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IRR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5CF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87F5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MH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85E5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 MH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4508" w14:textId="46831B73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IRR</w:t>
            </w:r>
          </w:p>
        </w:tc>
      </w:tr>
      <w:tr w:rsidR="000C7826" w:rsidRPr="000C7826" w14:paraId="7AE9B623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27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00-04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B1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6,034 (4,558-7,836)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EB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2,412 (2,369-2,455)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19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2.5 (1.9-3.3)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12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D95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647 (237-1,407)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5B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225 (212-238)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233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2.9 (1.1-6.3)</w:t>
            </w:r>
          </w:p>
        </w:tc>
      </w:tr>
      <w:tr w:rsidR="000C7826" w:rsidRPr="000C7826" w14:paraId="70BF6FAF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46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05-09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F5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4,144 (3,579-4,774)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BE3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1,621 (1,586-1,657)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1D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2.6 (2.2-3.0)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E7A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24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734 (508-1,026)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04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440 (422-459)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11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1.7 (1.2-2.3)</w:t>
            </w:r>
          </w:p>
        </w:tc>
      </w:tr>
      <w:tr w:rsidR="000C7826" w:rsidRPr="000C7826" w14:paraId="1412A03D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58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10-14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682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2,894 (2,575-3,242)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A5F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734 (710-760)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E7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3.9 (3.5-4.4)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BB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9B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1,437 (1,215-1,689)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24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265 (250-280)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6F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5.4 (4.5-6.4)</w:t>
            </w:r>
          </w:p>
        </w:tc>
      </w:tr>
      <w:tr w:rsidR="000C7826" w:rsidRPr="000C7826" w14:paraId="5700A2EB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15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15-19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4C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2,837 (2,617-3,071)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9409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820 (795-847)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18C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3.5 (3.2-3.8)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4C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6C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897 (775-1,032)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A30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208 (195-222)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0D3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4.3 (3.7-5.0)</w:t>
            </w:r>
          </w:p>
        </w:tc>
      </w:tr>
      <w:tr w:rsidR="000C7826" w:rsidRPr="000C7826" w14:paraId="2FA95782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F5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20-24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12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3,660 (3,380-3,957)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D84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771 (747-795)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ECE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4.7 (4.4-5.2)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52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DB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1,081 (931-1,248)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2E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161 (150-172)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99E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6.7 (5.7-7.9)</w:t>
            </w:r>
          </w:p>
        </w:tc>
      </w:tr>
      <w:tr w:rsidR="000C7826" w:rsidRPr="000C7826" w14:paraId="68EEED96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D8F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25-29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35AF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3,213 (2,945-3,499)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0E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689 (668-711)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B57A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4.7 (4.2-5.1)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05E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31A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893 (754-1,049)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A3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142 (132-152)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B6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6.3 (5.2-7.5)</w:t>
            </w:r>
          </w:p>
        </w:tc>
      </w:tr>
      <w:tr w:rsidR="000C7826" w:rsidRPr="000C7826" w14:paraId="70500CEA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9E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30-34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1D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3,983 (3,678-4,306)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33F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760 (738-783)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685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5.2 (4.8-5.7)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1A1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80FA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1,128 (969-1,306)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F7F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188 (176-199)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DB7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6.0 (5.1-7.0)</w:t>
            </w:r>
          </w:p>
        </w:tc>
      </w:tr>
      <w:tr w:rsidR="000C7826" w:rsidRPr="000C7826" w14:paraId="649DEE51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F2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35-39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AA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4,233 (3,920-4,564)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6B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872 (847-898)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116E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4.9 (4.5-5.3)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589E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6CF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1,290 (1,120-1,479)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B86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256 (242-271)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8F7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5.0 (4.3-5.8)</w:t>
            </w:r>
          </w:p>
        </w:tc>
      </w:tr>
      <w:tr w:rsidR="000C7826" w:rsidRPr="000C7826" w14:paraId="009F4F2A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747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40-44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74E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5,612 (5,234-6,011)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DF8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960 (933-987)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F2B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5.8 (5.4-6.3)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3B1E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98A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1,926 (1,707-2,165)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C3B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349 (333-366)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6A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5.5 (4.8-6.3)</w:t>
            </w:r>
          </w:p>
        </w:tc>
      </w:tr>
      <w:tr w:rsidR="000C7826" w:rsidRPr="000C7826" w14:paraId="197EA67B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9BD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45-49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F0B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6,558 (6,138-7,000)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8F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1,195 (1,165-1,226)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C52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5.5 (5.1-5.9)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1899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E99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2,703 (2,436-2,992)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55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518 (498-538)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7E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5.2 (4.7-5.8)</w:t>
            </w:r>
          </w:p>
        </w:tc>
      </w:tr>
      <w:tr w:rsidR="000C7826" w:rsidRPr="000C7826" w14:paraId="2E9034DD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8D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50-54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C0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8,212 (7,690-8,761)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F81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1,410 (1,377-1,444)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874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5.8 (5.4-6.2)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74F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B6F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3,601 (3,258-3,970)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F8B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652 (629-675)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21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5.5 (5.0-6.1)</w:t>
            </w:r>
          </w:p>
        </w:tc>
      </w:tr>
      <w:tr w:rsidR="000C7826" w:rsidRPr="000C7826" w14:paraId="01664DD8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5D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55-59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142A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10,683 (10,011-11,388)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435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1,734 (1,697-1,772)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F6EF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6.2 (5.8-6.6)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D9B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AE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5,614 (5,130-6,132)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92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854 (828-881)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44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6.6 (6.0-7.2)</w:t>
            </w:r>
          </w:p>
        </w:tc>
      </w:tr>
      <w:tr w:rsidR="000C7826" w:rsidRPr="000C7826" w14:paraId="764BA670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24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60-64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AEA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14,229 (13,328-15,174)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3A2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2,428 (2,381-2,475)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0269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5.9 (5.5-6.3)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7B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5AE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8,985 (8,272-9,743)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07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1,365 (1,330-1,401)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F06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6.6 (6.0-7.2)</w:t>
            </w:r>
          </w:p>
        </w:tc>
      </w:tr>
      <w:tr w:rsidR="000C7826" w:rsidRPr="000C7826" w14:paraId="5C18097F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FCA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65-69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7D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16,269 (15,203-17,390)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40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3,409 (3,351-3,468)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0FB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4.8 (4.5-5.1)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7E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43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11,215 (10,334-12,152)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15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2,135 (2,089-2,182)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BF2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5.3 (4.8-5.7)</w:t>
            </w:r>
          </w:p>
        </w:tc>
      </w:tr>
      <w:tr w:rsidR="000C7826" w:rsidRPr="000C7826" w14:paraId="4B6C4CD3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96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70-74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36A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19,288 (18,014-20,629)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A45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4,802 (4,724-4,881)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070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4.0 (3.7-4.3)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8B72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75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11,831 (10,838-12,891)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ECDD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3,172 (3,108-3,237)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85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3.7 (3.4-4.1)</w:t>
            </w:r>
          </w:p>
        </w:tc>
      </w:tr>
      <w:tr w:rsidR="000C7826" w:rsidRPr="000C7826" w14:paraId="0B148EE1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A0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75-79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98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18,740 (17,364-20,195)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11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6,905 (6,796-7,016)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5C0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2.7 (2.5-2.9)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3C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8A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12,275 (11,167-13,463)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32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4,612 (4,522-4,704)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03E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2.7 (2.4-2.9)</w:t>
            </w:r>
          </w:p>
        </w:tc>
      </w:tr>
      <w:tr w:rsidR="000C7826" w:rsidRPr="000C7826" w14:paraId="4DB661A8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3C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80-84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4C95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17,864 (16,411-19,411)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0F2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9,393 (9,241-9,547)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BF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1.9 (1.7-2.1)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111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9B9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10,904 (9,776-12,127)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FD1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6,240 (6,115-6,367)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49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1.7 (1.6-1.9)</w:t>
            </w:r>
          </w:p>
        </w:tc>
      </w:tr>
      <w:tr w:rsidR="000C7826" w:rsidRPr="000C7826" w14:paraId="7F1F8F29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4AD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85+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7A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16,974 (15,660-18,369)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1CC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12,421 (12,252-12,591)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9D0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1.4 (1.3-1.5)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E14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DCC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9,397 (8,426-10,449)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A76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7,720 (7,585-7,856)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88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1.2 (1.1-1.4)</w:t>
            </w:r>
          </w:p>
        </w:tc>
      </w:tr>
      <w:tr w:rsidR="000C7826" w:rsidRPr="000C7826" w14:paraId="02904DFC" w14:textId="77777777" w:rsidTr="000C782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4253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524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Acute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conditions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02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C33A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Vaccine preventable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conditions</w:t>
            </w:r>
          </w:p>
        </w:tc>
      </w:tr>
      <w:tr w:rsidR="000C7826" w:rsidRPr="000C7826" w14:paraId="3BB02134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C5BB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Age group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6AE6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MH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CEE37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 MH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AD23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IRR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0CE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1D70E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MH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0588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 MH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1D41" w14:textId="77777777" w:rsidR="000C7826" w:rsidRPr="000C7826" w:rsidRDefault="000C7826" w:rsidP="000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IRR</w:t>
            </w:r>
          </w:p>
        </w:tc>
      </w:tr>
      <w:tr w:rsidR="000C7826" w:rsidRPr="000C7826" w14:paraId="5809CA39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928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00-04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CED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4,418 (3,171-5,994)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FF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2,018 (1,979-2,058)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C2F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2.2 (1.6-3.0)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75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55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970 (443-1,841)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3B8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184 (172-196)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4A4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5.3 (2.4-10.1)</w:t>
            </w:r>
          </w:p>
        </w:tc>
      </w:tr>
      <w:tr w:rsidR="000C7826" w:rsidRPr="000C7826" w14:paraId="2BD7873E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D6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05-09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31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3,194 (2,701-3,753)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F57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1,162 (1,132-1,192)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0A2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2.7 (2.3-3.2)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28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4B1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259 (134-452)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320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39 (34-45)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8B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6.6 (3.3-11.8)</w:t>
            </w:r>
          </w:p>
        </w:tc>
      </w:tr>
      <w:tr w:rsidR="000C7826" w:rsidRPr="000C7826" w14:paraId="30870807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324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10-14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F6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1,360 (1,144-1,605)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87A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471 (451-492)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085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2.9 (2.4-3.4)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340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4B7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107 (53-191)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E5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19 (15-24)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B0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5.5 (2.7-10.4)</w:t>
            </w:r>
          </w:p>
        </w:tc>
      </w:tr>
      <w:tr w:rsidR="000C7826" w:rsidRPr="000C7826" w14:paraId="0255F5C8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D3A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15-19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E3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1,862 (1,685-2,053)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E62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627 (604-650)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1B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3.0 (2.7-3.3)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E8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92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83 (49-131)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AA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29 (25-35)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A22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2.8 (1.6-4.6)</w:t>
            </w:r>
          </w:p>
        </w:tc>
      </w:tr>
      <w:tr w:rsidR="000C7826" w:rsidRPr="000C7826" w14:paraId="2873F6B4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9DB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20-24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92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2,405 (2,179-2,648)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864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600 (579-622)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95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4.0 (3.6-4.4)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71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7BB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174 (118-249)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345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37 (32-43)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5C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4.7 (3.1-6.9)</w:t>
            </w:r>
          </w:p>
        </w:tc>
      </w:tr>
      <w:tr w:rsidR="000C7826" w:rsidRPr="000C7826" w14:paraId="1D20A57C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59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25-29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5D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2,083 (1,869-2,316)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218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504 (486-523)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EE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4.1 (3.7-4.6)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CDB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79C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255 (184-345)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E6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66 (59-73)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64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3.9 (2.7-5.3)</w:t>
            </w:r>
          </w:p>
        </w:tc>
      </w:tr>
      <w:tr w:rsidR="000C7826" w:rsidRPr="000C7826" w14:paraId="35B5B4A1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3E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30-34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DD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2,496 (2,256-2,754)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E9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493 (475-512)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529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5.1 (4.5-5.6)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0F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9D3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397 (305-508)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CA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106 (98-115)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E1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3.7 (2.8-4.9)</w:t>
            </w:r>
          </w:p>
        </w:tc>
      </w:tr>
      <w:tr w:rsidR="000C7826" w:rsidRPr="000C7826" w14:paraId="6D2C4580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A0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35-39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13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2,442 (2,206-2,697)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87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531 (511-552)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CC4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4.6 (4.1-5.1)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05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051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589 (476-720)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5E6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120 (111-130)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21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4.9 (3.9-6.1)</w:t>
            </w:r>
          </w:p>
        </w:tc>
      </w:tr>
      <w:tr w:rsidR="000C7826" w:rsidRPr="000C7826" w14:paraId="7B20C1BB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395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40-44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593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3,012 (2,737-3,308)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C3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537 (517-558)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CA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5.6 (5.1-6.2)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AB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65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736 (603-889)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98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113 (104-123)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090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6.5 (5.2-8.0)</w:t>
            </w:r>
          </w:p>
        </w:tc>
      </w:tr>
      <w:tr w:rsidR="000C7826" w:rsidRPr="000C7826" w14:paraId="372C7D33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16A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45-49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CF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2,986 (2,704-3,288)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E69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607 (586-629)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F16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4.9 (4.4-5.5)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4A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B0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1,015 (853-1,197)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CD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118 (109-128)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0E1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8.6 (7.1-10.3)</w:t>
            </w:r>
          </w:p>
        </w:tc>
      </w:tr>
      <w:tr w:rsidR="000C7826" w:rsidRPr="000C7826" w14:paraId="717116EA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15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50-54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D2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3,226 (2,902-3,576)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846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639 (617-662)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03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5.0 (4.5-5.6)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B6E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469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1,635 (1,407-1,890)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3F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168 (157-180)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A2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9.7 (8.2-11.4)</w:t>
            </w:r>
          </w:p>
        </w:tc>
      </w:tr>
      <w:tr w:rsidR="000C7826" w:rsidRPr="000C7826" w14:paraId="0074FB1F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EE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55-59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DCE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3,432 (3,056-3,842)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949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716 (692-741)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E0B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4.8 (4.2-5.4)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668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DB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1,796 (1,527-2,099)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6C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226 (212-240)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34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8.0 (6.7-9.4)</w:t>
            </w:r>
          </w:p>
        </w:tc>
      </w:tr>
      <w:tr w:rsidR="000C7826" w:rsidRPr="000C7826" w14:paraId="0EF40A66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5F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60-64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27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3,818 (3,358-4,323)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76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846 (819-875)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19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4.5 (4.0-5.1)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3D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78A5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1,687 (1,386-2,033)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71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294 (278-311)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75C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5.7 (4.7-7.0)</w:t>
            </w:r>
          </w:p>
        </w:tc>
      </w:tr>
      <w:tr w:rsidR="000C7826" w:rsidRPr="000C7826" w14:paraId="2B113063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A52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65-69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8DB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4,208 (3,675-4,797)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D40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1,055 (1,022-1,088)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262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4.0 (3.5-4.6)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C2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27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1,071 (811-1,387)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CB3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318 (300-336)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F71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3.4 (2.5-4.4)</w:t>
            </w:r>
          </w:p>
        </w:tc>
      </w:tr>
      <w:tr w:rsidR="000C7826" w:rsidRPr="000C7826" w14:paraId="60E00F87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13BD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70-74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85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5,870 (5,177-6,631)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033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1,395 (1,353-1,438)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9F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4.2 (3.7-4.8)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57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9AC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1,813 (1,438-2,257)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A7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367 (345-389)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AB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4.9 (3.9-6.2)</w:t>
            </w:r>
          </w:p>
        </w:tc>
      </w:tr>
      <w:tr w:rsidR="000C7826" w:rsidRPr="000C7826" w14:paraId="4CAEBD9D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3B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75-79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65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5,401 (4,675-6,208)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720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1,983 (1,924-2,043)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30E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2.7 (2.4-3.1)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88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47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1,391 (1,036-1,829)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85B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529 (499-561)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CACB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2.6 (1.9-3.5)</w:t>
            </w:r>
          </w:p>
        </w:tc>
      </w:tr>
      <w:tr w:rsidR="000C7826" w:rsidRPr="000C7826" w14:paraId="66EF42B0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137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80-84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B60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5,965 (5,139-6,887)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70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2,752 (2,670-2,837)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0D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2.2 (1.9-2.5)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0BC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364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1,315 (944-1,784)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E22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721 (679-765)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B923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1.8 (1.3-2.5)</w:t>
            </w:r>
          </w:p>
        </w:tc>
      </w:tr>
      <w:tr w:rsidR="000C7826" w:rsidRPr="000C7826" w14:paraId="1BB1CF13" w14:textId="77777777" w:rsidTr="000C7826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4504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85+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4D39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6,365 (5,571-7,241)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141FA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4,203 (4,104-4,304)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CC51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1.5 (1.3-1.7)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2F88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49E6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1,571 (1,190-2,035)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6E00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928 (882-976)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81AF" w14:textId="77777777" w:rsidR="000C7826" w:rsidRPr="000C7826" w:rsidRDefault="000C7826" w:rsidP="000C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7826">
              <w:rPr>
                <w:rFonts w:ascii="Calibri" w:eastAsia="Times New Roman" w:hAnsi="Calibri" w:cs="Calibri"/>
                <w:color w:val="000000"/>
                <w:lang w:eastAsia="en-AU"/>
              </w:rPr>
              <w:t>1.7 (1.3-2.2)</w:t>
            </w:r>
          </w:p>
        </w:tc>
      </w:tr>
    </w:tbl>
    <w:p w14:paraId="0F61BDBC" w14:textId="77777777" w:rsidR="000C7826" w:rsidRDefault="000C7826" w:rsidP="00915CDF"/>
    <w:p w14:paraId="33B880C2" w14:textId="77777777" w:rsidR="00915CDF" w:rsidRDefault="00915CDF">
      <w:r>
        <w:br w:type="page"/>
      </w:r>
    </w:p>
    <w:p w14:paraId="188EDF77" w14:textId="77777777" w:rsidR="00AE7219" w:rsidRDefault="00862ACB" w:rsidP="00915CDF">
      <w:r w:rsidRPr="00AE7219">
        <w:rPr>
          <w:b/>
          <w:bCs/>
        </w:rPr>
        <w:lastRenderedPageBreak/>
        <w:t>Table s</w:t>
      </w:r>
      <w:r w:rsidR="00AE7219">
        <w:rPr>
          <w:b/>
          <w:bCs/>
        </w:rPr>
        <w:t>4</w:t>
      </w:r>
      <w:r w:rsidRPr="00AE7219">
        <w:rPr>
          <w:b/>
          <w:bCs/>
        </w:rPr>
        <w:t xml:space="preserve">:  Data for </w:t>
      </w:r>
      <w:r w:rsidR="009052C8" w:rsidRPr="00AE7219">
        <w:rPr>
          <w:b/>
          <w:bCs/>
        </w:rPr>
        <w:t>Figure 2</w:t>
      </w:r>
      <w:r w:rsidRPr="00AE7219">
        <w:rPr>
          <w:b/>
          <w:bCs/>
        </w:rPr>
        <w:t>.</w:t>
      </w:r>
      <w:r>
        <w:t xml:space="preserve"> </w:t>
      </w:r>
      <w:r w:rsidRPr="00AE7219">
        <w:rPr>
          <w:b/>
          <w:bCs/>
        </w:rPr>
        <w:t>Expected vs observed PPH hospital</w:t>
      </w:r>
      <w:r w:rsidR="00C91B10" w:rsidRPr="00AE7219">
        <w:rPr>
          <w:b/>
          <w:bCs/>
        </w:rPr>
        <w:t xml:space="preserve"> bed </w:t>
      </w:r>
      <w:r w:rsidRPr="00AE7219">
        <w:rPr>
          <w:b/>
          <w:bCs/>
        </w:rPr>
        <w:t xml:space="preserve">days for NSW MH service users. </w:t>
      </w:r>
    </w:p>
    <w:p w14:paraId="00FDDC0A" w14:textId="3F46C20A" w:rsidR="00915CDF" w:rsidRDefault="00862ACB" w:rsidP="00915CDF">
      <w:r>
        <w:t xml:space="preserve">Expected days if condition-specific incidence rate and length of stay matched other NSW residents. One hospitalisation may include more than one PPH diagnosis, so </w:t>
      </w:r>
      <w:r w:rsidR="00C91B10">
        <w:t xml:space="preserve">the </w:t>
      </w:r>
      <w:r>
        <w:t xml:space="preserve">total of condition-specific days may exceed </w:t>
      </w:r>
      <w:r w:rsidR="00C91B10">
        <w:t xml:space="preserve">the </w:t>
      </w:r>
      <w:r>
        <w:t xml:space="preserve">subgroup or overall total.  </w:t>
      </w:r>
    </w:p>
    <w:p w14:paraId="5F4754EA" w14:textId="77777777" w:rsidR="00C91B10" w:rsidRDefault="00862ACB">
      <w:r>
        <w:t xml:space="preserve"> </w:t>
      </w:r>
      <w:r w:rsidRPr="00862ACB">
        <w:t xml:space="preserve"> 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3820"/>
        <w:gridCol w:w="1560"/>
        <w:gridCol w:w="1560"/>
        <w:gridCol w:w="1420"/>
      </w:tblGrid>
      <w:tr w:rsidR="00C91B10" w:rsidRPr="00C91B10" w14:paraId="5DAC3287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88C5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8DFC2" w14:textId="19413E9C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Expected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PPH bed days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CE86C" w14:textId="770BA529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Excess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PPH bed days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53FE" w14:textId="14CC0278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PPH bed days</w:t>
            </w:r>
          </w:p>
        </w:tc>
      </w:tr>
      <w:tr w:rsidR="00C91B10" w:rsidRPr="00C91B10" w14:paraId="19B8807F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21B5D9B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E2C0C0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14,524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095D7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48,975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547926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63,499</w:t>
            </w:r>
          </w:p>
        </w:tc>
      </w:tr>
      <w:tr w:rsidR="00C91B10" w:rsidRPr="00C91B10" w14:paraId="6FFDB3F1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264BDF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CHRONIC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98BA5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7,490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AF066B" w14:textId="4E5A8584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21,665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9609AB" w14:textId="1617FDFF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29,155</w:t>
            </w:r>
          </w:p>
        </w:tc>
      </w:tr>
      <w:tr w:rsidR="00C91B10" w:rsidRPr="00C91B10" w14:paraId="0390B599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280C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Chronic obstructive airways disease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C2C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2,300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88B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8,649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E0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10,949</w:t>
            </w:r>
          </w:p>
        </w:tc>
      </w:tr>
      <w:tr w:rsidR="00C91B10" w:rsidRPr="00C91B10" w14:paraId="4500564B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F22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Diabetes complications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02A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BEA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5,179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A62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6,292</w:t>
            </w:r>
          </w:p>
        </w:tc>
      </w:tr>
      <w:tr w:rsidR="00C91B10" w:rsidRPr="00C91B10" w14:paraId="6DE077C4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352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Congestive cardiac failure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261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2,233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05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3,912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B8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6,145</w:t>
            </w:r>
          </w:p>
        </w:tc>
      </w:tr>
      <w:tr w:rsidR="00C91B10" w:rsidRPr="00C91B10" w14:paraId="36EFB2BF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A98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Asthma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D4B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4999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1,255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4D9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1,668</w:t>
            </w:r>
          </w:p>
        </w:tc>
      </w:tr>
      <w:tr w:rsidR="00C91B10" w:rsidRPr="00C91B10" w14:paraId="25C8F126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207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Iron deficiency anaemia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3BD1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92B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387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1,025</w:t>
            </w:r>
          </w:p>
        </w:tc>
      </w:tr>
      <w:tr w:rsidR="00C91B10" w:rsidRPr="00C91B10" w14:paraId="1CE03BDB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B33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Angina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671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865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7F2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979</w:t>
            </w:r>
          </w:p>
        </w:tc>
      </w:tr>
      <w:tr w:rsidR="00C91B10" w:rsidRPr="00C91B10" w14:paraId="75702254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7D0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Bronchiectasis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ACCC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013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BD6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827</w:t>
            </w:r>
          </w:p>
        </w:tc>
      </w:tr>
      <w:tr w:rsidR="00C91B10" w:rsidRPr="00C91B10" w14:paraId="2A7DC2F0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E687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Nutritional deficiency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A62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415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7D83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762</w:t>
            </w:r>
          </w:p>
        </w:tc>
      </w:tr>
      <w:tr w:rsidR="00C91B10" w:rsidRPr="00C91B10" w14:paraId="6DDE63A9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3B71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Hypertension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81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971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08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363</w:t>
            </w:r>
          </w:p>
        </w:tc>
      </w:tr>
      <w:tr w:rsidR="00C91B10" w:rsidRPr="00C91B10" w14:paraId="24B4E386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3206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Rheumatic heart disease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CBB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47B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E020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145</w:t>
            </w:r>
          </w:p>
        </w:tc>
      </w:tr>
      <w:tr w:rsidR="00C91B10" w:rsidRPr="00C91B10" w14:paraId="12848A8E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8960DF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ACUTE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56390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5,449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D5CE13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16,462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4FB2A0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21,911</w:t>
            </w:r>
          </w:p>
        </w:tc>
      </w:tr>
      <w:tr w:rsidR="00C91B10" w:rsidRPr="00C91B10" w14:paraId="29F65741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8AE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Cellulitis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C70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B7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4,276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35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6,024</w:t>
            </w:r>
          </w:p>
        </w:tc>
      </w:tr>
      <w:tr w:rsidR="00C91B10" w:rsidRPr="00C91B10" w14:paraId="67C95997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1BBF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Seizures and epilepsy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501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916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4,524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EA6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5,064</w:t>
            </w:r>
          </w:p>
        </w:tc>
      </w:tr>
      <w:tr w:rsidR="00C91B10" w:rsidRPr="00C91B10" w14:paraId="359987F1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E889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Urinary Tract Infection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680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1,435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85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3,514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A3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4,949</w:t>
            </w:r>
          </w:p>
        </w:tc>
      </w:tr>
      <w:tr w:rsidR="00C91B10" w:rsidRPr="00C91B10" w14:paraId="30CF2917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3F6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Gangrene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E54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F11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1,827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FBC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2,375</w:t>
            </w:r>
          </w:p>
        </w:tc>
      </w:tr>
      <w:tr w:rsidR="00C91B10" w:rsidRPr="00C91B10" w14:paraId="485BA57D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189F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Perforated Ulcer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74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AF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7F11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921</w:t>
            </w:r>
          </w:p>
        </w:tc>
      </w:tr>
      <w:tr w:rsidR="00C91B10" w:rsidRPr="00C91B10" w14:paraId="1D82780C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7EFA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Dental infection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37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5CE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570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919</w:t>
            </w:r>
          </w:p>
        </w:tc>
      </w:tr>
      <w:tr w:rsidR="00C91B10" w:rsidRPr="00C91B10" w14:paraId="1EE514BD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3489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Upper respiratory infection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2CE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AE06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071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829</w:t>
            </w:r>
          </w:p>
        </w:tc>
      </w:tr>
      <w:tr w:rsidR="00C91B10" w:rsidRPr="00C91B10" w14:paraId="5D0DF240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74A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Pneumonia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B74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182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1E95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628</w:t>
            </w:r>
          </w:p>
        </w:tc>
      </w:tr>
      <w:tr w:rsidR="00C91B10" w:rsidRPr="00C91B10" w14:paraId="0F235FBE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5CF5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Pelvic inflammatory Disease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2FCC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6445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AFF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252</w:t>
            </w:r>
          </w:p>
        </w:tc>
      </w:tr>
      <w:tr w:rsidR="00C91B10" w:rsidRPr="00C91B10" w14:paraId="7B37A186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1CC5E7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VACCINE PREVENTABLE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E10C80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1,896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A985A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12,204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A55BB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14,100</w:t>
            </w:r>
          </w:p>
        </w:tc>
      </w:tr>
      <w:tr w:rsidR="00C91B10" w:rsidRPr="00C91B10" w14:paraId="42D82887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388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Vaccine preventable pneumonia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A01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1,242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EACA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6,163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F35D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7,405</w:t>
            </w:r>
          </w:p>
        </w:tc>
      </w:tr>
      <w:tr w:rsidR="00C91B10" w:rsidRPr="00C91B10" w14:paraId="0FC6384A" w14:textId="77777777" w:rsidTr="00C91B1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928A" w14:textId="77777777" w:rsidR="00C91B10" w:rsidRPr="00C91B10" w:rsidRDefault="00C91B10" w:rsidP="00C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Other vaccine preventable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AD9F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7F6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6,384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A008" w14:textId="77777777" w:rsidR="00C91B10" w:rsidRPr="00C91B10" w:rsidRDefault="00C91B10" w:rsidP="00C91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91B10">
              <w:rPr>
                <w:rFonts w:ascii="Calibri" w:eastAsia="Times New Roman" w:hAnsi="Calibri" w:cs="Calibri"/>
                <w:color w:val="000000"/>
                <w:lang w:eastAsia="en-AU"/>
              </w:rPr>
              <w:t>7,056</w:t>
            </w:r>
          </w:p>
        </w:tc>
      </w:tr>
    </w:tbl>
    <w:p w14:paraId="25EF11C6" w14:textId="1C7568EF" w:rsidR="009D176A" w:rsidRDefault="009D176A">
      <w:r>
        <w:br w:type="page"/>
      </w:r>
    </w:p>
    <w:p w14:paraId="4A6364B0" w14:textId="77777777" w:rsidR="00862ACB" w:rsidRDefault="00862ACB"/>
    <w:p w14:paraId="20621A63" w14:textId="394B8529" w:rsidR="00AE7219" w:rsidRPr="00AE7219" w:rsidRDefault="00873300" w:rsidP="00915CDF">
      <w:pPr>
        <w:rPr>
          <w:b/>
          <w:bCs/>
        </w:rPr>
      </w:pPr>
      <w:r w:rsidRPr="00AE7219">
        <w:rPr>
          <w:b/>
          <w:bCs/>
        </w:rPr>
        <w:t>Table s</w:t>
      </w:r>
      <w:r w:rsidR="00AE7219">
        <w:rPr>
          <w:b/>
          <w:bCs/>
        </w:rPr>
        <w:t>5</w:t>
      </w:r>
      <w:r w:rsidR="009D176A" w:rsidRPr="00AE7219">
        <w:rPr>
          <w:b/>
          <w:bCs/>
        </w:rPr>
        <w:t xml:space="preserve">: Sensitivity analyses. </w:t>
      </w:r>
      <w:r w:rsidR="00D14FC6">
        <w:rPr>
          <w:b/>
          <w:bCs/>
        </w:rPr>
        <w:t>Main findings.</w:t>
      </w:r>
    </w:p>
    <w:p w14:paraId="23B1F351" w14:textId="3C1F85F0" w:rsidR="000B3484" w:rsidRDefault="009D176A" w:rsidP="00915CDF">
      <w:r>
        <w:t>Age standardised rates of PPH admissions and PPH days per 1000 person years after excluding: (1) PPH admissions to private hospitals; (2) PPH episodes whose whole duration occurred in a designated mental health unit</w:t>
      </w:r>
      <w:r w:rsidR="00E274E8">
        <w:t>; (</w:t>
      </w:r>
      <w:r>
        <w:t xml:space="preserve">3) people whose only community mental health contact occurred at the same time as a hospital episode, </w:t>
      </w:r>
      <w:r w:rsidR="00E274E8">
        <w:t>and;</w:t>
      </w:r>
      <w:r>
        <w:t xml:space="preserve"> (4) PPH episodes commencing before the person’s first recorded community mental health contact</w:t>
      </w:r>
      <w:r w:rsidR="009052C8">
        <w:t xml:space="preserve"> within the observation period</w:t>
      </w:r>
      <w:r>
        <w:t xml:space="preserve">.  </w:t>
      </w:r>
    </w:p>
    <w:p w14:paraId="7CD01E46" w14:textId="77777777" w:rsidR="009D176A" w:rsidRDefault="009D176A" w:rsidP="00915CDF"/>
    <w:tbl>
      <w:tblPr>
        <w:tblW w:w="12241" w:type="dxa"/>
        <w:tblLook w:val="04A0" w:firstRow="1" w:lastRow="0" w:firstColumn="1" w:lastColumn="0" w:noHBand="0" w:noVBand="1"/>
      </w:tblPr>
      <w:tblGrid>
        <w:gridCol w:w="5020"/>
        <w:gridCol w:w="2692"/>
        <w:gridCol w:w="266"/>
        <w:gridCol w:w="2481"/>
        <w:gridCol w:w="266"/>
        <w:gridCol w:w="1844"/>
      </w:tblGrid>
      <w:tr w:rsidR="009D176A" w:rsidRPr="009D176A" w14:paraId="47739081" w14:textId="77777777" w:rsidTr="009D176A">
        <w:trPr>
          <w:trHeight w:val="6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A85F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EFB83" w14:textId="5CFB05C7" w:rsidR="009D176A" w:rsidRPr="009D176A" w:rsidRDefault="009D176A" w:rsidP="009D1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Age standardised PPH rates per 1000 population </w:t>
            </w:r>
            <w:r w:rsidR="009052C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per annum </w:t>
            </w: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(Rate, 95% CI)</w:t>
            </w:r>
          </w:p>
        </w:tc>
      </w:tr>
      <w:tr w:rsidR="009D176A" w:rsidRPr="009D176A" w14:paraId="49D56309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B7C61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F7513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MH service users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1997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9ED4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NSW residents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71736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578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IRR</w:t>
            </w:r>
          </w:p>
        </w:tc>
      </w:tr>
      <w:tr w:rsidR="009D176A" w:rsidRPr="009D176A" w14:paraId="36873C99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DB5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  <w:t>PPH Episodes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3FA2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39D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7F5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3524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7654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D176A" w:rsidRPr="009D176A" w14:paraId="573778F7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2C8961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All Data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9F393D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7,542 (7,415-7,671)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639B52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A8189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2,085 (2,075-2,096)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58626E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C4BA9A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3.62 (3.55-3.68)</w:t>
            </w:r>
          </w:p>
        </w:tc>
      </w:tr>
      <w:tr w:rsidR="009D176A" w:rsidRPr="009D176A" w14:paraId="08DA37E5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F77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1. Excluding private hospitals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2A3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7,117 (6,994-7,242)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012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F239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1,712 (1,702-1,721)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159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4D2" w14:textId="6042C609" w:rsidR="009D176A" w:rsidRPr="009D5976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4.16 (4.08-4.</w:t>
            </w:r>
            <w:proofErr w:type="gramStart"/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23)</w:t>
            </w:r>
            <w:r w:rsidR="00C114C9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gramEnd"/>
          </w:p>
        </w:tc>
      </w:tr>
      <w:tr w:rsidR="009D176A" w:rsidRPr="009D176A" w14:paraId="01A02F9E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9F0A3C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2. Excluding mental health episodes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586290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7,460 (7,333-7,588)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C9DBB7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FEFE88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2,084 (2,074-2,095)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777569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FF3FE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3.58 (3.52-3.64)</w:t>
            </w:r>
          </w:p>
        </w:tc>
      </w:tr>
      <w:tr w:rsidR="009D176A" w:rsidRPr="009D176A" w14:paraId="48315BB8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9CA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3. Excluding brief MH contact during hospital care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3FD4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7,347 (7,222-7,474)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0BA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CB06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2,085 (2,075-2,095)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BA5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5A4E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3.52 (3.46-3.59)</w:t>
            </w:r>
          </w:p>
        </w:tc>
      </w:tr>
      <w:tr w:rsidR="009D176A" w:rsidRPr="009D176A" w14:paraId="371FB0ED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988593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4. Excluding PPH before first mental health contact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49292C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7,564 (7,436-7,693)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BD75D8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5EB8DC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2,085 (2,075-2,096)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E69E26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4DE38F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3.63 (3.56-3.69)</w:t>
            </w:r>
          </w:p>
        </w:tc>
      </w:tr>
      <w:tr w:rsidR="009D176A" w:rsidRPr="009D176A" w14:paraId="2C173334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54FB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  <w:t>PPH Days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F5B4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D009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459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452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ED65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D176A" w:rsidRPr="009D176A" w14:paraId="3ACE2744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1420F1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All Data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40893A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42,570 (42,267-42,874)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DD6171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F0110D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8,141 (8,120-8,161)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CB1A3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BA2298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5.23 (5.19-5.27)</w:t>
            </w:r>
          </w:p>
        </w:tc>
      </w:tr>
      <w:tr w:rsidR="009D176A" w:rsidRPr="009D176A" w14:paraId="2504AF6C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33E6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1. Excluding private hospitals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AA03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40,610 (40,314-40,907)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1C6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AD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7,026 (7,007-7,045)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00F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AC0" w14:textId="7CB422C1" w:rsidR="009D176A" w:rsidRPr="009D5976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5.78 (5.74-5.</w:t>
            </w:r>
            <w:proofErr w:type="gramStart"/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83)</w:t>
            </w:r>
            <w:r w:rsidR="00C114C9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gramEnd"/>
          </w:p>
        </w:tc>
      </w:tr>
      <w:tr w:rsidR="009D176A" w:rsidRPr="009D176A" w14:paraId="2696F2DD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CA9A80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2. Excluding mental health episodes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95F94A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40,822 (40,526-41,120)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896F16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778BB7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8,129 (8,109-8,149)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37B477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12E990" w14:textId="25A63E00" w:rsidR="009D176A" w:rsidRPr="009D5976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5.02 (4.98-5.</w:t>
            </w:r>
            <w:proofErr w:type="gramStart"/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06)</w:t>
            </w:r>
            <w:r w:rsidR="00C114C9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gramEnd"/>
          </w:p>
        </w:tc>
      </w:tr>
      <w:tr w:rsidR="009D176A" w:rsidRPr="009D176A" w14:paraId="1E82800F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F96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3. Excluding brief MH contact during hospital care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92E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39,473 (39,181-39,766)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867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38C0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8,135 (8,115-8,156)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5CB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30A1" w14:textId="75A55173" w:rsidR="009D176A" w:rsidRPr="009D5976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4.85 (4.81-4.</w:t>
            </w:r>
            <w:proofErr w:type="gramStart"/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89)</w:t>
            </w:r>
            <w:r w:rsidR="00C114C9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gramEnd"/>
          </w:p>
        </w:tc>
      </w:tr>
      <w:tr w:rsidR="009D176A" w:rsidRPr="009D176A" w14:paraId="45CD567A" w14:textId="77777777" w:rsidTr="009D176A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F7784B0" w14:textId="77777777" w:rsidR="009D176A" w:rsidRPr="009D176A" w:rsidRDefault="009D176A" w:rsidP="009D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4. Excluding PPH before first mental health contact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2A011E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40,533 (40,238-40,830)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79CA0C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848E26F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8,141 (8,120-8,161)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239F60" w14:textId="77777777" w:rsidR="009D176A" w:rsidRPr="009D176A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176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4A62B07" w14:textId="6232A59B" w:rsidR="009D176A" w:rsidRPr="009D5976" w:rsidRDefault="009D176A" w:rsidP="009D1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4.98 (4.94-5.</w:t>
            </w:r>
            <w:proofErr w:type="gramStart"/>
            <w:r w:rsidRPr="009D5976">
              <w:rPr>
                <w:rFonts w:ascii="Calibri" w:eastAsia="Times New Roman" w:hAnsi="Calibri" w:cs="Calibri"/>
                <w:color w:val="000000"/>
                <w:lang w:eastAsia="en-AU"/>
              </w:rPr>
              <w:t>02)</w:t>
            </w:r>
            <w:r w:rsidR="00C114C9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gramEnd"/>
          </w:p>
        </w:tc>
      </w:tr>
    </w:tbl>
    <w:p w14:paraId="7508A3C5" w14:textId="12AB2B47" w:rsidR="009D176A" w:rsidRDefault="00C114C9" w:rsidP="00C114C9">
      <w:r>
        <w:t>Note * Sensitivity analysis shows significant</w:t>
      </w:r>
      <w:r w:rsidR="009052C8">
        <w:t>ly</w:t>
      </w:r>
      <w:r>
        <w:t xml:space="preserve"> differen</w:t>
      </w:r>
      <w:r w:rsidR="009052C8">
        <w:t>t</w:t>
      </w:r>
      <w:r>
        <w:t xml:space="preserve"> estimate compared to main analysis</w:t>
      </w:r>
    </w:p>
    <w:p w14:paraId="677FB9FF" w14:textId="214051FC" w:rsidR="00D14FC6" w:rsidRDefault="00D14FC6">
      <w:r>
        <w:br w:type="page"/>
      </w:r>
    </w:p>
    <w:p w14:paraId="738AEF52" w14:textId="3D8E7B0E" w:rsidR="005E4D77" w:rsidRDefault="005E4D77" w:rsidP="00915CDF">
      <w:pPr>
        <w:rPr>
          <w:b/>
          <w:bCs/>
        </w:rPr>
      </w:pPr>
      <w:r w:rsidRPr="00AE7219">
        <w:rPr>
          <w:b/>
          <w:bCs/>
        </w:rPr>
        <w:lastRenderedPageBreak/>
        <w:t>Table s</w:t>
      </w:r>
      <w:r w:rsidR="00933B33">
        <w:rPr>
          <w:b/>
          <w:bCs/>
        </w:rPr>
        <w:t>6</w:t>
      </w:r>
      <w:r w:rsidRPr="00AE7219">
        <w:rPr>
          <w:b/>
          <w:bCs/>
        </w:rPr>
        <w:t xml:space="preserve">: </w:t>
      </w:r>
      <w:r>
        <w:rPr>
          <w:b/>
          <w:bCs/>
        </w:rPr>
        <w:t xml:space="preserve">Australian Bureau of Statistics </w:t>
      </w:r>
      <w:r w:rsidRPr="005E4D77">
        <w:rPr>
          <w:b/>
          <w:bCs/>
        </w:rPr>
        <w:t xml:space="preserve">Index of Relative Socioeconomic Disadvantage (IRSD) additional information  </w:t>
      </w:r>
    </w:p>
    <w:p w14:paraId="027F736B" w14:textId="20737476" w:rsidR="005E4D77" w:rsidRPr="005E4D77" w:rsidRDefault="005E4D77" w:rsidP="00915CDF">
      <w:r w:rsidRPr="005E4D77">
        <w:t>The Australian Bureau of Statistics Index of Relative Socioeconomic Disadvantage (IRSD) is an index score calculated for each Australian geographical area by combining 17 census-derived variables related to income, government welfare support, education, home ownership, employment, household structure and English language proficiency</w:t>
      </w:r>
    </w:p>
    <w:p w14:paraId="194180C3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Occupied private dwellings with no internet connection</w:t>
      </w:r>
    </w:p>
    <w:p w14:paraId="00F589D7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Employed people classified as Labourers</w:t>
      </w:r>
    </w:p>
    <w:p w14:paraId="66B5BE24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aged 15 years and over with no post-school qualifications</w:t>
      </w:r>
    </w:p>
    <w:p w14:paraId="654C5E64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with stated annual household equivalised income between $13,000 and $20,799 (approx. 2nd and 3rd deciles)</w:t>
      </w:r>
    </w:p>
    <w:p w14:paraId="3DCE1C89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Households renting from Government or Community organisation</w:t>
      </w:r>
    </w:p>
    <w:p w14:paraId="2729976D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(in the labour force) unemployed</w:t>
      </w:r>
    </w:p>
    <w:p w14:paraId="01A2FA68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 xml:space="preserve">% One parent </w:t>
      </w:r>
      <w:proofErr w:type="gramStart"/>
      <w:r w:rsidRPr="005E4D77">
        <w:t>families</w:t>
      </w:r>
      <w:proofErr w:type="gramEnd"/>
      <w:r w:rsidRPr="005E4D77">
        <w:t xml:space="preserve"> with dependent offspring only</w:t>
      </w:r>
    </w:p>
    <w:p w14:paraId="646D1808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Households paying rent less than $120 per week (excluding $0 per week)</w:t>
      </w:r>
    </w:p>
    <w:p w14:paraId="483FEA36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aged under 70 who have a long-term health condition or disability and need assistance with core activities</w:t>
      </w:r>
    </w:p>
    <w:p w14:paraId="5708EFDC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Occupied private dwellings with no car</w:t>
      </w:r>
    </w:p>
    <w:p w14:paraId="0CE6A763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 xml:space="preserve">% People who identified themselves as being of Aboriginal and/or Torres </w:t>
      </w:r>
      <w:proofErr w:type="spellStart"/>
      <w:r w:rsidRPr="005E4D77">
        <w:t>Straight</w:t>
      </w:r>
      <w:proofErr w:type="spellEnd"/>
      <w:r w:rsidRPr="005E4D77">
        <w:t xml:space="preserve"> Islander origin</w:t>
      </w:r>
    </w:p>
    <w:p w14:paraId="07B039FD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Occupied private dwellings requiring one or more extra bedrooms (based on Canadian National Occupancy Standard)</w:t>
      </w:r>
    </w:p>
    <w:p w14:paraId="0EAD5B28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aged 15 years and over who are separated or divorced</w:t>
      </w:r>
    </w:p>
    <w:p w14:paraId="2B8EC282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Employed people classified as Machinery Operators and Drivers</w:t>
      </w:r>
    </w:p>
    <w:p w14:paraId="1EC8B8D0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aged 15 years and over who did not go to school</w:t>
      </w:r>
    </w:p>
    <w:p w14:paraId="1566D743" w14:textId="77777777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Employed people classified as Low Skill Community and Personal Service Workers</w:t>
      </w:r>
    </w:p>
    <w:p w14:paraId="4D6672B3" w14:textId="255CD4B2" w:rsidR="005E4D77" w:rsidRPr="005E4D77" w:rsidRDefault="005E4D77" w:rsidP="005E4D77">
      <w:pPr>
        <w:pStyle w:val="ListParagraph"/>
        <w:numPr>
          <w:ilvl w:val="0"/>
          <w:numId w:val="13"/>
        </w:numPr>
      </w:pPr>
      <w:r w:rsidRPr="005E4D77">
        <w:t>% People who do not speak English well</w:t>
      </w:r>
    </w:p>
    <w:p w14:paraId="12DDE559" w14:textId="631D6351" w:rsidR="005E4D77" w:rsidRDefault="005E4D77" w:rsidP="00915CDF">
      <w:r>
        <w:t xml:space="preserve">Detailed information on its calculation can be found in </w:t>
      </w:r>
      <w:r w:rsidRPr="005E4D77">
        <w:t xml:space="preserve">2039.0 - Information Paper: An Introduction to Socio-Economic Indexes for Areas (SEIFA), 2006  </w:t>
      </w:r>
      <w:hyperlink r:id="rId8" w:history="1">
        <w:r w:rsidRPr="00FD6C78">
          <w:rPr>
            <w:rStyle w:val="Hyperlink"/>
          </w:rPr>
          <w:t>https://www.abs.gov.au/ausstats/abs@.nsf/mf/2039.0</w:t>
        </w:r>
      </w:hyperlink>
      <w:r>
        <w:t xml:space="preserve">. </w:t>
      </w:r>
    </w:p>
    <w:sectPr w:rsidR="005E4D77" w:rsidSect="00873300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598"/>
    <w:multiLevelType w:val="hybridMultilevel"/>
    <w:tmpl w:val="801ACD72"/>
    <w:lvl w:ilvl="0" w:tplc="2D163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2BE"/>
    <w:multiLevelType w:val="hybridMultilevel"/>
    <w:tmpl w:val="CCF8C1FE"/>
    <w:lvl w:ilvl="0" w:tplc="10F8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DBC"/>
    <w:multiLevelType w:val="hybridMultilevel"/>
    <w:tmpl w:val="ACCCB1AE"/>
    <w:lvl w:ilvl="0" w:tplc="A3D495F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4D7"/>
    <w:multiLevelType w:val="hybridMultilevel"/>
    <w:tmpl w:val="DF10F266"/>
    <w:lvl w:ilvl="0" w:tplc="4C828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2EDF"/>
    <w:multiLevelType w:val="hybridMultilevel"/>
    <w:tmpl w:val="856AB53A"/>
    <w:lvl w:ilvl="0" w:tplc="04E2CE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1AD5"/>
    <w:multiLevelType w:val="hybridMultilevel"/>
    <w:tmpl w:val="F7F077F0"/>
    <w:lvl w:ilvl="0" w:tplc="3602371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327AB4"/>
    <w:multiLevelType w:val="hybridMultilevel"/>
    <w:tmpl w:val="5BDC87B6"/>
    <w:lvl w:ilvl="0" w:tplc="052E09CC">
      <w:start w:val="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5A78"/>
    <w:multiLevelType w:val="hybridMultilevel"/>
    <w:tmpl w:val="D660B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5219"/>
    <w:multiLevelType w:val="hybridMultilevel"/>
    <w:tmpl w:val="FBF470D0"/>
    <w:lvl w:ilvl="0" w:tplc="D49C22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91D4B"/>
    <w:multiLevelType w:val="hybridMultilevel"/>
    <w:tmpl w:val="64081AA6"/>
    <w:lvl w:ilvl="0" w:tplc="CA5E26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A2"/>
    <w:multiLevelType w:val="hybridMultilevel"/>
    <w:tmpl w:val="6C74340A"/>
    <w:lvl w:ilvl="0" w:tplc="0DB41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75F9A"/>
    <w:multiLevelType w:val="hybridMultilevel"/>
    <w:tmpl w:val="CA7A5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D07E3"/>
    <w:multiLevelType w:val="hybridMultilevel"/>
    <w:tmpl w:val="A82C1F04"/>
    <w:lvl w:ilvl="0" w:tplc="10B692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chizophrenia Bulleti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E5C82"/>
    <w:rsid w:val="00026481"/>
    <w:rsid w:val="0004132E"/>
    <w:rsid w:val="0004211F"/>
    <w:rsid w:val="000724ED"/>
    <w:rsid w:val="000749A8"/>
    <w:rsid w:val="0009172B"/>
    <w:rsid w:val="000A07C8"/>
    <w:rsid w:val="000B3484"/>
    <w:rsid w:val="000C7826"/>
    <w:rsid w:val="000E6299"/>
    <w:rsid w:val="000F1310"/>
    <w:rsid w:val="000F7CFB"/>
    <w:rsid w:val="00104B77"/>
    <w:rsid w:val="00115896"/>
    <w:rsid w:val="00116E70"/>
    <w:rsid w:val="00124FB7"/>
    <w:rsid w:val="00150277"/>
    <w:rsid w:val="00162618"/>
    <w:rsid w:val="00162DA3"/>
    <w:rsid w:val="0016726E"/>
    <w:rsid w:val="0018394C"/>
    <w:rsid w:val="001909F6"/>
    <w:rsid w:val="00194AAC"/>
    <w:rsid w:val="001B2029"/>
    <w:rsid w:val="001B7D86"/>
    <w:rsid w:val="001D0399"/>
    <w:rsid w:val="001D0ED0"/>
    <w:rsid w:val="001E01C1"/>
    <w:rsid w:val="001E45C5"/>
    <w:rsid w:val="001E6337"/>
    <w:rsid w:val="001F13A8"/>
    <w:rsid w:val="00200614"/>
    <w:rsid w:val="00214AA5"/>
    <w:rsid w:val="002252F1"/>
    <w:rsid w:val="0024161E"/>
    <w:rsid w:val="00257AF0"/>
    <w:rsid w:val="002A5804"/>
    <w:rsid w:val="002B0D01"/>
    <w:rsid w:val="002B1FFF"/>
    <w:rsid w:val="002E599F"/>
    <w:rsid w:val="002E6DF6"/>
    <w:rsid w:val="002E7781"/>
    <w:rsid w:val="00302606"/>
    <w:rsid w:val="00310B24"/>
    <w:rsid w:val="00324449"/>
    <w:rsid w:val="00362095"/>
    <w:rsid w:val="003637D7"/>
    <w:rsid w:val="00363EA5"/>
    <w:rsid w:val="003641C9"/>
    <w:rsid w:val="00365817"/>
    <w:rsid w:val="003662BE"/>
    <w:rsid w:val="00381219"/>
    <w:rsid w:val="0038345D"/>
    <w:rsid w:val="003850C3"/>
    <w:rsid w:val="003869AC"/>
    <w:rsid w:val="003B0BAA"/>
    <w:rsid w:val="003B2BE7"/>
    <w:rsid w:val="003C0231"/>
    <w:rsid w:val="003C1B6F"/>
    <w:rsid w:val="003D3DC2"/>
    <w:rsid w:val="003E68AA"/>
    <w:rsid w:val="003E7F47"/>
    <w:rsid w:val="003F09C9"/>
    <w:rsid w:val="003F0A3E"/>
    <w:rsid w:val="004040B1"/>
    <w:rsid w:val="004041D8"/>
    <w:rsid w:val="004048EA"/>
    <w:rsid w:val="00404E45"/>
    <w:rsid w:val="00406B78"/>
    <w:rsid w:val="00412777"/>
    <w:rsid w:val="00416B49"/>
    <w:rsid w:val="00423D94"/>
    <w:rsid w:val="00435AA6"/>
    <w:rsid w:val="00454210"/>
    <w:rsid w:val="00463554"/>
    <w:rsid w:val="00465543"/>
    <w:rsid w:val="00470CDB"/>
    <w:rsid w:val="004751E0"/>
    <w:rsid w:val="004B52B3"/>
    <w:rsid w:val="004D35BF"/>
    <w:rsid w:val="005026A9"/>
    <w:rsid w:val="0051014D"/>
    <w:rsid w:val="0051024D"/>
    <w:rsid w:val="00512C8D"/>
    <w:rsid w:val="00514109"/>
    <w:rsid w:val="00517D8E"/>
    <w:rsid w:val="00520379"/>
    <w:rsid w:val="00527B17"/>
    <w:rsid w:val="005509EE"/>
    <w:rsid w:val="0055314C"/>
    <w:rsid w:val="00577862"/>
    <w:rsid w:val="00590B25"/>
    <w:rsid w:val="00592546"/>
    <w:rsid w:val="005A06D1"/>
    <w:rsid w:val="005B2A18"/>
    <w:rsid w:val="005C3EE6"/>
    <w:rsid w:val="005C4B12"/>
    <w:rsid w:val="005D7D3B"/>
    <w:rsid w:val="005E411C"/>
    <w:rsid w:val="005E4D77"/>
    <w:rsid w:val="005F4648"/>
    <w:rsid w:val="006061AA"/>
    <w:rsid w:val="00607A51"/>
    <w:rsid w:val="006121B3"/>
    <w:rsid w:val="00633932"/>
    <w:rsid w:val="006452EF"/>
    <w:rsid w:val="00646939"/>
    <w:rsid w:val="00650254"/>
    <w:rsid w:val="00654AB0"/>
    <w:rsid w:val="006664EB"/>
    <w:rsid w:val="006712A0"/>
    <w:rsid w:val="00685DBD"/>
    <w:rsid w:val="00685DC3"/>
    <w:rsid w:val="006B1EED"/>
    <w:rsid w:val="006B3F64"/>
    <w:rsid w:val="006B58B2"/>
    <w:rsid w:val="006C7B28"/>
    <w:rsid w:val="006E2110"/>
    <w:rsid w:val="006E2141"/>
    <w:rsid w:val="006F7DCC"/>
    <w:rsid w:val="0070087E"/>
    <w:rsid w:val="007073B2"/>
    <w:rsid w:val="00723A98"/>
    <w:rsid w:val="00732B52"/>
    <w:rsid w:val="0076410A"/>
    <w:rsid w:val="007744CB"/>
    <w:rsid w:val="00784CD5"/>
    <w:rsid w:val="007A7680"/>
    <w:rsid w:val="007B381E"/>
    <w:rsid w:val="007B7B9A"/>
    <w:rsid w:val="007C0E06"/>
    <w:rsid w:val="007E5990"/>
    <w:rsid w:val="007F2BC0"/>
    <w:rsid w:val="007F560D"/>
    <w:rsid w:val="00801C0A"/>
    <w:rsid w:val="008147D0"/>
    <w:rsid w:val="00817CD6"/>
    <w:rsid w:val="00817DF2"/>
    <w:rsid w:val="008216E5"/>
    <w:rsid w:val="0085123D"/>
    <w:rsid w:val="0085246A"/>
    <w:rsid w:val="0085540C"/>
    <w:rsid w:val="00862ACB"/>
    <w:rsid w:val="00865EE8"/>
    <w:rsid w:val="00873300"/>
    <w:rsid w:val="0088326D"/>
    <w:rsid w:val="00886BF3"/>
    <w:rsid w:val="008971B6"/>
    <w:rsid w:val="0089730B"/>
    <w:rsid w:val="008A3497"/>
    <w:rsid w:val="008B0E72"/>
    <w:rsid w:val="008C5CD8"/>
    <w:rsid w:val="008D1017"/>
    <w:rsid w:val="008D5AEE"/>
    <w:rsid w:val="00903F89"/>
    <w:rsid w:val="009051B4"/>
    <w:rsid w:val="009052C8"/>
    <w:rsid w:val="009076F6"/>
    <w:rsid w:val="00913112"/>
    <w:rsid w:val="00915CDF"/>
    <w:rsid w:val="00915EAC"/>
    <w:rsid w:val="00922FA3"/>
    <w:rsid w:val="00933B33"/>
    <w:rsid w:val="00934E20"/>
    <w:rsid w:val="00934E55"/>
    <w:rsid w:val="0093628D"/>
    <w:rsid w:val="00980742"/>
    <w:rsid w:val="009901E0"/>
    <w:rsid w:val="009915E9"/>
    <w:rsid w:val="009A533E"/>
    <w:rsid w:val="009A5779"/>
    <w:rsid w:val="009A6581"/>
    <w:rsid w:val="009C20A0"/>
    <w:rsid w:val="009D176A"/>
    <w:rsid w:val="009D5976"/>
    <w:rsid w:val="009E02AA"/>
    <w:rsid w:val="009F22C4"/>
    <w:rsid w:val="00A02330"/>
    <w:rsid w:val="00A10F12"/>
    <w:rsid w:val="00A20987"/>
    <w:rsid w:val="00A23A9E"/>
    <w:rsid w:val="00A23C5E"/>
    <w:rsid w:val="00A318DE"/>
    <w:rsid w:val="00A40821"/>
    <w:rsid w:val="00A45CEF"/>
    <w:rsid w:val="00A533FE"/>
    <w:rsid w:val="00A646A2"/>
    <w:rsid w:val="00A77194"/>
    <w:rsid w:val="00A772E1"/>
    <w:rsid w:val="00A81749"/>
    <w:rsid w:val="00A8447C"/>
    <w:rsid w:val="00A97DFD"/>
    <w:rsid w:val="00AB68D6"/>
    <w:rsid w:val="00AC05C2"/>
    <w:rsid w:val="00AD4A60"/>
    <w:rsid w:val="00AD5690"/>
    <w:rsid w:val="00AE1373"/>
    <w:rsid w:val="00AE7219"/>
    <w:rsid w:val="00AE7AF3"/>
    <w:rsid w:val="00AF1756"/>
    <w:rsid w:val="00AF250E"/>
    <w:rsid w:val="00B141E3"/>
    <w:rsid w:val="00B219DF"/>
    <w:rsid w:val="00B2554E"/>
    <w:rsid w:val="00B52A48"/>
    <w:rsid w:val="00B7424D"/>
    <w:rsid w:val="00B75DD9"/>
    <w:rsid w:val="00B76278"/>
    <w:rsid w:val="00B83048"/>
    <w:rsid w:val="00BB4644"/>
    <w:rsid w:val="00BC18C4"/>
    <w:rsid w:val="00BC364C"/>
    <w:rsid w:val="00BC5512"/>
    <w:rsid w:val="00BC562D"/>
    <w:rsid w:val="00BC5E5E"/>
    <w:rsid w:val="00BE7E48"/>
    <w:rsid w:val="00C015C6"/>
    <w:rsid w:val="00C022F7"/>
    <w:rsid w:val="00C07E67"/>
    <w:rsid w:val="00C114C9"/>
    <w:rsid w:val="00C21181"/>
    <w:rsid w:val="00C35CE0"/>
    <w:rsid w:val="00C514F8"/>
    <w:rsid w:val="00C55D4D"/>
    <w:rsid w:val="00C56F47"/>
    <w:rsid w:val="00C63C5B"/>
    <w:rsid w:val="00C77623"/>
    <w:rsid w:val="00C91B10"/>
    <w:rsid w:val="00C934FE"/>
    <w:rsid w:val="00C96804"/>
    <w:rsid w:val="00CB4145"/>
    <w:rsid w:val="00CC2DE4"/>
    <w:rsid w:val="00CC4F35"/>
    <w:rsid w:val="00CC6084"/>
    <w:rsid w:val="00CE261E"/>
    <w:rsid w:val="00CE3181"/>
    <w:rsid w:val="00CE3683"/>
    <w:rsid w:val="00CE5DE5"/>
    <w:rsid w:val="00CE79FE"/>
    <w:rsid w:val="00CF0C44"/>
    <w:rsid w:val="00D00015"/>
    <w:rsid w:val="00D06F4B"/>
    <w:rsid w:val="00D108C6"/>
    <w:rsid w:val="00D12E48"/>
    <w:rsid w:val="00D1353D"/>
    <w:rsid w:val="00D14FC6"/>
    <w:rsid w:val="00D16FD2"/>
    <w:rsid w:val="00D241A8"/>
    <w:rsid w:val="00D3642C"/>
    <w:rsid w:val="00D47F8D"/>
    <w:rsid w:val="00D74606"/>
    <w:rsid w:val="00D80DC2"/>
    <w:rsid w:val="00D86834"/>
    <w:rsid w:val="00D86B50"/>
    <w:rsid w:val="00DA3F15"/>
    <w:rsid w:val="00DB0C48"/>
    <w:rsid w:val="00DB5781"/>
    <w:rsid w:val="00DB6DFF"/>
    <w:rsid w:val="00DB7B78"/>
    <w:rsid w:val="00DC32A2"/>
    <w:rsid w:val="00DC3772"/>
    <w:rsid w:val="00DC4F90"/>
    <w:rsid w:val="00DD2F1D"/>
    <w:rsid w:val="00DD4904"/>
    <w:rsid w:val="00DD68A8"/>
    <w:rsid w:val="00DE24B1"/>
    <w:rsid w:val="00DF54DC"/>
    <w:rsid w:val="00E01E05"/>
    <w:rsid w:val="00E05849"/>
    <w:rsid w:val="00E06A4B"/>
    <w:rsid w:val="00E10163"/>
    <w:rsid w:val="00E11B7B"/>
    <w:rsid w:val="00E27088"/>
    <w:rsid w:val="00E274E8"/>
    <w:rsid w:val="00E503A9"/>
    <w:rsid w:val="00E505F9"/>
    <w:rsid w:val="00E560CB"/>
    <w:rsid w:val="00E56557"/>
    <w:rsid w:val="00E63491"/>
    <w:rsid w:val="00E7511E"/>
    <w:rsid w:val="00E77377"/>
    <w:rsid w:val="00E80A36"/>
    <w:rsid w:val="00E83F45"/>
    <w:rsid w:val="00E97FB0"/>
    <w:rsid w:val="00EA1104"/>
    <w:rsid w:val="00EA4B1C"/>
    <w:rsid w:val="00EB3126"/>
    <w:rsid w:val="00ED1E84"/>
    <w:rsid w:val="00EE5C82"/>
    <w:rsid w:val="00EE7461"/>
    <w:rsid w:val="00EF2257"/>
    <w:rsid w:val="00F05AB2"/>
    <w:rsid w:val="00F118C9"/>
    <w:rsid w:val="00F15016"/>
    <w:rsid w:val="00F34711"/>
    <w:rsid w:val="00F37453"/>
    <w:rsid w:val="00F773C7"/>
    <w:rsid w:val="00F81697"/>
    <w:rsid w:val="00F86487"/>
    <w:rsid w:val="00FA12DB"/>
    <w:rsid w:val="00FB1788"/>
    <w:rsid w:val="00FB2861"/>
    <w:rsid w:val="00FB5904"/>
    <w:rsid w:val="00FC2FDB"/>
    <w:rsid w:val="00FD3159"/>
    <w:rsid w:val="00FD6EF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FF264"/>
  <w15:docId w15:val="{035F779F-1912-D840-90FB-C6A2F188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E5C8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E5C8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E5C8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E5C82"/>
    <w:rPr>
      <w:rFonts w:ascii="Calibri" w:hAnsi="Calibri" w:cs="Calibri"/>
      <w:noProof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E5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6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2F7"/>
    <w:pPr>
      <w:ind w:left="720"/>
      <w:contextualSpacing/>
    </w:pPr>
  </w:style>
  <w:style w:type="table" w:customStyle="1" w:styleId="ListTable1Light-Accent21">
    <w:name w:val="List Table 1 Light - Accent 21"/>
    <w:basedOn w:val="TableNormal"/>
    <w:uiPriority w:val="46"/>
    <w:rsid w:val="006B1E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B1E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41">
    <w:name w:val="Plain Table 41"/>
    <w:basedOn w:val="TableNormal"/>
    <w:uiPriority w:val="44"/>
    <w:rsid w:val="006B1E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86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0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80D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83048"/>
    <w:pPr>
      <w:spacing w:after="0" w:line="240" w:lineRule="auto"/>
    </w:pPr>
  </w:style>
  <w:style w:type="table" w:styleId="TableGrid">
    <w:name w:val="Table Grid"/>
    <w:basedOn w:val="TableNormal"/>
    <w:uiPriority w:val="39"/>
    <w:rsid w:val="00AE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ausstats/abs@.nsf/mf/2039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althstats.nsw.gov.au/indicator/bod_acsh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teor.aihw.gov.au/content/index.phtml/itemId/6584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F363-E7EE-43A8-9075-3E4C806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Sara</dc:creator>
  <cp:keywords/>
  <dc:description/>
  <cp:lastModifiedBy>Grant Sara (Ministry of Health)</cp:lastModifiedBy>
  <cp:revision>2</cp:revision>
  <dcterms:created xsi:type="dcterms:W3CDTF">2021-01-14T04:21:00Z</dcterms:created>
  <dcterms:modified xsi:type="dcterms:W3CDTF">2021-01-14T04:21:00Z</dcterms:modified>
</cp:coreProperties>
</file>