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6F" w:rsidRPr="00571387" w:rsidRDefault="00485A6F" w:rsidP="00485A6F">
      <w:pPr>
        <w:pStyle w:val="NormalWeb"/>
        <w:spacing w:before="0" w:beforeAutospacing="0" w:after="0" w:afterAutospacing="0"/>
        <w:jc w:val="both"/>
        <w:rPr>
          <w:i/>
          <w:iCs/>
          <w:lang w:val="en-US"/>
        </w:rPr>
      </w:pPr>
      <w:proofErr w:type="spellStart"/>
      <w:proofErr w:type="gramStart"/>
      <w:r w:rsidRPr="00571387">
        <w:rPr>
          <w:i/>
          <w:iCs/>
          <w:lang w:val="en-US"/>
        </w:rPr>
        <w:t>eTable</w:t>
      </w:r>
      <w:proofErr w:type="spellEnd"/>
      <w:proofErr w:type="gramEnd"/>
      <w:r w:rsidRPr="00571387">
        <w:rPr>
          <w:i/>
          <w:iCs/>
          <w:lang w:val="en-US"/>
        </w:rPr>
        <w:t xml:space="preserve"> 1: Detailed description of the measures derived from scales</w:t>
      </w:r>
    </w:p>
    <w:p w:rsidR="00485A6F" w:rsidRPr="00571387" w:rsidRDefault="00485A6F" w:rsidP="00485A6F">
      <w:pPr>
        <w:pStyle w:val="NormalWeb"/>
        <w:spacing w:before="0" w:beforeAutospacing="0" w:after="0" w:afterAutospacing="0"/>
        <w:jc w:val="both"/>
        <w:rPr>
          <w:b/>
          <w:iCs/>
          <w:lang w:val="en-US"/>
        </w:rPr>
      </w:pPr>
    </w:p>
    <w:p w:rsidR="00485A6F" w:rsidRPr="00571387" w:rsidRDefault="00485A6F" w:rsidP="00485A6F">
      <w:pPr>
        <w:pStyle w:val="NormalWeb"/>
        <w:spacing w:before="0" w:beforeAutospacing="0" w:after="0" w:afterAutospacing="0"/>
        <w:jc w:val="both"/>
        <w:rPr>
          <w:b/>
          <w:iCs/>
          <w:lang w:val="en-US"/>
        </w:rPr>
      </w:pPr>
    </w:p>
    <w:tbl>
      <w:tblPr>
        <w:tblStyle w:val="Grilledutableau"/>
        <w:tblW w:w="13603" w:type="dxa"/>
        <w:tblLook w:val="04A0" w:firstRow="1" w:lastRow="0" w:firstColumn="1" w:lastColumn="0" w:noHBand="0" w:noVBand="1"/>
      </w:tblPr>
      <w:tblGrid>
        <w:gridCol w:w="2260"/>
        <w:gridCol w:w="1424"/>
        <w:gridCol w:w="1424"/>
        <w:gridCol w:w="2258"/>
        <w:gridCol w:w="1560"/>
        <w:gridCol w:w="1559"/>
        <w:gridCol w:w="3118"/>
      </w:tblGrid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Cs/>
                <w:lang w:val="en-US"/>
              </w:rPr>
            </w:pPr>
            <w:r w:rsidRPr="00571387">
              <w:rPr>
                <w:b/>
                <w:iCs/>
                <w:lang w:val="en-US"/>
              </w:rPr>
              <w:t>Measures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Cs/>
                <w:lang w:val="en-US"/>
              </w:rPr>
            </w:pPr>
            <w:r w:rsidRPr="00571387">
              <w:rPr>
                <w:b/>
                <w:iCs/>
                <w:lang w:val="en-US"/>
              </w:rPr>
              <w:t>Score or Index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Cs/>
                <w:lang w:val="en-US"/>
              </w:rPr>
            </w:pPr>
            <w:r w:rsidRPr="00571387">
              <w:rPr>
                <w:b/>
                <w:iCs/>
                <w:lang w:val="en-US"/>
              </w:rPr>
              <w:t>Mean (SD)</w:t>
            </w:r>
          </w:p>
        </w:tc>
        <w:tc>
          <w:tcPr>
            <w:tcW w:w="2258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Cs/>
                <w:lang w:val="en-US"/>
              </w:rPr>
            </w:pPr>
            <w:r w:rsidRPr="00571387">
              <w:rPr>
                <w:b/>
                <w:iCs/>
                <w:lang w:val="en-US"/>
              </w:rPr>
              <w:t>Cronbach’s alpha</w:t>
            </w:r>
          </w:p>
        </w:tc>
        <w:tc>
          <w:tcPr>
            <w:tcW w:w="15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Cs/>
                <w:lang w:val="en-US"/>
              </w:rPr>
            </w:pPr>
            <w:r w:rsidRPr="00571387">
              <w:rPr>
                <w:b/>
                <w:iCs/>
                <w:lang w:val="en-US"/>
              </w:rPr>
              <w:t>Min</w:t>
            </w:r>
          </w:p>
        </w:tc>
        <w:tc>
          <w:tcPr>
            <w:tcW w:w="1559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Cs/>
                <w:lang w:val="en-US"/>
              </w:rPr>
            </w:pPr>
            <w:r w:rsidRPr="00571387">
              <w:rPr>
                <w:b/>
                <w:iCs/>
                <w:lang w:val="en-US"/>
              </w:rPr>
              <w:t>Max</w:t>
            </w:r>
          </w:p>
        </w:tc>
        <w:tc>
          <w:tcPr>
            <w:tcW w:w="3118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iCs/>
                <w:lang w:val="en-US"/>
              </w:rPr>
            </w:pPr>
            <w:r w:rsidRPr="00571387">
              <w:rPr>
                <w:b/>
                <w:iCs/>
                <w:lang w:val="en-US"/>
              </w:rPr>
              <w:t>Sources</w:t>
            </w: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RAS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86.2 (14.3)</w:t>
            </w:r>
          </w:p>
        </w:tc>
        <w:tc>
          <w:tcPr>
            <w:tcW w:w="2258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NA</w:t>
            </w:r>
          </w:p>
        </w:tc>
        <w:tc>
          <w:tcPr>
            <w:tcW w:w="15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24</w:t>
            </w:r>
          </w:p>
        </w:tc>
        <w:tc>
          <w:tcPr>
            <w:tcW w:w="1559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120</w:t>
            </w:r>
          </w:p>
        </w:tc>
        <w:tc>
          <w:tcPr>
            <w:tcW w:w="3118" w:type="dxa"/>
            <w:vMerge w:val="restart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 xml:space="preserve">Girard </w:t>
            </w:r>
            <w:r w:rsidRPr="00571387">
              <w:rPr>
                <w:i/>
                <w:iCs/>
                <w:lang w:val="fr-FR"/>
              </w:rPr>
              <w:t xml:space="preserve">et </w:t>
            </w:r>
            <w:proofErr w:type="gramStart"/>
            <w:r w:rsidRPr="00571387">
              <w:rPr>
                <w:i/>
                <w:iCs/>
                <w:lang w:val="fr-FR"/>
              </w:rPr>
              <w:t>al.,</w:t>
            </w:r>
            <w:proofErr w:type="gramEnd"/>
            <w:r w:rsidRPr="00571387">
              <w:rPr>
                <w:iCs/>
                <w:lang w:val="fr-FR"/>
              </w:rPr>
              <w:t xml:space="preserve"> 2017</w:t>
            </w: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iCs/>
                <w:lang w:val="fr-FR"/>
              </w:rPr>
            </w:pPr>
            <w:r w:rsidRPr="00571387">
              <w:rPr>
                <w:color w:val="1A171C"/>
                <w:lang w:val="fr-FR"/>
              </w:rPr>
              <w:t>PCAH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32.3 (6.1)</w:t>
            </w:r>
          </w:p>
        </w:tc>
        <w:tc>
          <w:tcPr>
            <w:tcW w:w="2258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0.80</w:t>
            </w:r>
          </w:p>
        </w:tc>
        <w:tc>
          <w:tcPr>
            <w:tcW w:w="15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9</w:t>
            </w:r>
          </w:p>
        </w:tc>
        <w:tc>
          <w:tcPr>
            <w:tcW w:w="1559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45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</w:tc>
      </w:tr>
      <w:tr w:rsidR="00485A6F" w:rsidRPr="00571387" w:rsidTr="00AC67FF">
        <w:trPr>
          <w:trHeight w:val="457"/>
        </w:trPr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iCs/>
                <w:lang w:val="fr-FR"/>
              </w:rPr>
            </w:pPr>
            <w:r w:rsidRPr="00571387">
              <w:rPr>
                <w:color w:val="1A171C"/>
                <w:lang w:val="fr-FR"/>
              </w:rPr>
              <w:t>WAFH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10.6 (3.1)</w:t>
            </w:r>
          </w:p>
        </w:tc>
        <w:tc>
          <w:tcPr>
            <w:tcW w:w="2258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0.87</w:t>
            </w:r>
          </w:p>
        </w:tc>
        <w:tc>
          <w:tcPr>
            <w:tcW w:w="15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3</w:t>
            </w:r>
          </w:p>
        </w:tc>
        <w:tc>
          <w:tcPr>
            <w:tcW w:w="1559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15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iCs/>
                <w:lang w:val="fr-FR"/>
              </w:rPr>
            </w:pPr>
            <w:r w:rsidRPr="00571387">
              <w:rPr>
                <w:color w:val="1A171C"/>
                <w:lang w:val="fr-FR"/>
              </w:rPr>
              <w:t>GOSU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19.8 (3.7)</w:t>
            </w:r>
          </w:p>
        </w:tc>
        <w:tc>
          <w:tcPr>
            <w:tcW w:w="2258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0.81</w:t>
            </w:r>
          </w:p>
        </w:tc>
        <w:tc>
          <w:tcPr>
            <w:tcW w:w="15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5</w:t>
            </w:r>
          </w:p>
        </w:tc>
        <w:tc>
          <w:tcPr>
            <w:tcW w:w="1559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25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iCs/>
                <w:lang w:val="fr-FR"/>
              </w:rPr>
            </w:pPr>
            <w:r w:rsidRPr="00571387">
              <w:rPr>
                <w:color w:val="1A171C"/>
                <w:lang w:val="fr-FR"/>
              </w:rPr>
              <w:t>RELON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14.2 (3.7)</w:t>
            </w:r>
          </w:p>
        </w:tc>
        <w:tc>
          <w:tcPr>
            <w:tcW w:w="2258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fr-FR"/>
              </w:rPr>
              <w:t>0</w:t>
            </w:r>
            <w:r w:rsidRPr="00571387">
              <w:rPr>
                <w:iCs/>
                <w:lang w:val="en-US"/>
              </w:rPr>
              <w:t>.79</w:t>
            </w:r>
          </w:p>
        </w:tc>
        <w:tc>
          <w:tcPr>
            <w:tcW w:w="15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4</w:t>
            </w:r>
          </w:p>
        </w:tc>
        <w:tc>
          <w:tcPr>
            <w:tcW w:w="1559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20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iCs/>
                <w:lang w:val="en-US"/>
              </w:rPr>
            </w:pPr>
            <w:r w:rsidRPr="00571387">
              <w:rPr>
                <w:color w:val="1A171C"/>
              </w:rPr>
              <w:t>NDSYM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Score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9.3 (3.1)</w:t>
            </w:r>
          </w:p>
        </w:tc>
        <w:tc>
          <w:tcPr>
            <w:tcW w:w="2258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0.80</w:t>
            </w:r>
          </w:p>
        </w:tc>
        <w:tc>
          <w:tcPr>
            <w:tcW w:w="15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3</w:t>
            </w:r>
          </w:p>
        </w:tc>
        <w:tc>
          <w:tcPr>
            <w:tcW w:w="1559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15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MCSI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Score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NA</w:t>
            </w:r>
          </w:p>
        </w:tc>
        <w:tc>
          <w:tcPr>
            <w:tcW w:w="2258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0.90</w:t>
            </w:r>
          </w:p>
        </w:tc>
        <w:tc>
          <w:tcPr>
            <w:tcW w:w="15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14</w:t>
            </w:r>
          </w:p>
        </w:tc>
        <w:tc>
          <w:tcPr>
            <w:tcW w:w="1559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70</w:t>
            </w:r>
          </w:p>
        </w:tc>
        <w:tc>
          <w:tcPr>
            <w:tcW w:w="3118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  <w:r w:rsidRPr="00571387">
              <w:t xml:space="preserve">Conrad </w:t>
            </w:r>
            <w:r w:rsidRPr="00571387">
              <w:rPr>
                <w:i/>
              </w:rPr>
              <w:t>et al.,</w:t>
            </w:r>
            <w:r w:rsidRPr="00571387">
              <w:t xml:space="preserve"> 2001</w:t>
            </w: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PCS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Score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NA</w:t>
            </w:r>
          </w:p>
        </w:tc>
        <w:tc>
          <w:tcPr>
            <w:tcW w:w="2258" w:type="dxa"/>
            <w:vMerge w:val="restart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0.79 to 0.95</w:t>
            </w:r>
          </w:p>
        </w:tc>
        <w:tc>
          <w:tcPr>
            <w:tcW w:w="15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0</w:t>
            </w:r>
          </w:p>
        </w:tc>
        <w:tc>
          <w:tcPr>
            <w:tcW w:w="1559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100</w:t>
            </w:r>
          </w:p>
        </w:tc>
        <w:tc>
          <w:tcPr>
            <w:tcW w:w="3118" w:type="dxa"/>
            <w:vMerge w:val="restart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lang w:val="fr-FR"/>
              </w:rPr>
            </w:pPr>
            <w:proofErr w:type="spellStart"/>
            <w:r w:rsidRPr="00571387">
              <w:rPr>
                <w:lang w:val="fr-FR"/>
              </w:rPr>
              <w:t>Ware</w:t>
            </w:r>
            <w:proofErr w:type="spellEnd"/>
            <w:r w:rsidRPr="00571387">
              <w:rPr>
                <w:lang w:val="fr-FR"/>
              </w:rPr>
              <w:t xml:space="preserve"> &amp; </w:t>
            </w:r>
            <w:proofErr w:type="spellStart"/>
            <w:r w:rsidRPr="00571387">
              <w:rPr>
                <w:lang w:val="fr-FR"/>
              </w:rPr>
              <w:t>Sherbourne</w:t>
            </w:r>
            <w:proofErr w:type="spellEnd"/>
            <w:r w:rsidRPr="00571387">
              <w:rPr>
                <w:lang w:val="fr-FR"/>
              </w:rPr>
              <w:t>, 1922</w:t>
            </w:r>
            <w:r w:rsidRPr="00571387">
              <w:rPr>
                <w:lang w:val="fr-FR"/>
              </w:rPr>
              <w:br/>
            </w:r>
            <w:proofErr w:type="spellStart"/>
            <w:r w:rsidRPr="00571387">
              <w:rPr>
                <w:lang w:val="fr-FR"/>
              </w:rPr>
              <w:t>Leplège</w:t>
            </w:r>
            <w:proofErr w:type="spellEnd"/>
            <w:r w:rsidRPr="00571387">
              <w:rPr>
                <w:lang w:val="fr-FR"/>
              </w:rPr>
              <w:t xml:space="preserve"> </w:t>
            </w:r>
            <w:r w:rsidRPr="00571387">
              <w:rPr>
                <w:i/>
                <w:lang w:val="fr-FR"/>
              </w:rPr>
              <w:t xml:space="preserve">et </w:t>
            </w:r>
            <w:proofErr w:type="gramStart"/>
            <w:r w:rsidRPr="00571387">
              <w:rPr>
                <w:i/>
                <w:lang w:val="fr-FR"/>
              </w:rPr>
              <w:t>al.,</w:t>
            </w:r>
            <w:proofErr w:type="gramEnd"/>
            <w:r w:rsidRPr="00571387">
              <w:rPr>
                <w:lang w:val="fr-FR"/>
              </w:rPr>
              <w:t xml:space="preserve"> 1995</w:t>
            </w: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MCS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Score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NA</w:t>
            </w:r>
          </w:p>
        </w:tc>
        <w:tc>
          <w:tcPr>
            <w:tcW w:w="225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</w:p>
        </w:tc>
        <w:tc>
          <w:tcPr>
            <w:tcW w:w="15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0</w:t>
            </w:r>
          </w:p>
        </w:tc>
        <w:tc>
          <w:tcPr>
            <w:tcW w:w="1559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100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SQOL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Index</w:t>
            </w:r>
          </w:p>
        </w:tc>
        <w:tc>
          <w:tcPr>
            <w:tcW w:w="1424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56.4 (18.8)</w:t>
            </w:r>
          </w:p>
        </w:tc>
        <w:tc>
          <w:tcPr>
            <w:tcW w:w="2258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0.88</w:t>
            </w:r>
          </w:p>
        </w:tc>
        <w:tc>
          <w:tcPr>
            <w:tcW w:w="1560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100</w:t>
            </w:r>
          </w:p>
        </w:tc>
        <w:tc>
          <w:tcPr>
            <w:tcW w:w="3118" w:type="dxa"/>
            <w:vMerge w:val="restart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Boyer et al 2010</w:t>
            </w: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color w:val="1A171C"/>
                <w:lang w:val="fr-FR"/>
              </w:rPr>
            </w:pPr>
            <w:proofErr w:type="spellStart"/>
            <w:r w:rsidRPr="00571387">
              <w:rPr>
                <w:color w:val="1A171C"/>
                <w:lang w:val="fr-FR"/>
              </w:rPr>
              <w:t>PsW</w:t>
            </w:r>
            <w:proofErr w:type="spellEnd"/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61.5 (29.3)</w:t>
            </w:r>
          </w:p>
        </w:tc>
        <w:tc>
          <w:tcPr>
            <w:tcW w:w="2258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0.73</w:t>
            </w:r>
          </w:p>
        </w:tc>
        <w:tc>
          <w:tcPr>
            <w:tcW w:w="1560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100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color w:val="1A171C"/>
                <w:lang w:val="fr-FR"/>
              </w:rPr>
            </w:pPr>
            <w:r w:rsidRPr="00571387">
              <w:rPr>
                <w:color w:val="1A171C"/>
                <w:lang w:val="fr-FR"/>
              </w:rPr>
              <w:t>SE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58.5 (29.2)</w:t>
            </w:r>
          </w:p>
        </w:tc>
        <w:tc>
          <w:tcPr>
            <w:tcW w:w="2258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0.74</w:t>
            </w:r>
          </w:p>
        </w:tc>
        <w:tc>
          <w:tcPr>
            <w:tcW w:w="1560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100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color w:val="1A171C"/>
                <w:lang w:val="fr-FR"/>
              </w:rPr>
            </w:pPr>
            <w:proofErr w:type="spellStart"/>
            <w:r w:rsidRPr="00571387">
              <w:rPr>
                <w:color w:val="1A171C"/>
                <w:lang w:val="fr-FR"/>
              </w:rPr>
              <w:t>RFa</w:t>
            </w:r>
            <w:proofErr w:type="spellEnd"/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63.5 (29.8)</w:t>
            </w:r>
          </w:p>
        </w:tc>
        <w:tc>
          <w:tcPr>
            <w:tcW w:w="2258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0.81</w:t>
            </w:r>
          </w:p>
        </w:tc>
        <w:tc>
          <w:tcPr>
            <w:tcW w:w="1560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100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color w:val="1A171C"/>
                <w:lang w:val="fr-FR"/>
              </w:rPr>
            </w:pPr>
            <w:proofErr w:type="spellStart"/>
            <w:r w:rsidRPr="00571387">
              <w:rPr>
                <w:color w:val="1A171C"/>
                <w:lang w:val="fr-FR"/>
              </w:rPr>
              <w:t>RFr</w:t>
            </w:r>
            <w:proofErr w:type="spellEnd"/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48.5 (30.8)</w:t>
            </w:r>
          </w:p>
        </w:tc>
        <w:tc>
          <w:tcPr>
            <w:tcW w:w="2258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0.73</w:t>
            </w:r>
          </w:p>
        </w:tc>
        <w:tc>
          <w:tcPr>
            <w:tcW w:w="1560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100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color w:val="1A171C"/>
                <w:lang w:val="fr-FR"/>
              </w:rPr>
            </w:pPr>
            <w:r w:rsidRPr="00571387">
              <w:rPr>
                <w:color w:val="1A171C"/>
                <w:lang w:val="fr-FR"/>
              </w:rPr>
              <w:t>RE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60.8 (26.3)</w:t>
            </w:r>
          </w:p>
        </w:tc>
        <w:tc>
          <w:tcPr>
            <w:tcW w:w="2258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0.74</w:t>
            </w:r>
          </w:p>
        </w:tc>
        <w:tc>
          <w:tcPr>
            <w:tcW w:w="1560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100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color w:val="1A171C"/>
                <w:lang w:val="fr-FR"/>
              </w:rPr>
            </w:pPr>
            <w:proofErr w:type="spellStart"/>
            <w:r w:rsidRPr="00571387">
              <w:rPr>
                <w:color w:val="1A171C"/>
                <w:lang w:val="fr-FR"/>
              </w:rPr>
              <w:t>PhW</w:t>
            </w:r>
            <w:proofErr w:type="spellEnd"/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51.6 (26.4)</w:t>
            </w:r>
          </w:p>
        </w:tc>
        <w:tc>
          <w:tcPr>
            <w:tcW w:w="2258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0.79</w:t>
            </w:r>
          </w:p>
        </w:tc>
        <w:tc>
          <w:tcPr>
            <w:tcW w:w="1560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100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color w:val="1A171C"/>
                <w:lang w:val="fr-FR"/>
              </w:rPr>
            </w:pPr>
            <w:r w:rsidRPr="00571387">
              <w:rPr>
                <w:color w:val="1A171C"/>
                <w:lang w:val="fr-FR"/>
              </w:rPr>
              <w:t>AU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61.0 (28.4)</w:t>
            </w:r>
          </w:p>
        </w:tc>
        <w:tc>
          <w:tcPr>
            <w:tcW w:w="2258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0.84</w:t>
            </w:r>
          </w:p>
        </w:tc>
        <w:tc>
          <w:tcPr>
            <w:tcW w:w="1560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100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fr-FR"/>
              </w:rPr>
            </w:pPr>
          </w:p>
        </w:tc>
      </w:tr>
      <w:tr w:rsidR="00485A6F" w:rsidRPr="00571387" w:rsidTr="00AC67FF">
        <w:tc>
          <w:tcPr>
            <w:tcW w:w="2260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right"/>
              <w:rPr>
                <w:color w:val="1A171C"/>
                <w:lang w:val="fr-FR"/>
              </w:rPr>
            </w:pPr>
            <w:r w:rsidRPr="00571387">
              <w:rPr>
                <w:color w:val="1A171C"/>
                <w:lang w:val="fr-FR"/>
              </w:rPr>
              <w:lastRenderedPageBreak/>
              <w:t>SL</w:t>
            </w:r>
          </w:p>
        </w:tc>
        <w:tc>
          <w:tcPr>
            <w:tcW w:w="1424" w:type="dxa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fr-FR"/>
              </w:rPr>
            </w:pPr>
            <w:r w:rsidRPr="00571387">
              <w:rPr>
                <w:iCs/>
                <w:lang w:val="fr-FR"/>
              </w:rPr>
              <w:t>Score</w:t>
            </w:r>
          </w:p>
        </w:tc>
        <w:tc>
          <w:tcPr>
            <w:tcW w:w="1424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42.0 (31.0)</w:t>
            </w:r>
          </w:p>
        </w:tc>
        <w:tc>
          <w:tcPr>
            <w:tcW w:w="2258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0.72</w:t>
            </w:r>
          </w:p>
        </w:tc>
        <w:tc>
          <w:tcPr>
            <w:tcW w:w="1560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center"/>
              <w:rPr>
                <w:iCs/>
                <w:lang w:val="en-US"/>
              </w:rPr>
            </w:pPr>
            <w:r w:rsidRPr="00571387">
              <w:rPr>
                <w:iCs/>
                <w:lang w:val="en-US"/>
              </w:rPr>
              <w:t>100</w:t>
            </w:r>
          </w:p>
        </w:tc>
        <w:tc>
          <w:tcPr>
            <w:tcW w:w="3118" w:type="dxa"/>
            <w:vMerge/>
          </w:tcPr>
          <w:p w:rsidR="00485A6F" w:rsidRPr="00571387" w:rsidRDefault="00485A6F" w:rsidP="00AC67FF">
            <w:pPr>
              <w:pStyle w:val="NormalWeb"/>
              <w:spacing w:before="0" w:beforeAutospacing="0" w:after="0" w:afterAutospacing="0" w:line="360" w:lineRule="auto"/>
              <w:jc w:val="both"/>
              <w:rPr>
                <w:iCs/>
                <w:lang w:val="en-US"/>
              </w:rPr>
            </w:pPr>
          </w:p>
        </w:tc>
      </w:tr>
    </w:tbl>
    <w:p w:rsidR="00485A6F" w:rsidRPr="00571387" w:rsidRDefault="00485A6F" w:rsidP="00485A6F">
      <w:pPr>
        <w:spacing w:line="360" w:lineRule="auto"/>
        <w:rPr>
          <w:rFonts w:ascii="Times New Roman" w:hAnsi="Times New Roman"/>
          <w:sz w:val="20"/>
          <w:szCs w:val="20"/>
          <w:lang w:val="en-US"/>
        </w:rPr>
      </w:pPr>
      <w:r w:rsidRPr="00571387">
        <w:rPr>
          <w:rFonts w:ascii="Times New Roman" w:eastAsia="Times New Roman" w:hAnsi="Times New Roman"/>
          <w:color w:val="1A171C"/>
          <w:sz w:val="20"/>
          <w:szCs w:val="20"/>
          <w:lang w:val="en-US"/>
        </w:rPr>
        <w:t>NA: not applicable; SD: Standard deviation. HF: Housing First; TAU: treatment as usual; RAS: Recovery assessment scale; RAS dimensions: PCAH : Personal Confidence and Hope; WAFH : Willingness to Ask for Help; GOSU</w:t>
      </w:r>
      <w:r w:rsidRPr="00571387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: Goal and </w:t>
      </w:r>
      <w:r w:rsidRPr="00571387">
        <w:rPr>
          <w:rFonts w:ascii="Times New Roman" w:eastAsia="Times New Roman" w:hAnsi="Times New Roman"/>
          <w:color w:val="1A171C"/>
          <w:sz w:val="20"/>
          <w:szCs w:val="20"/>
          <w:lang w:val="en-US"/>
        </w:rPr>
        <w:t>Success Orientation; RELON : Reliance on Others; NDSYM : Not Dominated by Symptoms; MCSI: Modified Colorado symptom index; MARS: Medication Adherence Rating Scale; PCS: Physical composite score; MCS: Mental composite score; S-QoL: Schizophrenia Quality of Life Questionnaire; S-QoL dimensions: PsW: psychological</w:t>
      </w:r>
      <w:r w:rsidRPr="00571387">
        <w:rPr>
          <w:rFonts w:ascii="Times New Roman" w:hAnsi="Times New Roman"/>
          <w:sz w:val="20"/>
          <w:szCs w:val="20"/>
          <w:lang w:val="en-US"/>
        </w:rPr>
        <w:t xml:space="preserve"> well-being; SE: self-esteem; RFa: family relationships; RFr: relationships with friends; RE: resilience; PhW: physical well-being; AU: autonomy; and SL: sentimental life</w:t>
      </w:r>
    </w:p>
    <w:p w:rsidR="00485A6F" w:rsidRPr="00571387" w:rsidRDefault="00485A6F" w:rsidP="00485A6F">
      <w:pPr>
        <w:pStyle w:val="NormalWeb"/>
        <w:spacing w:before="0" w:beforeAutospacing="0" w:after="0" w:afterAutospacing="0"/>
        <w:jc w:val="both"/>
        <w:rPr>
          <w:iCs/>
        </w:rPr>
      </w:pPr>
    </w:p>
    <w:p w:rsidR="00485A6F" w:rsidRPr="00571387" w:rsidRDefault="00485A6F" w:rsidP="00485A6F">
      <w:pPr>
        <w:rPr>
          <w:lang w:val="en-US"/>
        </w:rPr>
        <w:sectPr w:rsidR="00485A6F" w:rsidRPr="00571387" w:rsidSect="00485A6F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10C8F" w:rsidRPr="00571387" w:rsidRDefault="00631B10">
      <w:pPr>
        <w:rPr>
          <w:rFonts w:ascii="Times New Roman" w:hAnsi="Times New Roman"/>
          <w:i/>
          <w:iCs/>
          <w:lang w:val="en-US"/>
        </w:rPr>
      </w:pPr>
      <w:proofErr w:type="spellStart"/>
      <w:proofErr w:type="gramStart"/>
      <w:r w:rsidRPr="00571387">
        <w:rPr>
          <w:rFonts w:ascii="Times New Roman" w:hAnsi="Times New Roman"/>
          <w:i/>
          <w:iCs/>
          <w:lang w:val="en-US"/>
        </w:rPr>
        <w:t>eTable</w:t>
      </w:r>
      <w:proofErr w:type="spellEnd"/>
      <w:proofErr w:type="gramEnd"/>
      <w:r w:rsidRPr="00571387">
        <w:rPr>
          <w:rFonts w:ascii="Times New Roman" w:hAnsi="Times New Roman"/>
          <w:i/>
          <w:iCs/>
          <w:lang w:val="en-US"/>
        </w:rPr>
        <w:t xml:space="preserve"> </w:t>
      </w:r>
      <w:r w:rsidR="00485A6F" w:rsidRPr="00571387">
        <w:rPr>
          <w:rFonts w:ascii="Times New Roman" w:hAnsi="Times New Roman"/>
          <w:i/>
          <w:iCs/>
          <w:lang w:val="en-US"/>
        </w:rPr>
        <w:t>2</w:t>
      </w:r>
      <w:r w:rsidRPr="00571387">
        <w:rPr>
          <w:rFonts w:ascii="Times New Roman" w:hAnsi="Times New Roman"/>
          <w:i/>
          <w:iCs/>
          <w:lang w:val="en-US"/>
        </w:rPr>
        <w:t xml:space="preserve">. Comparison of baseline characteristics between HF and TAU groups having been interviewed at M48 versus those not interviewed at </w:t>
      </w:r>
      <w:r w:rsidR="00623E60" w:rsidRPr="00571387">
        <w:rPr>
          <w:rFonts w:ascii="Times New Roman" w:hAnsi="Times New Roman"/>
          <w:i/>
          <w:iCs/>
          <w:lang w:val="en-US"/>
        </w:rPr>
        <w:t>M48</w:t>
      </w:r>
    </w:p>
    <w:p w:rsidR="00631B10" w:rsidRPr="00571387" w:rsidRDefault="00631B10">
      <w:pPr>
        <w:rPr>
          <w:lang w:val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1985"/>
        <w:gridCol w:w="1984"/>
        <w:gridCol w:w="2185"/>
        <w:gridCol w:w="1359"/>
      </w:tblGrid>
      <w:tr w:rsidR="00631B10" w:rsidRPr="00571387" w:rsidTr="00631B10">
        <w:trPr>
          <w:trHeight w:val="543"/>
        </w:trPr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Variables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A237F" w:rsidRPr="00571387" w:rsidRDefault="00631B10" w:rsidP="00AA237F">
            <w:pPr>
              <w:pStyle w:val="Housingcorpsdetexte"/>
              <w:ind w:left="360"/>
              <w:jc w:val="center"/>
              <w:rPr>
                <w:rFonts w:ascii="Times New Roman" w:hAnsi="Times New Roman"/>
                <w:bCs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M48 not done</w:t>
            </w:r>
          </w:p>
          <w:p w:rsidR="00631B10" w:rsidRPr="00571387" w:rsidRDefault="00631B10" w:rsidP="00AA237F">
            <w:pPr>
              <w:pStyle w:val="Housingcorpsdetexte"/>
              <w:ind w:left="360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(N = 540</w:t>
            </w:r>
            <w:proofErr w:type="gramStart"/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)</w:t>
            </w:r>
            <w:proofErr w:type="gramEnd"/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br/>
            </w:r>
            <w:r w:rsidRPr="00571387">
              <w:rPr>
                <w:rFonts w:ascii="Times New Roman" w:hAnsi="Times New Roman"/>
                <w:szCs w:val="22"/>
                <w:lang w:val="en-GB"/>
              </w:rPr>
              <w:t>m[</w:t>
            </w:r>
            <w:proofErr w:type="spellStart"/>
            <w:r w:rsidRPr="00571387">
              <w:rPr>
                <w:rFonts w:ascii="Times New Roman" w:hAnsi="Times New Roman"/>
                <w:szCs w:val="22"/>
                <w:lang w:val="en-GB"/>
              </w:rPr>
              <w:t>sd</w:t>
            </w:r>
            <w:proofErr w:type="spellEnd"/>
            <w:r w:rsidRPr="00571387">
              <w:rPr>
                <w:rFonts w:ascii="Times New Roman" w:hAnsi="Times New Roman"/>
                <w:szCs w:val="22"/>
                <w:lang w:val="en-GB"/>
              </w:rPr>
              <w:t>] / N(%)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A237F" w:rsidRPr="00571387" w:rsidRDefault="00631B10" w:rsidP="00AA237F">
            <w:pPr>
              <w:pStyle w:val="Housingcorpsdetexte"/>
              <w:ind w:left="360"/>
              <w:jc w:val="center"/>
              <w:rPr>
                <w:rFonts w:ascii="Times New Roman" w:hAnsi="Times New Roman"/>
                <w:bCs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M48 done</w:t>
            </w:r>
          </w:p>
          <w:p w:rsidR="00631B10" w:rsidRPr="00571387" w:rsidRDefault="00631B10" w:rsidP="00AA237F">
            <w:pPr>
              <w:pStyle w:val="Housingcorpsdetexte"/>
              <w:ind w:left="360"/>
              <w:jc w:val="center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(N = 163</w:t>
            </w:r>
            <w:proofErr w:type="gramStart"/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)</w:t>
            </w:r>
            <w:proofErr w:type="gramEnd"/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br/>
            </w:r>
            <w:r w:rsidRPr="00571387">
              <w:rPr>
                <w:rFonts w:ascii="Times New Roman" w:hAnsi="Times New Roman"/>
                <w:szCs w:val="22"/>
                <w:lang w:val="en-GB"/>
              </w:rPr>
              <w:t>m[</w:t>
            </w:r>
            <w:proofErr w:type="spellStart"/>
            <w:r w:rsidRPr="00571387">
              <w:rPr>
                <w:rFonts w:ascii="Times New Roman" w:hAnsi="Times New Roman"/>
                <w:szCs w:val="22"/>
                <w:lang w:val="en-GB"/>
              </w:rPr>
              <w:t>sd</w:t>
            </w:r>
            <w:proofErr w:type="spellEnd"/>
            <w:r w:rsidRPr="00571387">
              <w:rPr>
                <w:rFonts w:ascii="Times New Roman" w:hAnsi="Times New Roman"/>
                <w:szCs w:val="22"/>
                <w:lang w:val="en-GB"/>
              </w:rPr>
              <w:t>] / N(%)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p value</w:t>
            </w: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Group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HF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254 (47.04)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99 (60.74)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/>
                <w:bCs/>
                <w:szCs w:val="22"/>
                <w:lang w:val="en-GB"/>
              </w:rPr>
              <w:t>0.002</w:t>
            </w: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TAU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286 (52.96)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64 (39.26)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Diagnostic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631B10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Schizophrenia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370 (68.52)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117 (71.78)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0.429</w:t>
            </w: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631B10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Bipolar disorder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170 (31.48)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46 (28.22)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Site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Lille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152 (28.15)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33 (20.25)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/>
                <w:bCs/>
                <w:szCs w:val="22"/>
                <w:lang w:val="en-GB"/>
              </w:rPr>
              <w:t>&lt; 0.001</w:t>
            </w: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Marseille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127 (23.52)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72 (44.17)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Paris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89 (16.48)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30 (18.4)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 xml:space="preserve">Toulouse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172 (31.85)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28 (17.18)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Gender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Men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451 (83.52)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129 (79.14)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0.197</w:t>
            </w: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Women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89 (16.48)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34 (20.86)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Age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38.59 [9.88]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39.34 [10.33]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0.409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Age when first homeless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24.93 [10.91]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25.24 [11.24]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0.774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9B2D98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color w:val="1A171C"/>
                <w:szCs w:val="22"/>
                <w:lang w:val="en-GB"/>
              </w:rPr>
              <w:t xml:space="preserve">Lifetime duration of </w:t>
            </w:r>
            <w:r w:rsidR="009B2D98" w:rsidRPr="00571387">
              <w:rPr>
                <w:rFonts w:ascii="Times New Roman" w:hAnsi="Times New Roman"/>
                <w:color w:val="1A171C"/>
                <w:szCs w:val="22"/>
                <w:lang w:val="en-GB"/>
              </w:rPr>
              <w:t xml:space="preserve">homelessness, </w:t>
            </w:r>
            <w:r w:rsidRPr="00571387">
              <w:rPr>
                <w:rFonts w:ascii="Times New Roman" w:hAnsi="Times New Roman"/>
                <w:color w:val="1A171C"/>
                <w:szCs w:val="22"/>
                <w:lang w:val="en-GB"/>
              </w:rPr>
              <w:t>months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100.60 [90.32]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111.24 [105.82]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0.264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631B10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Number of days spent homeless 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53.80 [68.63]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54.17 [68.17]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0.952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color w:val="000000"/>
                <w:szCs w:val="22"/>
                <w:lang w:val="en-GB"/>
              </w:rPr>
              <w:t>Number of days spent in independent housing 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6.99 [28.14]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6.70 [27.31]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0.909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color w:val="000000"/>
                <w:szCs w:val="22"/>
                <w:lang w:val="en-GB"/>
              </w:rPr>
              <w:t>Number of days spent in transitional accom</w:t>
            </w:r>
            <w:r w:rsidR="009B2D98" w:rsidRPr="00571387">
              <w:rPr>
                <w:rFonts w:ascii="Times New Roman" w:hAnsi="Times New Roman"/>
                <w:color w:val="000000"/>
                <w:szCs w:val="22"/>
                <w:lang w:val="en-GB"/>
              </w:rPr>
              <w:t>m</w:t>
            </w:r>
            <w:r w:rsidRPr="00571387">
              <w:rPr>
                <w:rFonts w:ascii="Times New Roman" w:hAnsi="Times New Roman"/>
                <w:color w:val="000000"/>
                <w:szCs w:val="22"/>
                <w:lang w:val="en-GB"/>
              </w:rPr>
              <w:t>odations**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11.51 [36.92]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6.68 [26.74]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0.073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color w:val="000000"/>
                <w:szCs w:val="22"/>
                <w:lang w:val="en-GB"/>
              </w:rPr>
              <w:t>Number of days spent in long-term residential structures 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0.83 [8.04]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2.77 [18.52]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0.198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Number of days spent in </w:t>
            </w:r>
            <w:proofErr w:type="spellStart"/>
            <w:r w:rsidRPr="00571387">
              <w:rPr>
                <w:rFonts w:ascii="Times New Roman" w:hAnsi="Times New Roman"/>
                <w:color w:val="000000"/>
                <w:szCs w:val="22"/>
                <w:lang w:val="en-GB"/>
              </w:rPr>
              <w:t>rmedical</w:t>
            </w:r>
            <w:proofErr w:type="spellEnd"/>
            <w:r w:rsidRPr="00571387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and residential structures 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2.17 [13.08]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3.35 [17.68]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0.437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color w:val="000000"/>
                <w:szCs w:val="22"/>
                <w:lang w:val="en-GB"/>
              </w:rPr>
              <w:t>Number of days spent at hospital 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18.40 [35.37]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14.41 [29.30]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0.155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color w:val="000000"/>
                <w:szCs w:val="22"/>
                <w:lang w:val="en-GB"/>
              </w:rPr>
              <w:t>Number of days spent  i</w:t>
            </w:r>
            <w:r w:rsidRPr="00571387">
              <w:rPr>
                <w:rFonts w:ascii="Times New Roman" w:hAnsi="Times New Roman"/>
                <w:szCs w:val="22"/>
                <w:lang w:val="en-GB"/>
              </w:rPr>
              <w:t>n prison 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13.56 [41.89]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7.75 [30.82]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0.059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RAS</w:t>
            </w:r>
            <w:r w:rsidR="009B2D98" w:rsidRPr="00571387">
              <w:rPr>
                <w:rFonts w:ascii="Times New Roman" w:hAnsi="Times New Roman"/>
                <w:szCs w:val="22"/>
                <w:lang w:val="en-GB"/>
              </w:rPr>
              <w:t xml:space="preserve"> Index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64.14 [15.65]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61.53 [15.77]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0.067</w:t>
            </w:r>
          </w:p>
        </w:tc>
      </w:tr>
      <w:tr w:rsidR="00AA237F" w:rsidRPr="00571387" w:rsidTr="00AC67FF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A237F" w:rsidRPr="00571387" w:rsidRDefault="00AA237F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S-</w:t>
            </w:r>
            <w:proofErr w:type="spellStart"/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QoL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A237F" w:rsidRPr="00571387" w:rsidRDefault="00AA237F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48.35 [16.89]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A237F" w:rsidRPr="00571387" w:rsidRDefault="00AA237F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44.87 [18.88]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A237F" w:rsidRPr="00571387" w:rsidRDefault="00AA237F" w:rsidP="00631B10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bCs/>
                <w:szCs w:val="22"/>
                <w:lang w:val="en-GB"/>
              </w:rPr>
              <w:t>0.050</w:t>
            </w:r>
          </w:p>
        </w:tc>
      </w:tr>
      <w:tr w:rsidR="00631B10" w:rsidRPr="00571387" w:rsidTr="00631B10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MCSI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20.93 [11.28]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22.71 [12.06]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0.100</w:t>
            </w:r>
          </w:p>
        </w:tc>
      </w:tr>
      <w:tr w:rsidR="00AA237F" w:rsidRPr="00571387" w:rsidTr="00AC67FF">
        <w:trPr>
          <w:trHeight w:val="2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A237F" w:rsidRPr="00571387" w:rsidRDefault="00AA237F" w:rsidP="00AA237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proofErr w:type="spellStart"/>
            <w:r w:rsidRPr="00571387">
              <w:rPr>
                <w:rFonts w:ascii="Times New Roman" w:hAnsi="Times New Roman"/>
                <w:szCs w:val="22"/>
                <w:lang w:val="en-GB"/>
              </w:rPr>
              <w:t>Score_AUDIT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A237F" w:rsidRPr="00571387" w:rsidRDefault="00AA237F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11.83 [12.20]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A237F" w:rsidRPr="00571387" w:rsidRDefault="00AA237F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10.81 [11.55]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A237F" w:rsidRPr="00571387" w:rsidRDefault="00AA237F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0.547</w:t>
            </w: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631B10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 xml:space="preserve">Substances </w:t>
            </w:r>
            <w:proofErr w:type="spellStart"/>
            <w:r w:rsidRPr="00571387">
              <w:rPr>
                <w:rFonts w:ascii="Times New Roman" w:hAnsi="Times New Roman"/>
                <w:szCs w:val="22"/>
                <w:lang w:val="en-GB"/>
              </w:rPr>
              <w:t>dependance</w:t>
            </w:r>
            <w:proofErr w:type="spellEnd"/>
            <w:r w:rsidRPr="00571387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631B10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No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285 (53.47)</w:t>
            </w:r>
          </w:p>
        </w:tc>
        <w:tc>
          <w:tcPr>
            <w:tcW w:w="21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88 (54.32)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0.849</w:t>
            </w:r>
          </w:p>
        </w:tc>
      </w:tr>
      <w:tr w:rsidR="00631B10" w:rsidRPr="00571387" w:rsidTr="00631B10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248 (46.53)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  <w:r w:rsidRPr="00571387">
              <w:rPr>
                <w:rFonts w:ascii="Times New Roman" w:hAnsi="Times New Roman"/>
                <w:szCs w:val="22"/>
                <w:lang w:val="en-GB"/>
              </w:rPr>
              <w:t>74 (45.68)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31B10" w:rsidRPr="00571387" w:rsidRDefault="00631B10" w:rsidP="00AC67FF">
            <w:pPr>
              <w:pStyle w:val="Housingcorpsdetexte"/>
              <w:ind w:left="36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:rsidR="00631B10" w:rsidRPr="00571387" w:rsidRDefault="00631B10" w:rsidP="00631B10">
      <w:pPr>
        <w:pStyle w:val="Housingcorpsdetexte"/>
        <w:tabs>
          <w:tab w:val="clear" w:pos="0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631B10" w:rsidRPr="00571387" w:rsidRDefault="00623E60">
      <w:pPr>
        <w:rPr>
          <w:rFonts w:ascii="Times New Roman" w:hAnsi="Times New Roman"/>
          <w:i/>
          <w:lang w:val="en-US"/>
        </w:rPr>
      </w:pPr>
      <w:r w:rsidRPr="00571387">
        <w:rPr>
          <w:rFonts w:ascii="Times New Roman" w:hAnsi="Times New Roman"/>
          <w:i/>
          <w:lang w:val="en-US"/>
        </w:rPr>
        <w:t>**over the last 6 months</w:t>
      </w:r>
    </w:p>
    <w:p w:rsidR="0094294A" w:rsidRPr="00571387" w:rsidRDefault="0094294A" w:rsidP="0094294A">
      <w:pPr>
        <w:rPr>
          <w:rFonts w:ascii="Times New Roman" w:eastAsia="Times New Roman" w:hAnsi="Times New Roman" w:cs="Times New Roman"/>
          <w:color w:val="1A171C"/>
          <w:sz w:val="22"/>
          <w:szCs w:val="22"/>
          <w:lang w:val="en-GB"/>
        </w:rPr>
      </w:pPr>
      <w:r w:rsidRPr="00571387">
        <w:rPr>
          <w:rFonts w:ascii="Times New Roman" w:eastAsia="Times New Roman" w:hAnsi="Times New Roman" w:cs="Times New Roman"/>
          <w:color w:val="1A171C"/>
          <w:sz w:val="22"/>
          <w:szCs w:val="22"/>
          <w:lang w:val="en-GB"/>
        </w:rPr>
        <w:t>RAS: Recovery assessment scale; MCSI: Modified Colorado symptom index; SF-36: Medical Outcomes Study 36-item Short Form Health Survey; PCS: Physical composite score; MCS: Mental composite score; S-</w:t>
      </w:r>
      <w:proofErr w:type="spellStart"/>
      <w:r w:rsidRPr="00571387">
        <w:rPr>
          <w:rFonts w:ascii="Times New Roman" w:eastAsia="Times New Roman" w:hAnsi="Times New Roman" w:cs="Times New Roman"/>
          <w:color w:val="1A171C"/>
          <w:sz w:val="22"/>
          <w:szCs w:val="22"/>
          <w:lang w:val="en-GB"/>
        </w:rPr>
        <w:t>QoL</w:t>
      </w:r>
      <w:proofErr w:type="spellEnd"/>
      <w:r w:rsidRPr="00571387">
        <w:rPr>
          <w:rFonts w:ascii="Times New Roman" w:eastAsia="Times New Roman" w:hAnsi="Times New Roman" w:cs="Times New Roman"/>
          <w:color w:val="1A171C"/>
          <w:sz w:val="22"/>
          <w:szCs w:val="22"/>
          <w:lang w:val="en-GB"/>
        </w:rPr>
        <w:t>: Subjective Quality of Life Questionnaire; AUDIT: Alcohol Use Disorders Identification Test.</w:t>
      </w:r>
    </w:p>
    <w:p w:rsidR="0094294A" w:rsidRPr="00571387" w:rsidRDefault="0094294A">
      <w:pPr>
        <w:rPr>
          <w:lang w:val="en-GB"/>
        </w:rPr>
      </w:pPr>
    </w:p>
    <w:p w:rsidR="006F2A80" w:rsidRPr="00571387" w:rsidRDefault="006F2A80">
      <w:pPr>
        <w:rPr>
          <w:lang w:val="en-GB"/>
        </w:rPr>
        <w:sectPr w:rsidR="006F2A80" w:rsidRPr="005713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A80" w:rsidRPr="00571387" w:rsidRDefault="006F2A80">
      <w:pPr>
        <w:rPr>
          <w:lang w:val="en-GB"/>
        </w:rPr>
      </w:pPr>
    </w:p>
    <w:p w:rsidR="006F2A80" w:rsidRPr="00571387" w:rsidRDefault="006F2A80">
      <w:pPr>
        <w:rPr>
          <w:lang w:val="en-GB"/>
        </w:rPr>
        <w:sectPr w:rsidR="006F2A80" w:rsidRPr="00571387" w:rsidSect="006F2A8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A80" w:rsidRPr="00571387" w:rsidRDefault="006F2A80">
      <w:pPr>
        <w:rPr>
          <w:lang w:val="en-GB"/>
        </w:rPr>
        <w:sectPr w:rsidR="006F2A80" w:rsidRPr="00571387" w:rsidSect="006F2A8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2A80" w:rsidRPr="00571387" w:rsidRDefault="006F2A80" w:rsidP="006F2A80">
      <w:pPr>
        <w:pStyle w:val="Housingcorpsdetexte"/>
        <w:tabs>
          <w:tab w:val="clear" w:pos="0"/>
        </w:tabs>
        <w:spacing w:line="360" w:lineRule="auto"/>
        <w:ind w:left="-567"/>
        <w:jc w:val="left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571387">
        <w:rPr>
          <w:rFonts w:ascii="Times New Roman" w:hAnsi="Times New Roman"/>
          <w:i/>
          <w:sz w:val="24"/>
          <w:szCs w:val="24"/>
          <w:lang w:val="en-US"/>
        </w:rPr>
        <w:t>eTable</w:t>
      </w:r>
      <w:proofErr w:type="spellEnd"/>
      <w:proofErr w:type="gramEnd"/>
      <w:r w:rsidRPr="0057138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85A6F" w:rsidRPr="00571387">
        <w:rPr>
          <w:rFonts w:ascii="Times New Roman" w:hAnsi="Times New Roman"/>
          <w:i/>
          <w:sz w:val="24"/>
          <w:szCs w:val="24"/>
          <w:lang w:val="en-US"/>
        </w:rPr>
        <w:t>3</w:t>
      </w:r>
      <w:r w:rsidRPr="00571387">
        <w:rPr>
          <w:rFonts w:ascii="Times New Roman" w:hAnsi="Times New Roman"/>
          <w:i/>
          <w:sz w:val="24"/>
          <w:szCs w:val="24"/>
          <w:lang w:val="en-US"/>
        </w:rPr>
        <w:t>.</w:t>
      </w:r>
      <w:r w:rsidRPr="00571387">
        <w:rPr>
          <w:rFonts w:ascii="Times New Roman" w:hAnsi="Times New Roman"/>
          <w:i/>
          <w:iCs/>
          <w:color w:val="000000"/>
          <w:kern w:val="24"/>
          <w:lang w:val="en-US"/>
        </w:rPr>
        <w:t>Comparison and evolution of measures between the two groups, M6 to M48.</w:t>
      </w:r>
    </w:p>
    <w:tbl>
      <w:tblPr>
        <w:tblW w:w="15238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779"/>
        <w:gridCol w:w="1661"/>
        <w:gridCol w:w="1618"/>
        <w:gridCol w:w="406"/>
        <w:gridCol w:w="1567"/>
        <w:gridCol w:w="1578"/>
        <w:gridCol w:w="434"/>
        <w:gridCol w:w="1578"/>
        <w:gridCol w:w="1578"/>
        <w:gridCol w:w="353"/>
      </w:tblGrid>
      <w:tr w:rsidR="006F2A80" w:rsidRPr="00571387" w:rsidTr="00AC67FF">
        <w:trPr>
          <w:trHeight w:val="290"/>
        </w:trPr>
        <w:tc>
          <w:tcPr>
            <w:tcW w:w="446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Measures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M6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M12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M18</w:t>
            </w: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HF (N=282)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TAU (N=225)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HF (N=265)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TAU (N=225)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HF (N=244)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TAU (N=169)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584"/>
        </w:trPr>
        <w:tc>
          <w:tcPr>
            <w:tcW w:w="4465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p</w:t>
            </w:r>
          </w:p>
        </w:tc>
        <w:tc>
          <w:tcPr>
            <w:tcW w:w="1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p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 p</w:t>
            </w: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66.25 [14.75]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61.37 [18.71]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66.74 [15.57]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63.94 [18.78]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66.12 [15.23]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65.59 [16.71]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ind w:left="-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Personal Confidence and Hope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67.90 [16.39]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63.08 [18.77]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68.45 [17.96]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65.10 [19.74]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67.91 [16.75]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68.35 [16.15]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ind w:left="-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Willingness to Ask for Help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63.71 [26.41]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60.22 [27.41]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64.09 [23.72]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62.60 [25.74]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65.27 [24.04]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61.50 [26.40]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ind w:left="-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Goal and </w:t>
            </w: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Success Orientation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76.34 [18.31]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72.12 [19.71]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75.22 [18.88]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75.00 [18.77]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73.84 [20.98]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75.52 [17.84]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ind w:left="-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Reliance on Others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70.24 [20.79]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60.02 [26.25]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69.89 [20.91]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64.10 [24.20]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69.19 [20.85]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65.61 [22.36]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ind w:left="-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Not Dominated by Symptoms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53.24 [28.53]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54.47 [26.70]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57.10 [27.29]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54.71 [27.31]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55.92 [26.73]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58.45 [26.55]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Number of days spent in independent housing **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126.54 [56.24]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15.2 [38.98]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144.11 [56.52]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34.40 [65.51]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146.58 [55.26]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41.45 [70.17]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Number of days spent at hospital **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10.43 [26.35]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24.76 [47.03]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8.89 [24.6]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16.75 [38.42]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9.46 [28.28]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20.97 [48.96]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Number of emergency department visits **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0.52 [0.95]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0.71 [1.69]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0.65 [1.39]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0.69 [1.47]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0.57 [1.66]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0.42 [0.92]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2A80" w:rsidRPr="00571387" w:rsidRDefault="006F2A80" w:rsidP="00AC67F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S-QOL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family relationships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44.22 [30.97]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37.08 [31.16]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43.67 [31.32]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38.92 [33.68]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44.31 [31.17]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40.12 [32.58]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relationships with friends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50.52 [29.37]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42.66 [28.47]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49.73 [28.58]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47.48 [30.22]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50.42 [29.36]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46.22 [29.45]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resilience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58.69 [22.89]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55.16 [25.41]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60.53 [23.39]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57.26 [26.10]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61.46 [23.44]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58.58 [25.2]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physical well-being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52.59 [26.13]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47.57 [27.75]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54.13 [26.96]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50.74 [28.20]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54.67 [25.07]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52.60 [25.47]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autonomy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64.97 [23.71]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57.23 [28.89]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66.2 [22.74]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59.39 [27.43]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69.65 [18.41]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61.20 [27.53]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sentimental life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40.02 [28.46]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37.43 [28.76]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39.47 [30.19]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34.59 [29.35]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44.05 [30.47]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37.16 [30.48]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MCS-SF36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39.39 [11.41]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37.96 [12.56]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40.83 [11.44]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39.43 [11.54]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40.44 [11.11]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42.45 [10.82]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PCS-SF36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51.06 [10.27]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49.79 [10.93]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50.03 [10.08]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49.98 [10.23]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51.37 [9.28]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49.82 [9.47]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MCSI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19.12 [14.13]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21.5 [14.67]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15.75 [10.67]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19.03 [12.71]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15.14 [10.76]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15.72 [11.85]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91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Score AUDIT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11.99 [11.71]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10.17 [10.54]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Substances </w:t>
            </w:r>
            <w:proofErr w:type="spellStart"/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dependance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149 (60.08)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156 (72.56)</w:t>
            </w:r>
          </w:p>
        </w:tc>
        <w:tc>
          <w:tcPr>
            <w:tcW w:w="43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99 (39.92)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59 (27.44)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F2A80" w:rsidRPr="00571387" w:rsidRDefault="006F2A80" w:rsidP="006F2A80">
      <w:pPr>
        <w:pStyle w:val="Housingcorpsdetexte"/>
        <w:tabs>
          <w:tab w:val="clear" w:pos="0"/>
        </w:tabs>
        <w:spacing w:line="360" w:lineRule="auto"/>
        <w:ind w:left="-567"/>
        <w:rPr>
          <w:rFonts w:ascii="Times New Roman" w:hAnsi="Times New Roman"/>
          <w:i/>
          <w:sz w:val="24"/>
          <w:szCs w:val="24"/>
          <w:lang w:val="en-US"/>
        </w:rPr>
      </w:pPr>
      <w:r w:rsidRPr="00571387">
        <w:rPr>
          <w:rFonts w:ascii="Times New Roman" w:hAnsi="Times New Roman"/>
          <w:i/>
          <w:sz w:val="24"/>
          <w:szCs w:val="24"/>
          <w:lang w:val="en-US"/>
        </w:rPr>
        <w:t>*p value &lt; 0.05; **over the last 6 months</w:t>
      </w:r>
    </w:p>
    <w:p w:rsidR="006F2A80" w:rsidRPr="00571387" w:rsidRDefault="006F2A80" w:rsidP="006F2A80">
      <w:pPr>
        <w:pStyle w:val="Housingcorpsdetexte"/>
        <w:tabs>
          <w:tab w:val="clear" w:pos="0"/>
        </w:tabs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6F2A80" w:rsidRPr="00571387" w:rsidRDefault="006F2A80" w:rsidP="006F2A80">
      <w:pPr>
        <w:pStyle w:val="Housingcorpsdetexte"/>
        <w:tabs>
          <w:tab w:val="clear" w:pos="0"/>
        </w:tabs>
        <w:spacing w:line="360" w:lineRule="auto"/>
        <w:ind w:left="-567"/>
        <w:jc w:val="left"/>
        <w:rPr>
          <w:rFonts w:ascii="Times New Roman" w:hAnsi="Times New Roman"/>
          <w:i/>
          <w:sz w:val="24"/>
          <w:szCs w:val="24"/>
          <w:lang w:val="en-US"/>
        </w:rPr>
      </w:pPr>
    </w:p>
    <w:p w:rsidR="006F2A80" w:rsidRPr="00571387" w:rsidRDefault="006F2A80" w:rsidP="006F2A80">
      <w:pPr>
        <w:pStyle w:val="Housingcorpsdetexte"/>
        <w:tabs>
          <w:tab w:val="clear" w:pos="0"/>
        </w:tabs>
        <w:spacing w:line="360" w:lineRule="auto"/>
        <w:ind w:left="-567"/>
        <w:jc w:val="left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571387">
        <w:rPr>
          <w:rFonts w:ascii="Times New Roman" w:hAnsi="Times New Roman"/>
          <w:i/>
          <w:sz w:val="24"/>
          <w:szCs w:val="24"/>
          <w:lang w:val="en-US"/>
        </w:rPr>
        <w:t>eTable</w:t>
      </w:r>
      <w:proofErr w:type="spellEnd"/>
      <w:proofErr w:type="gramEnd"/>
      <w:r w:rsidRPr="0057138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85A6F" w:rsidRPr="00571387">
        <w:rPr>
          <w:rFonts w:ascii="Times New Roman" w:hAnsi="Times New Roman"/>
          <w:i/>
          <w:sz w:val="24"/>
          <w:szCs w:val="24"/>
          <w:lang w:val="en-US"/>
        </w:rPr>
        <w:t>3</w:t>
      </w:r>
      <w:r w:rsidRPr="00571387">
        <w:rPr>
          <w:rFonts w:ascii="Times New Roman" w:hAnsi="Times New Roman"/>
          <w:i/>
          <w:sz w:val="24"/>
          <w:szCs w:val="24"/>
          <w:lang w:val="en-US"/>
        </w:rPr>
        <w:t>.</w:t>
      </w:r>
      <w:r w:rsidRPr="00571387">
        <w:rPr>
          <w:rFonts w:ascii="Times New Roman" w:hAnsi="Times New Roman"/>
          <w:i/>
          <w:iCs/>
          <w:color w:val="000000"/>
          <w:kern w:val="24"/>
          <w:lang w:val="en-US"/>
        </w:rPr>
        <w:t>Comparison and evolution of measures between the two group,  M6 to M48  (Suite)</w:t>
      </w:r>
    </w:p>
    <w:tbl>
      <w:tblPr>
        <w:tblW w:w="15663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851"/>
        <w:gridCol w:w="2056"/>
        <w:gridCol w:w="1701"/>
        <w:gridCol w:w="353"/>
        <w:gridCol w:w="1510"/>
        <w:gridCol w:w="1681"/>
        <w:gridCol w:w="353"/>
        <w:gridCol w:w="1701"/>
        <w:gridCol w:w="1559"/>
        <w:gridCol w:w="284"/>
      </w:tblGrid>
      <w:tr w:rsidR="006F2A80" w:rsidRPr="00571387" w:rsidTr="00AC67FF">
        <w:trPr>
          <w:trHeight w:val="153"/>
        </w:trPr>
        <w:tc>
          <w:tcPr>
            <w:tcW w:w="4465" w:type="dxa"/>
            <w:gridSpan w:val="2"/>
            <w:vMerge w:val="restart"/>
            <w:tcBorders>
              <w:top w:val="single" w:sz="4" w:space="0" w:color="auto"/>
              <w:left w:val="nil"/>
              <w:right w:val="dashSmallGap" w:sz="4" w:space="0" w:color="5B9BD5" w:themeColor="accent1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Measures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dashSmallGap" w:sz="4" w:space="0" w:color="5B9BD5" w:themeColor="accent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M24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M36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M48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HF (N=255)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TAU (N=197)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HF (N=141)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TAU (N=88)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HF (N=98)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TAU (N=54)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5713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m[</w:t>
            </w:r>
            <w:proofErr w:type="spellStart"/>
            <w:proofErr w:type="gram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sd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] / N(%)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p</w:t>
            </w: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RAS Index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69.44 [14.85]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67.49 [17.25]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67.92 [15.47]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71.47 [13.27]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70.47 [15.96]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71.72 [13.91]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ind w:left="-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Personal Confidence and Hope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68.85 [16.84]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68.58 [19.48]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68.09 [17.00]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71.09 [14.99]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70.68 [16.94]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73.41 [14.28]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374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ind w:left="-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Willingness to Ask for Help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70.73 [21.75]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67.18 [24.37]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69.51 [23.27]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73.21 [19.66]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74.44 [20.62]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75.44 [22.64]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ind w:left="-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Goal and </w:t>
            </w: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Success Orientation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77.33 [18.75]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77.15 [17.46]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74.27 [20.35]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77.17 [15.08]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76.56 [21.6]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79.10 [18.94]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ind w:left="-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Reliance on Others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70.47 [19.49]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67.10 [22.37]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73.42 [19.69]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71.84 [21.46]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69.42 [21.81]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70.83 [20.93]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ind w:left="-7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Not Dominated by Symptoms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60.52 [25.77]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60.05 [26.13]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55.26 [25.56]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64.11 [23.41]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62.81 [27.3]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61.33 [28.71]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Number of days spent in independent housing **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142.09 [61.44]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46.91 [75.02]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152.82 [55.86]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62.14 [81.91]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147.08 [67.49]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61.50 [84.06]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6F2A80" w:rsidRPr="00571387" w:rsidTr="00AC67FF">
        <w:trPr>
          <w:trHeight w:val="278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Number of days spent at hospital **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8.67 [24.20]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18.84 [47.65]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4.77 [16.13]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12.06 [41.41]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5.87 [18.98]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5.30 [27.15]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28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Number of emergency department visits **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0.48 [1.03]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0.54 [1.37]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4.62 [9.34]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2.33 [1.72]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3.79 [4.93]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3.40 [3.71]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S-</w:t>
            </w:r>
            <w:proofErr w:type="spellStart"/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QoL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54.70 [15.88]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53.27 [18.62]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54.07 [15.68]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54.02 [15.81]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55.90 [15.99]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58.07 [10.23]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1A171C"/>
                <w:sz w:val="22"/>
                <w:szCs w:val="22"/>
                <w:lang w:val="en-GB"/>
              </w:rPr>
              <w:t>psychological</w:t>
            </w: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well-being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70.97 [24.49]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67.62 [28.63]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60.65 [25.36]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68.24 [20.69]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63.47 [24.86]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73.98 [21.49]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self-esteem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57.62 [23.98]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58.11 [23.70]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57.92 [24.91]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57.29 [23.14]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54.35 [23.77]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63.64 [17.06]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family relationships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44.24 [31.83]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42.42 [33.61]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45.69 [33.10]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48.92 [33.32]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46.52 [32.15]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49.49 [30.19]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relationships with friends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49.36 [28.50]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46.40 [29.53]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48.26 [29.00]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45.73 [30.48]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50.61 [27.70]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53.13 [28.64]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resilience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59.33 [23.55]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59.98 [24.18]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61.73 [23.73]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63.00 [18.44]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59.42 [23.31]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63.11 [14.64]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physical well-being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53.21 [25.48]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54.61 [26.04]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52.54 [26.78]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53.57 [24.89]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55.06 [25.75]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58.64 [18.92]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autonomy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68.55 [19.78]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62.87 [26.31]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67.69 [21.04]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59.38 [24.76]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65.31 [20.45]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66.36 [17.16]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23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7138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sentimental life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37.84 [29.26]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39.22 [30.89]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43.33 [30.05]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37.97 [29.60]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46.34 [26.53]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35.54 [27.31]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MCS-SF36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40.55 [11.20]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43.36 [10.91]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41.42 [9.81]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46.01 [8.67]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PCS-SF36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50.75 [9.91]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50.45 [9.25]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49.44 [7.86]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53.65 [6.48]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6F2A80" w:rsidRPr="00571387" w:rsidTr="00AC67FF">
        <w:trPr>
          <w:trHeight w:val="153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MCSI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15.48 [10.83]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16.10 [14.06]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15.18 [10.38]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13.13 [9.98]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15.28 [10.55]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13.68 [10.83]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3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Score AUDIT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13.09 [11.63]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9.80 [10.14]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12.93 [9.51]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8.06 [7.16]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11.74 [10.17]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9.84 [9.89]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36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Substances </w:t>
            </w:r>
            <w:proofErr w:type="spellStart"/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>dependance</w:t>
            </w:r>
            <w:proofErr w:type="spellEnd"/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149 (67.12)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132 (75.86)</w:t>
            </w: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73 (58.87)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56 (74.67)</w:t>
            </w: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 (63.95)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 (78.18)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F2A80" w:rsidRPr="00571387" w:rsidTr="00AC67FF">
        <w:trPr>
          <w:trHeight w:val="153"/>
        </w:trPr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73 (32.88)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sz w:val="22"/>
                <w:szCs w:val="22"/>
              </w:rPr>
              <w:t>42 (24.14)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51 (41.13)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 (25.33)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A80" w:rsidRPr="00571387" w:rsidRDefault="006F2A80" w:rsidP="00AC67F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 (36.05)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13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(21.82)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A80" w:rsidRPr="00571387" w:rsidRDefault="006F2A80" w:rsidP="00AC6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6F2A80" w:rsidRPr="00571387" w:rsidRDefault="006F2A80" w:rsidP="006F2A80">
      <w:pPr>
        <w:rPr>
          <w:rFonts w:ascii="Times New Roman" w:hAnsi="Times New Roman"/>
          <w:i/>
          <w:lang w:val="en-US"/>
        </w:rPr>
      </w:pPr>
      <w:r w:rsidRPr="00571387">
        <w:rPr>
          <w:rFonts w:ascii="Times New Roman" w:hAnsi="Times New Roman"/>
          <w:i/>
          <w:lang w:val="en-US"/>
        </w:rPr>
        <w:t>*p value &lt; 0.05; **over the last 6 months</w:t>
      </w:r>
    </w:p>
    <w:p w:rsidR="006F2A80" w:rsidRPr="00CB091C" w:rsidRDefault="006F2A80" w:rsidP="006F2A80">
      <w:pPr>
        <w:rPr>
          <w:rFonts w:ascii="Times New Roman" w:eastAsia="Times New Roman" w:hAnsi="Times New Roman" w:cs="Times New Roman"/>
          <w:color w:val="1A171C"/>
          <w:sz w:val="22"/>
          <w:szCs w:val="22"/>
          <w:lang w:val="en-GB"/>
        </w:rPr>
      </w:pPr>
      <w:r w:rsidRPr="00571387">
        <w:rPr>
          <w:rFonts w:ascii="Times New Roman" w:eastAsia="Times New Roman" w:hAnsi="Times New Roman" w:cs="Times New Roman"/>
          <w:color w:val="1A171C"/>
          <w:sz w:val="22"/>
          <w:szCs w:val="22"/>
          <w:lang w:val="en-GB"/>
        </w:rPr>
        <w:t>RAS: Recovery assessment scale; MCSI: Modified Colorado symptom index; SF-36: Medical Outcomes Study 36-item Short Form Health Survey; PCS: Physical composite score; MCS: Mental composite score; S-</w:t>
      </w:r>
      <w:proofErr w:type="spellStart"/>
      <w:r w:rsidRPr="00571387">
        <w:rPr>
          <w:rFonts w:ascii="Times New Roman" w:eastAsia="Times New Roman" w:hAnsi="Times New Roman" w:cs="Times New Roman"/>
          <w:color w:val="1A171C"/>
          <w:sz w:val="22"/>
          <w:szCs w:val="22"/>
          <w:lang w:val="en-GB"/>
        </w:rPr>
        <w:t>QoL</w:t>
      </w:r>
      <w:proofErr w:type="spellEnd"/>
      <w:r w:rsidRPr="00571387">
        <w:rPr>
          <w:rFonts w:ascii="Times New Roman" w:eastAsia="Times New Roman" w:hAnsi="Times New Roman" w:cs="Times New Roman"/>
          <w:color w:val="1A171C"/>
          <w:sz w:val="22"/>
          <w:szCs w:val="22"/>
          <w:lang w:val="en-GB"/>
        </w:rPr>
        <w:t>: Subjective Quality of Life Questionnaire; AUDIT: Alcohol Use Disorders Identification Test.</w:t>
      </w:r>
      <w:bookmarkStart w:id="0" w:name="_GoBack"/>
      <w:bookmarkEnd w:id="0"/>
    </w:p>
    <w:p w:rsidR="006F2A80" w:rsidRPr="0094294A" w:rsidRDefault="006F2A80">
      <w:pPr>
        <w:rPr>
          <w:lang w:val="en-GB"/>
        </w:rPr>
      </w:pPr>
    </w:p>
    <w:sectPr w:rsidR="006F2A80" w:rsidRPr="0094294A" w:rsidSect="006F2A80">
      <w:type w:val="evenPage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10"/>
    <w:rsid w:val="00437340"/>
    <w:rsid w:val="00485A6F"/>
    <w:rsid w:val="00510C8F"/>
    <w:rsid w:val="00571387"/>
    <w:rsid w:val="00623E60"/>
    <w:rsid w:val="00631B10"/>
    <w:rsid w:val="006F2A80"/>
    <w:rsid w:val="00780FF8"/>
    <w:rsid w:val="0094294A"/>
    <w:rsid w:val="009B2D98"/>
    <w:rsid w:val="00AA237F"/>
    <w:rsid w:val="00AC67FF"/>
    <w:rsid w:val="00B80274"/>
    <w:rsid w:val="00E3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10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ousingcorpsdetexte">
    <w:name w:val="Housing corps de texte"/>
    <w:basedOn w:val="Normal"/>
    <w:rsid w:val="00631B10"/>
    <w:pPr>
      <w:widowControl w:val="0"/>
      <w:tabs>
        <w:tab w:val="left" w:pos="0"/>
        <w:tab w:val="left" w:pos="426"/>
        <w:tab w:val="left" w:pos="709"/>
        <w:tab w:val="left" w:pos="864"/>
        <w:tab w:val="left" w:pos="1069"/>
        <w:tab w:val="left" w:pos="1276"/>
        <w:tab w:val="left" w:pos="1701"/>
      </w:tabs>
      <w:autoSpaceDE w:val="0"/>
      <w:autoSpaceDN w:val="0"/>
      <w:adjustRightInd w:val="0"/>
      <w:jc w:val="both"/>
    </w:pPr>
    <w:rPr>
      <w:rFonts w:ascii="Tahoma" w:eastAsia="Times New Roman" w:hAnsi="Tahoma" w:cs="Times New Roman"/>
      <w:sz w:val="22"/>
      <w:szCs w:val="20"/>
    </w:rPr>
  </w:style>
  <w:style w:type="table" w:styleId="Grilledutableau">
    <w:name w:val="Table Grid"/>
    <w:basedOn w:val="TableauNormal"/>
    <w:uiPriority w:val="59"/>
    <w:rsid w:val="00485A6F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A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Numrodeligne">
    <w:name w:val="line number"/>
    <w:basedOn w:val="Policepardfaut"/>
    <w:uiPriority w:val="99"/>
    <w:semiHidden/>
    <w:unhideWhenUsed/>
    <w:rsid w:val="0048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10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ousingcorpsdetexte">
    <w:name w:val="Housing corps de texte"/>
    <w:basedOn w:val="Normal"/>
    <w:rsid w:val="00631B10"/>
    <w:pPr>
      <w:widowControl w:val="0"/>
      <w:tabs>
        <w:tab w:val="left" w:pos="0"/>
        <w:tab w:val="left" w:pos="426"/>
        <w:tab w:val="left" w:pos="709"/>
        <w:tab w:val="left" w:pos="864"/>
        <w:tab w:val="left" w:pos="1069"/>
        <w:tab w:val="left" w:pos="1276"/>
        <w:tab w:val="left" w:pos="1701"/>
      </w:tabs>
      <w:autoSpaceDE w:val="0"/>
      <w:autoSpaceDN w:val="0"/>
      <w:adjustRightInd w:val="0"/>
      <w:jc w:val="both"/>
    </w:pPr>
    <w:rPr>
      <w:rFonts w:ascii="Tahoma" w:eastAsia="Times New Roman" w:hAnsi="Tahoma" w:cs="Times New Roman"/>
      <w:sz w:val="22"/>
      <w:szCs w:val="20"/>
    </w:rPr>
  </w:style>
  <w:style w:type="table" w:styleId="Grilledutableau">
    <w:name w:val="Table Grid"/>
    <w:basedOn w:val="TableauNormal"/>
    <w:uiPriority w:val="59"/>
    <w:rsid w:val="00485A6F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A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Numrodeligne">
    <w:name w:val="line number"/>
    <w:basedOn w:val="Policepardfaut"/>
    <w:uiPriority w:val="99"/>
    <w:semiHidden/>
    <w:unhideWhenUsed/>
    <w:rsid w:val="0048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2021-11-22T14:55:00Z</dcterms:created>
  <dcterms:modified xsi:type="dcterms:W3CDTF">2021-11-22T14:55:00Z</dcterms:modified>
</cp:coreProperties>
</file>