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2" w:rsidRPr="00B7753A" w:rsidRDefault="00386C82" w:rsidP="00386C82">
      <w:pPr>
        <w:pStyle w:val="Default"/>
        <w:jc w:val="center"/>
        <w:rPr>
          <w:b/>
          <w:bCs/>
          <w:sz w:val="32"/>
          <w:szCs w:val="23"/>
          <w:lang w:val="en-US"/>
        </w:rPr>
      </w:pPr>
      <w:r w:rsidRPr="00B7753A">
        <w:rPr>
          <w:b/>
          <w:bCs/>
          <w:sz w:val="32"/>
          <w:szCs w:val="23"/>
          <w:lang w:val="en-US"/>
        </w:rPr>
        <w:t>Supplementary appendix</w:t>
      </w:r>
    </w:p>
    <w:p w:rsidR="00386C82" w:rsidRPr="00B7753A" w:rsidRDefault="00386C82" w:rsidP="00386C82">
      <w:pPr>
        <w:pStyle w:val="Default"/>
        <w:jc w:val="center"/>
        <w:rPr>
          <w:b/>
          <w:bCs/>
          <w:sz w:val="32"/>
          <w:szCs w:val="23"/>
          <w:lang w:val="en-US"/>
        </w:rPr>
      </w:pPr>
    </w:p>
    <w:p w:rsidR="00386C82" w:rsidRPr="00B7753A" w:rsidRDefault="00386C82" w:rsidP="00386C82">
      <w:pPr>
        <w:pStyle w:val="Default"/>
        <w:jc w:val="center"/>
        <w:rPr>
          <w:sz w:val="32"/>
          <w:szCs w:val="23"/>
          <w:lang w:val="en-US"/>
        </w:rPr>
      </w:pPr>
    </w:p>
    <w:p w:rsidR="00386C82" w:rsidRPr="00FF103B" w:rsidRDefault="00386C82" w:rsidP="00386C82">
      <w:pPr>
        <w:spacing w:after="240" w:line="480" w:lineRule="auto"/>
        <w:jc w:val="center"/>
        <w:rPr>
          <w:rFonts w:ascii="Times New Roman" w:hAnsi="Times New Roman" w:cs="Times New Roman"/>
          <w:b/>
          <w:bCs/>
          <w:sz w:val="32"/>
          <w:szCs w:val="24"/>
          <w:lang w:val="en-GB"/>
        </w:rPr>
      </w:pPr>
      <w:r w:rsidRPr="00FF103B">
        <w:rPr>
          <w:rFonts w:ascii="Times New Roman" w:hAnsi="Times New Roman" w:cs="Times New Roman"/>
          <w:b/>
          <w:bCs/>
          <w:sz w:val="32"/>
          <w:szCs w:val="24"/>
          <w:lang w:val="en-GB"/>
        </w:rPr>
        <w:t xml:space="preserve">Long-term effectiveness of Self-Help Plus in </w:t>
      </w:r>
      <w:r>
        <w:rPr>
          <w:rFonts w:ascii="Times New Roman" w:hAnsi="Times New Roman" w:cs="Times New Roman"/>
          <w:b/>
          <w:bCs/>
          <w:sz w:val="32"/>
          <w:szCs w:val="24"/>
          <w:lang w:val="en-GB"/>
        </w:rPr>
        <w:t xml:space="preserve">refugees and </w:t>
      </w:r>
      <w:r w:rsidRPr="00FF103B">
        <w:rPr>
          <w:rFonts w:ascii="Times New Roman" w:hAnsi="Times New Roman" w:cs="Times New Roman"/>
          <w:b/>
          <w:bCs/>
          <w:sz w:val="32"/>
          <w:szCs w:val="24"/>
          <w:lang w:val="en-GB"/>
        </w:rPr>
        <w:t>asylum seekers resettled in Western Europe</w:t>
      </w:r>
      <w:r>
        <w:rPr>
          <w:rFonts w:ascii="Times New Roman" w:hAnsi="Times New Roman" w:cs="Times New Roman"/>
          <w:b/>
          <w:bCs/>
          <w:sz w:val="32"/>
          <w:szCs w:val="24"/>
          <w:lang w:val="en-GB"/>
        </w:rPr>
        <w:t xml:space="preserve">: 12-month outcomes of a </w:t>
      </w:r>
      <w:r w:rsidRPr="00FF103B">
        <w:rPr>
          <w:rFonts w:ascii="Times New Roman" w:hAnsi="Times New Roman" w:cs="Times New Roman"/>
          <w:b/>
          <w:bCs/>
          <w:sz w:val="32"/>
          <w:szCs w:val="24"/>
          <w:lang w:val="en-GB"/>
        </w:rPr>
        <w:t>randomized controlled trial</w:t>
      </w:r>
    </w:p>
    <w:p w:rsidR="00386C82" w:rsidRDefault="00386C82">
      <w:pPr>
        <w:rPr>
          <w:lang w:val="en-GB"/>
        </w:rPr>
      </w:pPr>
      <w:r>
        <w:rPr>
          <w:lang w:val="en-GB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1338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6C82" w:rsidRPr="00386C82" w:rsidRDefault="00386C82">
          <w:pPr>
            <w:pStyle w:val="Titolosommario"/>
            <w:rPr>
              <w:rFonts w:ascii="Times New Roman" w:hAnsi="Times New Roman" w:cs="Times New Roman"/>
              <w:b/>
              <w:color w:val="auto"/>
              <w:sz w:val="22"/>
            </w:rPr>
          </w:pPr>
          <w:r w:rsidRPr="00386C82">
            <w:rPr>
              <w:rFonts w:ascii="Times New Roman" w:hAnsi="Times New Roman" w:cs="Times New Roman"/>
              <w:b/>
              <w:color w:val="auto"/>
              <w:sz w:val="22"/>
            </w:rPr>
            <w:t>TABLE OF CONTENTS</w:t>
          </w:r>
        </w:p>
        <w:p w:rsidR="00386C82" w:rsidRPr="00386C82" w:rsidRDefault="00386C82" w:rsidP="00386C82">
          <w:pPr>
            <w:rPr>
              <w:lang w:eastAsia="it-IT"/>
            </w:rPr>
          </w:pPr>
        </w:p>
        <w:p w:rsidR="00AE2391" w:rsidRPr="00AE2391" w:rsidRDefault="00386C82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r w:rsidRPr="00386C82">
            <w:rPr>
              <w:rFonts w:ascii="Times New Roman" w:hAnsi="Times New Roman" w:cs="Times New Roman"/>
            </w:rPr>
            <w:fldChar w:fldCharType="begin"/>
          </w:r>
          <w:r w:rsidRPr="00386C82">
            <w:rPr>
              <w:rFonts w:ascii="Times New Roman" w:hAnsi="Times New Roman" w:cs="Times New Roman"/>
            </w:rPr>
            <w:instrText xml:space="preserve"> TOC \o "1-3" \h \z \u </w:instrText>
          </w:r>
          <w:r w:rsidRPr="00386C82">
            <w:rPr>
              <w:rFonts w:ascii="Times New Roman" w:hAnsi="Times New Roman" w:cs="Times New Roman"/>
            </w:rPr>
            <w:fldChar w:fldCharType="separate"/>
          </w:r>
          <w:hyperlink w:anchor="_Toc95487954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Table 1: Balance of 12 months full list of collected socio-demographic and clinical variables at baseline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_Toc95487954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55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Table 2. Per-protocol analysis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_Toc95487955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56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Table 3. Analysis with no imputation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_Toc95487956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57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Table 4. Results controlling for imbalances at baseline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_Toc95487957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58" w:history="1">
            <w:r w:rsidR="00AE2391" w:rsidRPr="00AE2391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Table 5.  Balance of clinical and sociodemographic variables between Lost-to-follow-up (LTFU) and non-LTFU (completers)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_Toc95487958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59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Table 6. Frequency of health service use during the study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_Toc95487959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60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Test of interactions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_Toc95487960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61" w:history="1">
            <w:r w:rsidR="00AE2391" w:rsidRPr="00AE2391">
              <w:rPr>
                <w:rStyle w:val="Collegamentoipertestuale"/>
                <w:rFonts w:ascii="Times New Roman" w:eastAsia="Times New Roman" w:hAnsi="Times New Roman" w:cs="Times New Roman"/>
                <w:b/>
                <w:noProof/>
                <w:lang w:val="en-US"/>
              </w:rPr>
              <w:t>List of adverse events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_Toc95487961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E2391" w:rsidRPr="00AE2391" w:rsidRDefault="004E35E9">
          <w:pPr>
            <w:pStyle w:val="Sommario1"/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95487962" w:history="1">
            <w:r w:rsidR="00AE2391" w:rsidRPr="00AE2391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</w:rPr>
              <w:t>CONSORT 2010 checklist of information to include wh</w:t>
            </w:r>
            <w:r w:rsidR="009246FF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</w:rPr>
              <w:t>en reporting a randomised trial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instrText xml:space="preserve"> PAGEREF _Toc95487962 \h </w:instrTex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AE2391" w:rsidRPr="00AE23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86C82" w:rsidRDefault="00386C82">
          <w:r w:rsidRPr="00386C82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386C82" w:rsidRDefault="00386C82">
      <w:pPr>
        <w:rPr>
          <w:lang w:val="en-GB"/>
        </w:rPr>
      </w:pPr>
    </w:p>
    <w:p w:rsidR="00386C82" w:rsidRDefault="00386C82">
      <w:pPr>
        <w:rPr>
          <w:lang w:val="en-GB"/>
        </w:rPr>
      </w:pPr>
      <w:r>
        <w:rPr>
          <w:lang w:val="en-GB"/>
        </w:rPr>
        <w:br w:type="page"/>
      </w:r>
    </w:p>
    <w:p w:rsidR="00386C82" w:rsidRPr="00CB1206" w:rsidRDefault="00386C82" w:rsidP="00386C82">
      <w:pPr>
        <w:pStyle w:val="Titolo1"/>
        <w:rPr>
          <w:rFonts w:ascii="Times New Roman" w:eastAsia="Times New Roman" w:hAnsi="Times New Roman" w:cs="Times New Roman"/>
          <w:b/>
          <w:color w:val="auto"/>
          <w:sz w:val="22"/>
          <w:lang w:val="en-US"/>
        </w:rPr>
      </w:pPr>
      <w:bookmarkStart w:id="0" w:name="_Toc91163829"/>
      <w:bookmarkStart w:id="1" w:name="_Toc95312215"/>
      <w:bookmarkStart w:id="2" w:name="_Toc95312336"/>
      <w:bookmarkStart w:id="3" w:name="_Toc95312620"/>
      <w:bookmarkStart w:id="4" w:name="_Toc95312717"/>
      <w:bookmarkStart w:id="5" w:name="_Toc95487954"/>
      <w:r w:rsidRPr="00CB1206">
        <w:rPr>
          <w:rFonts w:ascii="Times New Roman" w:eastAsia="Times New Roman" w:hAnsi="Times New Roman" w:cs="Times New Roman"/>
          <w:b/>
          <w:color w:val="auto"/>
          <w:sz w:val="22"/>
          <w:lang w:val="en-US"/>
        </w:rPr>
        <w:lastRenderedPageBreak/>
        <w:t>Table 1: Balance of 12 months full list of collected socio-demographic and clinical variables at baseline</w:t>
      </w:r>
      <w:bookmarkEnd w:id="0"/>
      <w:bookmarkEnd w:id="1"/>
      <w:bookmarkEnd w:id="2"/>
      <w:bookmarkEnd w:id="3"/>
      <w:bookmarkEnd w:id="4"/>
      <w:bookmarkEnd w:id="5"/>
    </w:p>
    <w:p w:rsidR="00386C82" w:rsidRPr="006839BB" w:rsidRDefault="00386C82" w:rsidP="00386C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580"/>
        <w:gridCol w:w="1559"/>
        <w:gridCol w:w="2343"/>
        <w:gridCol w:w="2120"/>
      </w:tblGrid>
      <w:tr w:rsidR="00386C82" w:rsidRPr="006839BB" w:rsidTr="004E35E9">
        <w:trPr>
          <w:trHeight w:val="239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6839BB" w:rsidRDefault="00386C82" w:rsidP="004E35E9">
            <w:pPr>
              <w:spacing w:line="212" w:lineRule="exact"/>
              <w:ind w:left="119"/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</w:rPr>
              <w:t>Variable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:rsidR="00386C82" w:rsidRPr="006839BB" w:rsidRDefault="00386C82" w:rsidP="004E35E9">
            <w:pPr>
              <w:spacing w:line="212" w:lineRule="exact"/>
              <w:ind w:left="91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</w:rPr>
              <w:t>ETAU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</w:rPr>
              <w:t>SH+</w:t>
            </w:r>
          </w:p>
        </w:tc>
        <w:tc>
          <w:tcPr>
            <w:tcW w:w="2343" w:type="dxa"/>
            <w:shd w:val="clear" w:color="auto" w:fill="BFBFBF" w:themeFill="background1" w:themeFillShade="BF"/>
            <w:vAlign w:val="center"/>
          </w:tcPr>
          <w:p w:rsidR="00386C82" w:rsidRPr="006839BB" w:rsidRDefault="00386C82" w:rsidP="004E35E9">
            <w:pPr>
              <w:spacing w:line="212" w:lineRule="exact"/>
              <w:ind w:right="106"/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3442CD">
              <w:rPr>
                <w:rFonts w:ascii="Times New Roman" w:eastAsia="Times New Roman" w:hAnsi="Times New Roman" w:cs="Times New Roman"/>
                <w:b/>
              </w:rPr>
              <w:t>Difference (SE)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386C82" w:rsidRPr="006839BB" w:rsidRDefault="00386C82" w:rsidP="004E35E9">
            <w:pPr>
              <w:spacing w:line="212" w:lineRule="exact"/>
              <w:ind w:left="95" w:right="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</w:rPr>
              <w:t>Standardized Mean Difference</w:t>
            </w:r>
          </w:p>
        </w:tc>
      </w:tr>
      <w:tr w:rsidR="00386C82" w:rsidRPr="006839BB" w:rsidTr="004E35E9">
        <w:trPr>
          <w:trHeight w:val="236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Age in years: </w:t>
            </w:r>
          </w:p>
          <w:p w:rsidR="00386C82" w:rsidRPr="006839BB" w:rsidRDefault="00386C82" w:rsidP="004E35E9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839BB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31.782(9.123)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33.681(10.588)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1.899(1.257)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</w:rPr>
              <w:t>0.136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Female gender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  37/133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31/113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-0.004</w:t>
            </w:r>
          </w:p>
        </w:tc>
        <w:tc>
          <w:tcPr>
            <w:tcW w:w="2120" w:type="dxa"/>
            <w:vMerge w:val="restart"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-0.006</w:t>
            </w: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(27.82%)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(27.43%)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(0.057)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9BB">
              <w:rPr>
                <w:rFonts w:ascii="Times New Roman" w:eastAsia="Times New Roman" w:hAnsi="Times New Roman" w:cs="Times New Roman"/>
                <w:b/>
                <w:i/>
              </w:rPr>
              <w:t xml:space="preserve">Country of origin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Afghanistan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25/108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17/113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42CD">
              <w:rPr>
                <w:rFonts w:ascii="Times New Roman" w:eastAsia="Times New Roman" w:hAnsi="Times New Roman" w:cs="Times New Roman"/>
              </w:rPr>
              <w:t>-0.038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-0.071</w:t>
            </w: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(18.80%)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(15.04%)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(0.048)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Iraq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22/133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0.047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0.085</w:t>
            </w: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(16.54%)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(21.24%)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(0.050)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Nigeria 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30/133 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29/113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0.051</w:t>
            </w:r>
          </w:p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(22.56%)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(25.66%)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(0.055)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 country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-0.003</w:t>
            </w:r>
          </w:p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(4.51%)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(4.42%)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(0.027)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Pakistan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11/133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-0.038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-0.111</w:t>
            </w:r>
          </w:p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(8.27%)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(4.42%)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(0.032)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Syria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39/133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33/113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-0.002</w:t>
            </w:r>
          </w:p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6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(29.32%)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(29.20%)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(0.058)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Single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50/132 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46/113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0.041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(37.88%)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(40.71%)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(0.063)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Married/Cohabitant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69/132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60/113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0.012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(52.27%)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(53.10%)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Divorced widowed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12/132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-0.029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-0.077</w:t>
            </w:r>
          </w:p>
        </w:tc>
      </w:tr>
      <w:tr w:rsidR="00386C82" w:rsidRPr="006839BB" w:rsidTr="004E35E9">
        <w:trPr>
          <w:trHeight w:val="23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(9.09%)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(6.19%)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(0.034)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82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N of relatives: </w:t>
            </w:r>
          </w:p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1.902 (2.602)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1.522 (1.955)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-0.380(0.298)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-0.117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N of children: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839BB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1.569 (2.776)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1.469 (1.691)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-0.100(0.300)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-0.031 </w:t>
            </w:r>
          </w:p>
        </w:tc>
      </w:tr>
      <w:tr w:rsidR="00386C82" w:rsidRPr="006839BB" w:rsidTr="004E35E9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Years of education: Mean (SD)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839BB">
              <w:rPr>
                <w:rFonts w:ascii="Times New Roman" w:eastAsia="Times New Roman" w:hAnsi="Times New Roman" w:cs="Times New Roman"/>
                <w:lang w:eastAsia="it-IT"/>
              </w:rPr>
              <w:t>9.762 (5.400)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10.703 (5.405)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0.941 (0.712)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0.123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Illiterate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16/131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-0.059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-0.144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12.21%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6.31%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(0.038)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Primary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53/131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66/111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0.001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40.46%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40.54%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High School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38/131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26/111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-0.056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-0.090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29.01%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23.42%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University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31/111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0.096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 xml:space="preserve">0.161 </w:t>
            </w:r>
          </w:p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18.32%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27.93%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N of siblings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4.342 (3.224)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5.037 (3.084)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0.696(0.420)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0.156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  <w:b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i/>
              </w:rPr>
              <w:t xml:space="preserve"> Religion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Christian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38/132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28/111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-0.036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-0.057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28.79%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25.23%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Muslim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86/132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75/111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0.024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0.036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65.15%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67.57%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(0.061)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 religion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8/</w:t>
            </w:r>
            <w:r w:rsidRPr="006839B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8/</w:t>
            </w:r>
            <w:r w:rsidRPr="006839B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>
              <w:rPr>
                <w:rFonts w:ascii="Times New Roman" w:eastAsia="Times New Roman" w:hAnsi="Times New Roman" w:cs="Times New Roman"/>
              </w:rPr>
              <w:t>0.011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0.032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6.06%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7.21%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(0.032)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Single pre-migration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50/</w:t>
            </w:r>
            <w:r w:rsidRPr="006839B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46/113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0.041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37.88%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40.71%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(0.063)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 xml:space="preserve"> Married Cohabitant_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 xml:space="preserve"> pre-migration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69/132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53/</w:t>
            </w: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0.012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52.27</w:t>
            </w:r>
            <w:r w:rsidRPr="006839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53.10</w:t>
            </w:r>
            <w:r w:rsidRPr="006839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Divorced/widowed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pre 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12/132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-0.029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-0.077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9.09%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6.19%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Unemployed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pre-</w:t>
            </w:r>
            <w:r w:rsidRPr="006839BB">
              <w:rPr>
                <w:rFonts w:ascii="Times New Roman" w:eastAsia="Times New Roman" w:hAnsi="Times New Roman" w:cs="Times New Roman"/>
              </w:rPr>
              <w:t xml:space="preserve">migration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16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12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-0.035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12.21%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10.62%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(0.041)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Employed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pre-migration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74/131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67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0.040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56.49%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59.29%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Self-employed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18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14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-0.014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-0.028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13.74%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12.39%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 xml:space="preserve"> Student pre-migration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8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8/</w:t>
            </w: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>
              <w:rPr>
                <w:rFonts w:ascii="Times New Roman" w:eastAsia="Times New Roman" w:hAnsi="Times New Roman" w:cs="Times New Roman"/>
                <w:lang w:val="fr-CD"/>
              </w:rPr>
              <w:t>0.010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0.028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6.11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7.08%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(0.032)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Alone pre-migration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11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11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0.014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0.035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8.40%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9.82</w:t>
            </w:r>
            <w:r w:rsidRPr="006839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 xml:space="preserve"> Spouse/Cohabitant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 xml:space="preserve"> pre-migratio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60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49/112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>
              <w:rPr>
                <w:rFonts w:ascii="Times New Roman" w:eastAsia="Times New Roman" w:hAnsi="Times New Roman" w:cs="Times New Roman"/>
              </w:rPr>
              <w:t>-0.021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-0.029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45.80%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43.75%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>
              <w:rPr>
                <w:rFonts w:ascii="Times New Roman" w:eastAsia="Times New Roman" w:hAnsi="Times New Roman" w:cs="Times New Roman"/>
              </w:rPr>
              <w:t>0.064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 xml:space="preserve"> Parents pre-migration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50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45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>
              <w:rPr>
                <w:rFonts w:ascii="Times New Roman" w:eastAsia="Times New Roman" w:hAnsi="Times New Roman" w:cs="Times New Roman"/>
              </w:rPr>
              <w:t>0.020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0.029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 xml:space="preserve">      38.17%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40.18%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0.063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Others (including relatives)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10/131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Pr="006839BB">
              <w:rPr>
                <w:rFonts w:ascii="Times New Roman" w:eastAsia="Times New Roman" w:hAnsi="Times New Roman" w:cs="Times New Roman"/>
                <w:lang w:val="fr-CD"/>
              </w:rPr>
              <w:t>/</w:t>
            </w:r>
            <w:r w:rsidRPr="006839B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-0.014 (0.033)</w:t>
            </w:r>
          </w:p>
        </w:tc>
        <w:tc>
          <w:tcPr>
            <w:tcW w:w="2120" w:type="dxa"/>
            <w:vAlign w:val="center"/>
          </w:tcPr>
          <w:p w:rsidR="00386C82" w:rsidRPr="00E60AA0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-0.038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Age at departure in years: </w:t>
            </w:r>
            <w:r w:rsidRPr="006839BB">
              <w:rPr>
                <w:rFonts w:ascii="Times New Roman" w:eastAsia="Times New Roman" w:hAnsi="Times New Roman" w:cs="Times New Roman"/>
              </w:rPr>
              <w:t>Mean (SD)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27.836 (9.043)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29.523 (10.185)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1.687 (1.255)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9BB">
              <w:rPr>
                <w:rFonts w:ascii="Times New Roman" w:hAnsi="Times New Roman" w:cs="Times New Roman"/>
                <w:b/>
                <w:bCs/>
              </w:rPr>
              <w:t>0.124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Departure agreement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95/124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83/111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-0.018</w:t>
            </w:r>
          </w:p>
        </w:tc>
        <w:tc>
          <w:tcPr>
            <w:tcW w:w="2120" w:type="dxa"/>
            <w:vAlign w:val="center"/>
          </w:tcPr>
          <w:p w:rsidR="00386C82" w:rsidRPr="00FC318F" w:rsidRDefault="00386C82" w:rsidP="004E35E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-0.030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76.61%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74.77%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(0.056)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Balkan or Mediterranean </w:t>
            </w:r>
            <w:r w:rsidRPr="006839BB">
              <w:rPr>
                <w:rFonts w:ascii="Times New Roman" w:eastAsia="Times New Roman" w:hAnsi="Times New Roman" w:cs="Times New Roman"/>
              </w:rPr>
              <w:t>route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49/133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27/113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-0.129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E60AA0" w:rsidRDefault="00386C82" w:rsidP="004E3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9BB">
              <w:rPr>
                <w:rFonts w:ascii="Times New Roman" w:hAnsi="Times New Roman" w:cs="Times New Roman"/>
                <w:b/>
                <w:bCs/>
              </w:rPr>
              <w:t>-0.200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36.84%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23.89%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(0.059)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Eastern route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32/113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0.103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0.173</w:t>
            </w:r>
          </w:p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18.05%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28.32%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(0.053)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African route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34/133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30/113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0.010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0.016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25.56%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26.55%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(0.056)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 route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23</w:t>
            </w:r>
            <w:r w:rsidRPr="006839BB">
              <w:rPr>
                <w:rFonts w:ascii="Times New Roman" w:eastAsia="Times New Roman" w:hAnsi="Times New Roman" w:cs="Times New Roman"/>
              </w:rPr>
              <w:t>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0.023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0.041 </w:t>
            </w:r>
          </w:p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18.05%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20.35%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(0.050)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Travel duration in month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11.419 (20.587)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9.223 (19.017)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-2.196 (2.784)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-0.078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Present country is the final </w:t>
            </w:r>
            <w:r w:rsidRPr="006839BB">
              <w:rPr>
                <w:rFonts w:ascii="Times New Roman" w:eastAsia="Times New Roman" w:hAnsi="Times New Roman" w:cs="Times New Roman"/>
              </w:rPr>
              <w:t>destination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118/133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0.032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0.077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(88.72%)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(91.96%)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(0.038)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Detention during travel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36/101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32/109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0.019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0.029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(27.48%)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(29.36%)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(0.059)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Detention duration in 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months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0.616 (1.827)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0.828 (2.065)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0.212 (0.248)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0.077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Travel alone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25</w:t>
            </w:r>
            <w:r w:rsidRPr="006839BB">
              <w:rPr>
                <w:rFonts w:ascii="Times New Roman" w:eastAsia="Times New Roman" w:hAnsi="Times New Roman" w:cs="Times New Roman"/>
              </w:rPr>
              <w:t>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0.086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9BB">
              <w:rPr>
                <w:rFonts w:ascii="Times New Roman" w:hAnsi="Times New Roman" w:cs="Times New Roman"/>
                <w:b/>
                <w:bCs/>
              </w:rPr>
              <w:t>0.159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13.53%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22.12%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(0.048)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Travel with friends or 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relatives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70/133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52</w:t>
            </w:r>
            <w:r w:rsidRPr="006839BB">
              <w:rPr>
                <w:rFonts w:ascii="Times New Roman" w:eastAsia="Times New Roman" w:hAnsi="Times New Roman" w:cs="Times New Roman"/>
              </w:rPr>
              <w:t>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-0.066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-0.093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52.63%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46.02%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Migrants travel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45/133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32</w:t>
            </w:r>
            <w:r w:rsidRPr="006839BB">
              <w:rPr>
                <w:rFonts w:ascii="Times New Roman" w:eastAsia="Times New Roman" w:hAnsi="Times New Roman" w:cs="Times New Roman"/>
              </w:rPr>
              <w:t>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-0.055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-0.084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33.83%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28.32%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(0.059)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Relatives in the country</w:t>
            </w:r>
            <w:r w:rsidRPr="006839BB">
              <w:rPr>
                <w:rFonts w:ascii="Times New Roman" w:eastAsia="Times New Roman" w:hAnsi="Times New Roman" w:cs="Times New Roman"/>
                <w:b/>
                <w:i/>
              </w:rPr>
              <w:t xml:space="preserve"> of origin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113/131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100/112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0.030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0.065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86.26%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89.29%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(0.042)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Sons/daughters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14/133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14/113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0.019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0.041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10.53%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12.39%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(0.041)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Partner: husband/wife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0.016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0.038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9.02%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10.62%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(0.038)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Parents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63/133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56</w:t>
            </w:r>
            <w:r w:rsidRPr="006839BB">
              <w:rPr>
                <w:rFonts w:ascii="Times New Roman" w:eastAsia="Times New Roman" w:hAnsi="Times New Roman" w:cs="Times New Roman"/>
              </w:rPr>
              <w:t>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0.022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0.031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47.37%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49.56%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lastRenderedPageBreak/>
              <w:t xml:space="preserve"> Other relatives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82/133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75/113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0.047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0.069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61.65%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66.37%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(0.062)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Friends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25/133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25/113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0.033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0.058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18.80%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22.12%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(0.052)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Which relative unreported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0.012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0.032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6.77%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7.96%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(0.033)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Asylum seeker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71/133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62/113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0.021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53.38%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54.87%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Humanitarian protection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15/113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-0.093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18.05%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13.27%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Subsidiary protection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0.017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0.053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4.51%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6.19%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(0.029)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Political asylum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22/113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0.014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0.026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18.05%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19.47%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(0.050)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 legal status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  <w:r w:rsidRPr="006839BB">
              <w:rPr>
                <w:rFonts w:ascii="Times New Roman" w:hAnsi="Times New Roman" w:cs="Times New Roman"/>
              </w:rPr>
              <w:t>0.028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5.26%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6.19%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(0.030)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Length of stay in host 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country in months: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Mean (SD)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34.798 (24.034)</w:t>
            </w:r>
          </w:p>
        </w:tc>
        <w:tc>
          <w:tcPr>
            <w:tcW w:w="1559" w:type="dxa"/>
            <w:vAlign w:val="center"/>
          </w:tcPr>
          <w:p w:rsidR="00386C82" w:rsidRPr="00E60AA0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34.308 (27.059)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-0.491(3.351)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-0.014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Living alone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23/131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0.072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17.56%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21.62%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(0.051)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Living with spouse post-m</w:t>
            </w:r>
            <w:r w:rsidRPr="006839BB">
              <w:rPr>
                <w:rFonts w:ascii="Times New Roman" w:eastAsia="Times New Roman" w:hAnsi="Times New Roman" w:cs="Times New Roman"/>
              </w:rPr>
              <w:t>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48/131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44/111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0.030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0.043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36.64%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39.64%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(0.063)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Living with parents post- 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6839BB">
              <w:rPr>
                <w:rFonts w:ascii="Times New Roman" w:eastAsia="Times New Roman" w:hAnsi="Times New Roman" w:cs="Times New Roman"/>
              </w:rPr>
              <w:t>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-0.026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-0.095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5.34%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2.70%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(0.026)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Living with others post-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53/131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40</w:t>
            </w:r>
            <w:r w:rsidRPr="006839BB">
              <w:rPr>
                <w:rFonts w:ascii="Times New Roman" w:eastAsia="Times New Roman" w:hAnsi="Times New Roman" w:cs="Times New Roman"/>
              </w:rPr>
              <w:t>/111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-0.044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-0.064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 xml:space="preserve">40.46%            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 xml:space="preserve">36.04%     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(0.063)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Refugee </w:t>
            </w:r>
            <w:r w:rsidRPr="006839BB">
              <w:rPr>
                <w:rFonts w:ascii="Times New Roman" w:eastAsia="Times New Roman" w:hAnsi="Times New Roman" w:cs="Times New Roman"/>
              </w:rPr>
              <w:t>center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42</w:t>
            </w:r>
            <w:r w:rsidRPr="006839BB">
              <w:rPr>
                <w:rFonts w:ascii="Times New Roman" w:eastAsia="Times New Roman" w:hAnsi="Times New Roman" w:cs="Times New Roman"/>
              </w:rPr>
              <w:t>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37</w:t>
            </w:r>
            <w:r w:rsidRPr="006839BB">
              <w:rPr>
                <w:rFonts w:ascii="Times New Roman" w:eastAsia="Times New Roman" w:hAnsi="Times New Roman" w:cs="Times New Roman"/>
              </w:rPr>
              <w:t>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0.022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31.58 %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33.04%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(0.060)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Rented apartment p</w:t>
            </w:r>
            <w:r>
              <w:rPr>
                <w:rFonts w:ascii="Times New Roman" w:eastAsia="Times New Roman" w:hAnsi="Times New Roman" w:cs="Times New Roman"/>
              </w:rPr>
              <w:t>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74</w:t>
            </w:r>
            <w:r w:rsidRPr="006839BB">
              <w:rPr>
                <w:rFonts w:ascii="Times New Roman" w:eastAsia="Times New Roman" w:hAnsi="Times New Roman" w:cs="Times New Roman"/>
              </w:rPr>
              <w:t>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64</w:t>
            </w:r>
            <w:r w:rsidRPr="006839BB">
              <w:rPr>
                <w:rFonts w:ascii="Times New Roman" w:eastAsia="Times New Roman" w:hAnsi="Times New Roman" w:cs="Times New Roman"/>
              </w:rPr>
              <w:t>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0.021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55.64%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57.14%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 accommodation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post-migration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15</w:t>
            </w:r>
            <w:r w:rsidRPr="006839BB">
              <w:rPr>
                <w:rFonts w:ascii="Times New Roman" w:eastAsia="Times New Roman" w:hAnsi="Times New Roman" w:cs="Times New Roman"/>
              </w:rPr>
              <w:t>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-0.041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-0.101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11.28%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7.14%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Accommodation</w:t>
            </w:r>
            <w:r>
              <w:rPr>
                <w:rFonts w:ascii="Times New Roman" w:eastAsia="Times New Roman" w:hAnsi="Times New Roman" w:cs="Times New Roman"/>
              </w:rPr>
              <w:t xml:space="preserve"> found through government </w:t>
            </w:r>
            <w:r w:rsidRPr="006839BB">
              <w:rPr>
                <w:rFonts w:ascii="Times New Roman" w:eastAsia="Times New Roman" w:hAnsi="Times New Roman" w:cs="Times New Roman"/>
              </w:rPr>
              <w:t>centers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66/131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58</w:t>
            </w:r>
            <w:r w:rsidRPr="006839BB">
              <w:rPr>
                <w:rFonts w:ascii="Times New Roman" w:eastAsia="Times New Roman" w:hAnsi="Times New Roman" w:cs="Times New Roman"/>
              </w:rPr>
              <w:t>/110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0.023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0.033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50.38%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52.73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(0.065)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Accommodation</w:t>
            </w:r>
            <w:r>
              <w:rPr>
                <w:rFonts w:ascii="Times New Roman" w:eastAsia="Times New Roman" w:hAnsi="Times New Roman" w:cs="Times New Roman"/>
              </w:rPr>
              <w:t xml:space="preserve"> found</w:t>
            </w:r>
            <w:r w:rsidRPr="006839BB">
              <w:rPr>
                <w:rFonts w:ascii="Times New Roman" w:eastAsia="Times New Roman" w:hAnsi="Times New Roman" w:cs="Times New Roman"/>
              </w:rPr>
              <w:t xml:space="preserve"> through private 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association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35/131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29/110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-0.004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-0.006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26.72%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26.36%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(0.057)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F71C75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Accommodation</w:t>
            </w:r>
            <w:r>
              <w:rPr>
                <w:rFonts w:ascii="Times New Roman" w:eastAsia="Times New Roman" w:hAnsi="Times New Roman" w:cs="Times New Roman"/>
              </w:rPr>
              <w:t xml:space="preserve"> found through facilitation of the </w:t>
            </w:r>
            <w:r w:rsidRPr="006839BB">
              <w:rPr>
                <w:rFonts w:ascii="Times New Roman" w:eastAsia="Times New Roman" w:hAnsi="Times New Roman" w:cs="Times New Roman"/>
              </w:rPr>
              <w:t>hosting country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17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15</w:t>
            </w:r>
            <w:r w:rsidRPr="006839BB">
              <w:rPr>
                <w:rFonts w:ascii="Times New Roman" w:eastAsia="Times New Roman" w:hAnsi="Times New Roman" w:cs="Times New Roman"/>
              </w:rPr>
              <w:t>/110</w:t>
            </w:r>
          </w:p>
        </w:tc>
        <w:tc>
          <w:tcPr>
            <w:tcW w:w="2343" w:type="dxa"/>
            <w:vAlign w:val="center"/>
          </w:tcPr>
          <w:p w:rsidR="00386C82" w:rsidRPr="00DE04A3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E04A3">
              <w:rPr>
                <w:rFonts w:ascii="Times New Roman" w:eastAsia="Times New Roman" w:hAnsi="Times New Roman" w:cs="Times New Roman"/>
              </w:rPr>
              <w:t>0.007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0.014</w:t>
            </w:r>
          </w:p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highlight w:val="yellow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12.98%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13.64%</w:t>
            </w:r>
          </w:p>
        </w:tc>
        <w:tc>
          <w:tcPr>
            <w:tcW w:w="2343" w:type="dxa"/>
            <w:vAlign w:val="center"/>
          </w:tcPr>
          <w:p w:rsidR="00386C82" w:rsidRPr="00DE04A3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E04A3">
              <w:rPr>
                <w:rFonts w:ascii="Times New Roman" w:eastAsia="Times New Roman" w:hAnsi="Times New Roman" w:cs="Times New Roman"/>
              </w:rPr>
              <w:t>(0.044)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Accommodation fou</w:t>
            </w:r>
            <w:r>
              <w:rPr>
                <w:rFonts w:ascii="Times New Roman" w:eastAsia="Times New Roman" w:hAnsi="Times New Roman" w:cs="Times New Roman"/>
              </w:rPr>
              <w:t xml:space="preserve">nd in </w:t>
            </w:r>
            <w:r w:rsidRPr="006839BB">
              <w:rPr>
                <w:rFonts w:ascii="Times New Roman" w:eastAsia="Times New Roman" w:hAnsi="Times New Roman" w:cs="Times New Roman"/>
              </w:rPr>
              <w:t>other way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13</w:t>
            </w:r>
            <w:r w:rsidRPr="006839BB">
              <w:rPr>
                <w:rFonts w:ascii="Times New Roman" w:eastAsia="Times New Roman" w:hAnsi="Times New Roman" w:cs="Times New Roman"/>
              </w:rPr>
              <w:t>/131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fr-CD"/>
              </w:rPr>
              <w:t>8</w:t>
            </w:r>
            <w:r w:rsidRPr="006839BB">
              <w:rPr>
                <w:rFonts w:ascii="Times New Roman" w:eastAsia="Times New Roman" w:hAnsi="Times New Roman" w:cs="Times New Roman"/>
              </w:rPr>
              <w:t>/110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-0.027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-0.067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>9.92%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  <w:lang w:val="en-GB"/>
              </w:rPr>
              <w:t xml:space="preserve">7.27%      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(0.037)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Unemployed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55/133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57/112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0.095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0.135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41.35%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50.89%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(0.064)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Employed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lastRenderedPageBreak/>
              <w:t>post-migration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lastRenderedPageBreak/>
              <w:t>28/133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14/112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-0.086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9BB">
              <w:rPr>
                <w:rFonts w:ascii="Times New Roman" w:eastAsia="Times New Roman" w:hAnsi="Times New Roman" w:cs="Times New Roman"/>
                <w:b/>
                <w:bCs/>
              </w:rPr>
              <w:t>-0.162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21.05%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12.50%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(0.048)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Student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post-migration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26/133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18/112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-0.035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-0.064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19.55%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16.07%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(0.049)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Home maker </w:t>
            </w:r>
          </w:p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0.078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5.26%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fr-CD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8.04%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(0.032)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Vocational training        post-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9/133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-0.005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-0.015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6.77%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6.25%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(0.032)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Other occupation</w:t>
            </w:r>
            <w:r>
              <w:rPr>
                <w:rFonts w:ascii="Times New Roman" w:eastAsia="Times New Roman" w:hAnsi="Times New Roman" w:cs="Times New Roman"/>
              </w:rPr>
              <w:t xml:space="preserve">        post-</w:t>
            </w:r>
            <w:r w:rsidRPr="006839BB">
              <w:rPr>
                <w:rFonts w:ascii="Times New Roman" w:eastAsia="Times New Roman" w:hAnsi="Times New Roman" w:cs="Times New Roman"/>
              </w:rPr>
              <w:t>migration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8/133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7/112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</w:t>
            </w:r>
          </w:p>
        </w:tc>
        <w:tc>
          <w:tcPr>
            <w:tcW w:w="2120" w:type="dxa"/>
            <w:vMerge w:val="restart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0.007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6.02%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6.25%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(0.031)</w:t>
            </w:r>
          </w:p>
        </w:tc>
        <w:tc>
          <w:tcPr>
            <w:tcW w:w="2120" w:type="dxa"/>
            <w:vMerge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9BB">
              <w:rPr>
                <w:rFonts w:ascii="Times New Roman" w:eastAsia="Times New Roman" w:hAnsi="Times New Roman" w:cs="Times New Roman"/>
                <w:b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linical variables</w:t>
            </w:r>
            <w:r w:rsidRPr="006839B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GHQ-12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5.414(2.422)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5.301(2.104)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-0.113(0.292)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-0.035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PCL-5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23.040(15.636)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25.497(16.729)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2.457(2.066)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  <w:b/>
              </w:rPr>
              <w:t>0.107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PHQ-9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8.639(5.575)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7.938(5.526)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-0.701(0.710)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-0.089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WHO-5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46.466(24.315)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45.881(23.242)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-0.585(3.049)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-0.017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WHODAS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0.154(0.140)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0.153(0.145)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-0.001(0.018)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-0.005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PSYCHLOPS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13.930(4.241)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14.339(3.734)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0.409(0.528)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0.072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EQ-5D-3</w:t>
            </w:r>
            <w:r w:rsidRPr="0042046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0.690(0.285)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0.702(0.297)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0.012(0.037)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20468">
              <w:rPr>
                <w:rFonts w:ascii="Times New Roman" w:hAnsi="Times New Roman" w:cs="Times New Roman"/>
              </w:rPr>
              <w:t>0.028</w:t>
            </w:r>
          </w:p>
        </w:tc>
      </w:tr>
      <w:tr w:rsidR="00386C82" w:rsidRPr="006839BB" w:rsidTr="004E35E9">
        <w:trPr>
          <w:trHeight w:val="239"/>
        </w:trPr>
        <w:tc>
          <w:tcPr>
            <w:tcW w:w="0" w:type="auto"/>
            <w:vAlign w:val="center"/>
          </w:tcPr>
          <w:p w:rsidR="00386C82" w:rsidRPr="006839BB" w:rsidRDefault="00386C82" w:rsidP="004E35E9">
            <w:pPr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 xml:space="preserve"> Observations</w:t>
            </w:r>
          </w:p>
        </w:tc>
        <w:tc>
          <w:tcPr>
            <w:tcW w:w="158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559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343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2120" w:type="dxa"/>
            <w:vAlign w:val="center"/>
          </w:tcPr>
          <w:p w:rsidR="00386C82" w:rsidRPr="006839BB" w:rsidRDefault="00386C82" w:rsidP="004E35E9">
            <w:pPr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9BB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86C82" w:rsidRDefault="00386C82" w:rsidP="00386C82">
      <w:pPr>
        <w:rPr>
          <w:lang w:val="en-US"/>
        </w:rPr>
      </w:pPr>
    </w:p>
    <w:p w:rsidR="00386C82" w:rsidRDefault="00386C82" w:rsidP="00386C82">
      <w:pPr>
        <w:pStyle w:val="NormaleWeb"/>
        <w:spacing w:before="1"/>
        <w:outlineLvl w:val="0"/>
        <w:rPr>
          <w:rFonts w:eastAsia="Times New Roman"/>
          <w:b/>
          <w:sz w:val="22"/>
          <w:szCs w:val="22"/>
          <w:lang w:val="en-US" w:eastAsia="en-US"/>
        </w:rPr>
      </w:pPr>
      <w:bookmarkStart w:id="6" w:name="_Toc95312216"/>
      <w:bookmarkStart w:id="7" w:name="_Toc95312337"/>
      <w:bookmarkStart w:id="8" w:name="_Toc95312621"/>
      <w:bookmarkStart w:id="9" w:name="_Toc95487955"/>
      <w:r w:rsidRPr="00153C92">
        <w:rPr>
          <w:rFonts w:eastAsia="Times New Roman"/>
          <w:b/>
          <w:sz w:val="22"/>
          <w:szCs w:val="22"/>
          <w:lang w:val="en-US" w:eastAsia="en-US"/>
        </w:rPr>
        <w:t>Table 2. Per-protocol analysis</w:t>
      </w:r>
      <w:bookmarkEnd w:id="6"/>
      <w:bookmarkEnd w:id="7"/>
      <w:bookmarkEnd w:id="8"/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2410"/>
        <w:gridCol w:w="844"/>
      </w:tblGrid>
      <w:tr w:rsidR="00386C82" w:rsidRPr="00E60AA0" w:rsidTr="004E35E9"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Variable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ETAU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SH+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Coef (CI)</w:t>
            </w: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p-</w:t>
            </w:r>
            <w:r w:rsidRPr="00E60AA0">
              <w:rPr>
                <w:rFonts w:eastAsia="Times New Roman"/>
                <w:b/>
                <w:sz w:val="22"/>
                <w:szCs w:val="22"/>
              </w:rPr>
              <w:t>value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CONTINUOUS OUTCOMES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GHQ-12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Screening (N=346)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5.507(2.447)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5.427(2.147)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(N=303): mixed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2.930(3.298)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1.718(2.502)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-1.240 (-2.016; -0.465)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0.002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LOCF(N=303)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</w:rPr>
              <w:t>3.073(3.312</w:t>
            </w:r>
            <w:r w:rsidRPr="00E60AA0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</w:rPr>
              <w:t>2.028(2.827</w:t>
            </w:r>
            <w:r w:rsidRPr="00E60AA0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-0.983</w:t>
            </w:r>
            <w:r w:rsidRPr="00E60AA0"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>
              <w:rPr>
                <w:rFonts w:eastAsia="Times New Roman"/>
                <w:b/>
                <w:sz w:val="22"/>
                <w:szCs w:val="22"/>
              </w:rPr>
              <w:t>-1.663</w:t>
            </w:r>
            <w:r w:rsidRPr="00E60AA0">
              <w:rPr>
                <w:rFonts w:eastAsia="Times New Roman"/>
                <w:b/>
                <w:sz w:val="22"/>
                <w:szCs w:val="22"/>
              </w:rPr>
              <w:t>; -0</w:t>
            </w:r>
            <w:r>
              <w:rPr>
                <w:rFonts w:eastAsia="Times New Roman"/>
                <w:b/>
                <w:sz w:val="22"/>
                <w:szCs w:val="22"/>
              </w:rPr>
              <w:t>.303</w:t>
            </w:r>
            <w:r w:rsidRPr="00E60AA0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0.005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PCL-5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Baseline (N=346)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22.765(16.239)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24.744(16.242)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(N=302): mixed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14.606(15.306)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12.937(15.569)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-3.307 (-7.123; 0.568)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0.094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LOCF(N=302)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16.350(15.023)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14.300(15.210)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-2.5</w:t>
            </w:r>
            <w:r>
              <w:rPr>
                <w:rFonts w:eastAsia="Times New Roman"/>
                <w:sz w:val="22"/>
                <w:szCs w:val="22"/>
              </w:rPr>
              <w:t>79</w:t>
            </w:r>
            <w:r w:rsidRPr="00E60AA0">
              <w:rPr>
                <w:rFonts w:eastAsia="Times New Roman"/>
                <w:sz w:val="22"/>
                <w:szCs w:val="22"/>
              </w:rPr>
              <w:t xml:space="preserve"> (-5.751; 0.592)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0.111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PHQ-9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Baseline (N=346)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8.384(5.546)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8.077(5.8887)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(N=301): mixed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5.810(6.045)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3.776(4.221)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-1.839 (-3.182; -0.497)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0.007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LOCF(N=301)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6.335(5.917)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4.563(5.170)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-1.522 (-2.735; -0.309)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0.014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WHO-5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Baseline(N=346)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47.354(24.984)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45.750(23.478)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(N=302): mixed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52.157(27.248)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62.087(24.597)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10.761 (4.047; 17.476)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0.002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LOCF(N=302)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50.333(26.673)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60.436(23.904)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10.375 (4.511; 16.239)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0.001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WHODAS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Baseline(N=346)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0.152(0.144)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0.157(0.131)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 xml:space="preserve">12 </w:t>
            </w:r>
            <w:r>
              <w:rPr>
                <w:rFonts w:eastAsia="Times New Roman"/>
                <w:sz w:val="22"/>
                <w:szCs w:val="22"/>
              </w:rPr>
              <w:t>months (N=302</w:t>
            </w:r>
            <w:r w:rsidRPr="00E60AA0">
              <w:rPr>
                <w:rFonts w:eastAsia="Times New Roman"/>
                <w:sz w:val="22"/>
                <w:szCs w:val="22"/>
              </w:rPr>
              <w:t>): mixed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0.088(0.107)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0.075(0.110)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-0</w:t>
            </w:r>
            <w:r>
              <w:rPr>
                <w:rFonts w:eastAsia="Times New Roman"/>
                <w:sz w:val="22"/>
                <w:szCs w:val="22"/>
              </w:rPr>
              <w:t>.018</w:t>
            </w:r>
            <w:r w:rsidRPr="00E60AA0">
              <w:rPr>
                <w:rFonts w:eastAsia="Times New Roman"/>
                <w:sz w:val="22"/>
                <w:szCs w:val="22"/>
              </w:rPr>
              <w:t xml:space="preserve"> (-0.04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E60AA0">
              <w:rPr>
                <w:rFonts w:eastAsia="Times New Roman"/>
                <w:sz w:val="22"/>
                <w:szCs w:val="22"/>
              </w:rPr>
              <w:t>; 0.010)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0.20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</w:rPr>
              <w:t>12 months LOCF(N=302</w:t>
            </w:r>
            <w:r w:rsidRPr="00E60AA0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0.092(0.123)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0.076(0.104)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</w:rPr>
              <w:t>-0.015</w:t>
            </w:r>
            <w:r w:rsidRPr="00E60AA0">
              <w:rPr>
                <w:rFonts w:eastAsia="Times New Roman"/>
                <w:sz w:val="22"/>
                <w:szCs w:val="22"/>
              </w:rPr>
              <w:t xml:space="preserve"> (-0.037; 0.008)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</w:rPr>
              <w:t>0.206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PSYCHLOPS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Baseline(N=323)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13.925(4.396)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14.200(3.468)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(N=292): mixed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10.758(5.431)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10.123(5.249)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-0.561 (-2.079; 0.956)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0.468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LOCF(N=292)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10.959(5.432)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10.216(5.319)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-0.721 (-1.968; 0.526)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0.256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PMLD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lastRenderedPageBreak/>
              <w:t>Post-intervention*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 w:rsidRPr="0003132F">
              <w:rPr>
                <w:rFonts w:eastAsia="Times New Roman"/>
                <w:i/>
                <w:sz w:val="22"/>
                <w:szCs w:val="22"/>
              </w:rPr>
              <w:t>n</w:t>
            </w:r>
            <w:r>
              <w:rPr>
                <w:rFonts w:eastAsia="Times New Roman"/>
                <w:sz w:val="22"/>
                <w:szCs w:val="22"/>
              </w:rPr>
              <w:t>=283)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25.587(12.846)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24.174(12.199)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months: mixed (N=262)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17.811(11.833)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17.692(12.613)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-0.797 (-3.643; 2.049)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0.583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 (N=262)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18.844(11.489)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18.208(11.736)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-0.692 (-3.156; 1.772)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0.581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b/>
                <w:sz w:val="22"/>
                <w:szCs w:val="22"/>
              </w:rPr>
              <w:t>EQ-5D-3L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Baseline (N=345)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0.706(0.276)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0.696(0.281)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386C82" w:rsidRPr="00E60AA0" w:rsidTr="004E35E9">
        <w:tc>
          <w:tcPr>
            <w:tcW w:w="283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months: mixed (N=262)</w:t>
            </w:r>
          </w:p>
        </w:tc>
        <w:tc>
          <w:tcPr>
            <w:tcW w:w="1843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Latin Modern Math"/>
                <w:color w:val="000000" w:themeColor="text1"/>
                <w:kern w:val="24"/>
                <w:sz w:val="22"/>
                <w:szCs w:val="22"/>
              </w:rPr>
              <w:t>1.460(1.542)</w:t>
            </w:r>
          </w:p>
        </w:tc>
        <w:tc>
          <w:tcPr>
            <w:tcW w:w="1701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1.464(1.587)</w:t>
            </w:r>
          </w:p>
        </w:tc>
        <w:tc>
          <w:tcPr>
            <w:tcW w:w="2410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0.003 (-0.472; 0.479)</w:t>
            </w:r>
          </w:p>
        </w:tc>
        <w:tc>
          <w:tcPr>
            <w:tcW w:w="844" w:type="dxa"/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0.990</w:t>
            </w:r>
          </w:p>
        </w:tc>
      </w:tr>
      <w:tr w:rsidR="00386C82" w:rsidRPr="00E60AA0" w:rsidTr="004E35E9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12 months LOCF (N=262)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1.277(1.371)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1.288(1.411)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0.0001 (-0.332; 0.332)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86C82" w:rsidRPr="00E60AA0" w:rsidRDefault="00386C82" w:rsidP="004E35E9">
            <w:pPr>
              <w:pStyle w:val="NormaleWeb"/>
              <w:spacing w:before="1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 w:rsidRPr="00E60AA0">
              <w:rPr>
                <w:rFonts w:eastAsia="Times New Roman"/>
                <w:sz w:val="22"/>
                <w:szCs w:val="22"/>
              </w:rPr>
              <w:t>0.999</w:t>
            </w:r>
          </w:p>
        </w:tc>
      </w:tr>
      <w:tr w:rsidR="00386C82" w:rsidRPr="00386C82" w:rsidTr="00386C82">
        <w:trPr>
          <w:trHeight w:val="312"/>
        </w:trPr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Legend: </w:t>
            </w:r>
            <w:r w:rsidRPr="0003132F">
              <w:rPr>
                <w:rFonts w:ascii="Times New Roman" w:eastAsia="Times New Roman" w:hAnsi="Times New Roman" w:cs="Times New Roman"/>
                <w:lang w:val="en-US"/>
              </w:rPr>
              <w:t>Values in bold highlight statistically significant differences. n indicates the number of observations at the first available measurement, while N represents the number of individuals used in regression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  <w:p w:rsidR="00386C82" w:rsidRPr="00386C82" w:rsidRDefault="00386C82" w:rsidP="00386C82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132F">
              <w:rPr>
                <w:rFonts w:ascii="Times New Roman" w:eastAsia="Times New Roman" w:hAnsi="Times New Roman" w:cs="Times New Roman"/>
                <w:lang w:val="en-US"/>
              </w:rPr>
              <w:t>*Not measured at baseline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:rsidR="00386C82" w:rsidRPr="00E60AA0" w:rsidRDefault="00386C82" w:rsidP="00386C82">
      <w:pPr>
        <w:pStyle w:val="NormaleWeb"/>
        <w:spacing w:before="1"/>
        <w:outlineLvl w:val="0"/>
        <w:rPr>
          <w:rFonts w:eastAsia="Times New Roman"/>
          <w:b/>
          <w:lang w:val="en-US"/>
        </w:rPr>
      </w:pPr>
      <w:bookmarkStart w:id="10" w:name="_Toc95312217"/>
      <w:bookmarkStart w:id="11" w:name="_Toc95312338"/>
      <w:bookmarkStart w:id="12" w:name="_Toc95312622"/>
      <w:bookmarkStart w:id="13" w:name="_Toc95487956"/>
      <w:r w:rsidRPr="00153C92">
        <w:rPr>
          <w:rFonts w:eastAsia="Times New Roman"/>
          <w:b/>
          <w:sz w:val="22"/>
          <w:szCs w:val="22"/>
          <w:lang w:val="en-US" w:eastAsia="en-US"/>
        </w:rPr>
        <w:t>Table 3. Analysis with no imputation</w:t>
      </w:r>
      <w:bookmarkEnd w:id="10"/>
      <w:bookmarkEnd w:id="11"/>
      <w:bookmarkEnd w:id="12"/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785"/>
        <w:gridCol w:w="1628"/>
        <w:gridCol w:w="913"/>
      </w:tblGrid>
      <w:tr w:rsidR="00386C82" w:rsidRPr="00386C82" w:rsidTr="004E35E9">
        <w:tc>
          <w:tcPr>
            <w:tcW w:w="0" w:type="auto"/>
            <w:shd w:val="clear" w:color="auto" w:fill="808080" w:themeFill="background1" w:themeFillShade="80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lang w:val="en-GB"/>
              </w:rPr>
              <w:t>CONTINUOUS OUTCOMES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Coef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p-value</w:t>
            </w:r>
          </w:p>
        </w:tc>
      </w:tr>
      <w:tr w:rsidR="00386C82" w:rsidRP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lang w:val="en-GB"/>
              </w:rPr>
              <w:t>GHQ-12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-1.020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(-1.720; -0.320)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0.004</w:t>
            </w:r>
          </w:p>
        </w:tc>
      </w:tr>
      <w:tr w:rsid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lang w:val="en-GB"/>
              </w:rPr>
              <w:t>PCL-5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lang w:val="en-GB"/>
              </w:rPr>
              <w:t>-3.144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386C82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Pr="004F18C7">
              <w:rPr>
                <w:rFonts w:ascii="Times New Roman" w:eastAsia="Times New Roman" w:hAnsi="Times New Roman" w:cs="Times New Roman"/>
              </w:rPr>
              <w:t>-6.51</w:t>
            </w:r>
            <w:r>
              <w:rPr>
                <w:rFonts w:ascii="Times New Roman" w:eastAsia="Times New Roman" w:hAnsi="Times New Roman" w:cs="Times New Roman"/>
              </w:rPr>
              <w:t>2; 0</w:t>
            </w:r>
            <w:r w:rsidRPr="004F18C7">
              <w:rPr>
                <w:rFonts w:ascii="Times New Roman" w:eastAsia="Times New Roman" w:hAnsi="Times New Roman" w:cs="Times New Roman"/>
              </w:rPr>
              <w:t>.223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4F18C7">
              <w:rPr>
                <w:rFonts w:ascii="Times New Roman" w:eastAsia="Times New Roman" w:hAnsi="Times New Roman" w:cs="Times New Roman"/>
              </w:rPr>
              <w:t>0.067</w:t>
            </w:r>
          </w:p>
        </w:tc>
      </w:tr>
      <w:tr w:rsid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D10734">
              <w:rPr>
                <w:rFonts w:ascii="Times New Roman" w:eastAsia="Times New Roman" w:hAnsi="Times New Roman" w:cs="Times New Roman"/>
              </w:rPr>
              <w:t>PHQ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1073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DA4012">
              <w:rPr>
                <w:rFonts w:ascii="Times New Roman" w:eastAsia="Times New Roman" w:hAnsi="Times New Roman" w:cs="Times New Roman"/>
                <w:b/>
                <w:bCs/>
              </w:rPr>
              <w:t>-1.567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073251">
              <w:rPr>
                <w:rFonts w:ascii="Times New Roman" w:eastAsia="Times New Roman" w:hAnsi="Times New Roman" w:cs="Times New Roman"/>
                <w:b/>
                <w:bCs/>
              </w:rPr>
              <w:t>-2.807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  <w:r w:rsidRPr="00073251">
              <w:rPr>
                <w:rFonts w:ascii="Times New Roman" w:eastAsia="Times New Roman" w:hAnsi="Times New Roman" w:cs="Times New Roman"/>
                <w:b/>
                <w:bCs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073251">
              <w:rPr>
                <w:rFonts w:ascii="Times New Roman" w:eastAsia="Times New Roman" w:hAnsi="Times New Roman" w:cs="Times New Roman"/>
                <w:b/>
                <w:bCs/>
              </w:rPr>
              <w:t>.32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0.013</w:t>
            </w:r>
          </w:p>
        </w:tc>
      </w:tr>
      <w:tr w:rsid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D10734"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1073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9.777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A056A2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784; </w:t>
            </w:r>
            <w:r w:rsidRPr="00605079">
              <w:rPr>
                <w:rFonts w:ascii="Times New Roman" w:eastAsia="Times New Roman" w:hAnsi="Times New Roman" w:cs="Times New Roman"/>
                <w:b/>
                <w:bCs/>
              </w:rPr>
              <w:t>15.770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A056A2">
              <w:rPr>
                <w:rFonts w:ascii="Times New Roman" w:eastAsia="Times New Roman" w:hAnsi="Times New Roman" w:cs="Times New Roman"/>
                <w:b/>
                <w:bCs/>
              </w:rPr>
              <w:t>0.001</w:t>
            </w:r>
          </w:p>
        </w:tc>
      </w:tr>
      <w:tr w:rsid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D10734">
              <w:rPr>
                <w:rFonts w:ascii="Times New Roman" w:eastAsia="Times New Roman" w:hAnsi="Times New Roman" w:cs="Times New Roman"/>
              </w:rPr>
              <w:t>WHODAS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A056A2">
              <w:rPr>
                <w:rFonts w:ascii="Times New Roman" w:eastAsia="Times New Roman" w:hAnsi="Times New Roman" w:cs="Times New Roman"/>
              </w:rPr>
              <w:t>-0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Pr="00A056A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A056A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056A2">
              <w:rPr>
                <w:rFonts w:ascii="Times New Roman" w:eastAsia="Times New Roman" w:hAnsi="Times New Roman" w:cs="Times New Roman"/>
              </w:rPr>
              <w:t>.04</w:t>
            </w:r>
            <w:r>
              <w:rPr>
                <w:rFonts w:ascii="Times New Roman" w:eastAsia="Times New Roman" w:hAnsi="Times New Roman" w:cs="Times New Roman"/>
              </w:rPr>
              <w:t>1;</w:t>
            </w:r>
            <w:r w:rsidRPr="00A056A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056A2">
              <w:rPr>
                <w:rFonts w:ascii="Times New Roman" w:eastAsia="Times New Roman" w:hAnsi="Times New Roman" w:cs="Times New Roman"/>
              </w:rPr>
              <w:t>.005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A056A2">
              <w:rPr>
                <w:rFonts w:ascii="Times New Roman" w:eastAsia="Times New Roman" w:hAnsi="Times New Roman" w:cs="Times New Roman"/>
              </w:rPr>
              <w:t>0.132</w:t>
            </w:r>
          </w:p>
        </w:tc>
      </w:tr>
      <w:tr w:rsid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D10734">
              <w:rPr>
                <w:rFonts w:ascii="Times New Roman" w:eastAsia="Times New Roman" w:hAnsi="Times New Roman" w:cs="Times New Roman"/>
              </w:rPr>
              <w:t>PSYCHLOPS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EA64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A641F">
              <w:rPr>
                <w:rFonts w:ascii="Times New Roman" w:eastAsia="Times New Roman" w:hAnsi="Times New Roman" w:cs="Times New Roman"/>
              </w:rPr>
              <w:t>.68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EA641F">
              <w:rPr>
                <w:rFonts w:ascii="Times New Roman" w:eastAsia="Times New Roman" w:hAnsi="Times New Roman" w:cs="Times New Roman"/>
              </w:rPr>
              <w:t>-2.087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EA64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A641F">
              <w:rPr>
                <w:rFonts w:ascii="Times New Roman" w:eastAsia="Times New Roman" w:hAnsi="Times New Roman" w:cs="Times New Roman"/>
              </w:rPr>
              <w:t>.715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EA641F">
              <w:rPr>
                <w:rFonts w:ascii="Times New Roman" w:eastAsia="Times New Roman" w:hAnsi="Times New Roman" w:cs="Times New Roman"/>
              </w:rPr>
              <w:t>0.337</w:t>
            </w:r>
          </w:p>
        </w:tc>
      </w:tr>
      <w:tr w:rsidR="00386C82" w:rsidTr="004E35E9"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D10734">
              <w:rPr>
                <w:rFonts w:ascii="Times New Roman" w:eastAsia="Times New Roman" w:hAnsi="Times New Roman" w:cs="Times New Roman"/>
              </w:rPr>
              <w:t>PMLD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EA64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A641F">
              <w:rPr>
                <w:rFonts w:ascii="Times New Roman" w:eastAsia="Times New Roman" w:hAnsi="Times New Roman" w:cs="Times New Roman"/>
              </w:rPr>
              <w:t>.01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EA641F">
              <w:rPr>
                <w:rFonts w:ascii="Times New Roman" w:eastAsia="Times New Roman" w:hAnsi="Times New Roman" w:cs="Times New Roman"/>
              </w:rPr>
              <w:t>-2.645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EA641F">
              <w:rPr>
                <w:rFonts w:ascii="Times New Roman" w:eastAsia="Times New Roman" w:hAnsi="Times New Roman" w:cs="Times New Roman"/>
              </w:rPr>
              <w:t xml:space="preserve"> 2.622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386C82" w:rsidRDefault="00386C82" w:rsidP="004E35E9">
            <w:pPr>
              <w:rPr>
                <w:lang w:val="en-US"/>
              </w:rPr>
            </w:pPr>
            <w:r w:rsidRPr="00EA641F">
              <w:rPr>
                <w:rFonts w:ascii="Times New Roman" w:eastAsia="Times New Roman" w:hAnsi="Times New Roman" w:cs="Times New Roman"/>
              </w:rPr>
              <w:t>0.993</w:t>
            </w:r>
          </w:p>
        </w:tc>
      </w:tr>
    </w:tbl>
    <w:p w:rsidR="00386C82" w:rsidRDefault="00386C82" w:rsidP="00386C82">
      <w:pPr>
        <w:pStyle w:val="NormaleWeb"/>
        <w:spacing w:before="1" w:after="240" w:afterAutospacing="0"/>
        <w:outlineLvl w:val="0"/>
        <w:rPr>
          <w:rFonts w:eastAsia="Times New Roman"/>
          <w:b/>
          <w:sz w:val="22"/>
          <w:szCs w:val="22"/>
          <w:lang w:val="en-US" w:eastAsia="en-US"/>
        </w:rPr>
      </w:pPr>
      <w:bookmarkStart w:id="14" w:name="_Toc95312218"/>
      <w:bookmarkStart w:id="15" w:name="_Toc95312339"/>
      <w:bookmarkStart w:id="16" w:name="_Toc95312623"/>
      <w:bookmarkStart w:id="17" w:name="_Toc95487957"/>
      <w:r w:rsidRPr="00153C92">
        <w:rPr>
          <w:rFonts w:eastAsia="Times New Roman"/>
          <w:b/>
          <w:sz w:val="22"/>
          <w:szCs w:val="22"/>
          <w:lang w:val="en-US" w:eastAsia="en-US"/>
        </w:rPr>
        <w:t>Table 4. Results controlling for imbalances at baseline</w:t>
      </w:r>
      <w:bookmarkEnd w:id="14"/>
      <w:bookmarkEnd w:id="15"/>
      <w:bookmarkEnd w:id="16"/>
      <w:bookmarkEnd w:id="1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785"/>
        <w:gridCol w:w="1628"/>
        <w:gridCol w:w="913"/>
      </w:tblGrid>
      <w:tr w:rsidR="00386C82" w:rsidTr="004E35E9">
        <w:trPr>
          <w:trHeight w:val="23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sz w:val="22"/>
                <w:szCs w:val="22"/>
                <w:lang w:val="en-GB"/>
              </w:rPr>
              <w:t>BINARY OUTCOMES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sz w:val="22"/>
                <w:szCs w:val="22"/>
              </w:rPr>
              <w:t>RR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sz w:val="22"/>
                <w:szCs w:val="22"/>
              </w:rPr>
              <w:t>CI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sz w:val="22"/>
                <w:szCs w:val="22"/>
              </w:rPr>
              <w:t>p-value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MINI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0.751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(0.457; 1.235)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0.260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sz w:val="22"/>
                <w:szCs w:val="22"/>
              </w:rPr>
              <w:t>CONTINUOUS OUTCOMES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Coef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CI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p-value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GHQ-12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Cs/>
                <w:sz w:val="22"/>
                <w:szCs w:val="22"/>
              </w:rPr>
              <w:t>-0.636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Cs/>
                <w:sz w:val="22"/>
                <w:szCs w:val="22"/>
              </w:rPr>
              <w:t>(-1.319; 0.047)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Cs/>
                <w:sz w:val="22"/>
                <w:szCs w:val="22"/>
              </w:rPr>
              <w:t>0.068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PCL-5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-1.980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(-4.912; 0.953)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0.185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PHQ-9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-1.248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(-2.469; -0.026)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0.045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WHO-5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9.686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(4.446; 14.926)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WHODAS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-0.012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(-0.033; 0.009)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0.266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PSYCHLOPS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-0.414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(-1.595; 0.767)</w:t>
            </w:r>
          </w:p>
        </w:tc>
        <w:tc>
          <w:tcPr>
            <w:tcW w:w="0" w:type="auto"/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0.491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PMLD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0.168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(-2.234; 2.570)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0.891</w:t>
            </w:r>
          </w:p>
        </w:tc>
      </w:tr>
      <w:tr w:rsidR="00386C82" w:rsidTr="004E35E9">
        <w:trPr>
          <w:trHeight w:val="23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EQ-5D-3L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-0.225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(-0.549; 0.099)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6C82" w:rsidRPr="00CC6616" w:rsidRDefault="00386C82" w:rsidP="004E35E9">
            <w:pPr>
              <w:pStyle w:val="NormaleWeb"/>
              <w:spacing w:before="1" w:after="0" w:afterAutospacing="0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C6616">
              <w:rPr>
                <w:rFonts w:eastAsia="Times New Roman"/>
                <w:sz w:val="22"/>
                <w:szCs w:val="22"/>
              </w:rPr>
              <w:t>0.173</w:t>
            </w:r>
          </w:p>
        </w:tc>
      </w:tr>
    </w:tbl>
    <w:p w:rsidR="00386C82" w:rsidRDefault="00386C82" w:rsidP="00386C82">
      <w:pPr>
        <w:pStyle w:val="NormaleWeb"/>
        <w:ind w:right="3"/>
        <w:jc w:val="both"/>
        <w:outlineLvl w:val="0"/>
        <w:rPr>
          <w:rFonts w:eastAsiaTheme="minorHAnsi"/>
          <w:b/>
          <w:sz w:val="22"/>
          <w:szCs w:val="22"/>
          <w:lang w:val="en-GB"/>
        </w:rPr>
      </w:pPr>
      <w:bookmarkStart w:id="18" w:name="_Toc95312219"/>
      <w:bookmarkStart w:id="19" w:name="_Toc95312340"/>
      <w:bookmarkStart w:id="20" w:name="_Toc95312624"/>
      <w:bookmarkStart w:id="21" w:name="_Toc95487958"/>
      <w:r>
        <w:rPr>
          <w:rFonts w:eastAsiaTheme="minorHAnsi"/>
          <w:b/>
          <w:sz w:val="22"/>
          <w:szCs w:val="22"/>
          <w:lang w:val="en-GB"/>
        </w:rPr>
        <w:t xml:space="preserve">Table 5.  Balance of clinical and sociodemographic variables </w:t>
      </w:r>
      <w:r w:rsidRPr="00C96405">
        <w:rPr>
          <w:rFonts w:eastAsiaTheme="minorHAnsi"/>
          <w:b/>
          <w:sz w:val="22"/>
          <w:szCs w:val="22"/>
          <w:lang w:val="en-GB"/>
        </w:rPr>
        <w:t xml:space="preserve">between </w:t>
      </w:r>
      <w:r>
        <w:rPr>
          <w:rFonts w:eastAsiaTheme="minorHAnsi"/>
          <w:b/>
          <w:sz w:val="22"/>
          <w:szCs w:val="22"/>
          <w:lang w:val="en-GB"/>
        </w:rPr>
        <w:t>Lost-to-follow-up (</w:t>
      </w:r>
      <w:r w:rsidRPr="00C96405">
        <w:rPr>
          <w:rFonts w:eastAsiaTheme="minorHAnsi"/>
          <w:b/>
          <w:sz w:val="22"/>
          <w:szCs w:val="22"/>
          <w:lang w:val="en-GB"/>
        </w:rPr>
        <w:t>LTFU</w:t>
      </w:r>
      <w:r>
        <w:rPr>
          <w:rFonts w:eastAsiaTheme="minorHAnsi"/>
          <w:b/>
          <w:sz w:val="22"/>
          <w:szCs w:val="22"/>
          <w:lang w:val="en-GB"/>
        </w:rPr>
        <w:t xml:space="preserve">) and </w:t>
      </w:r>
      <w:r w:rsidRPr="00C96405">
        <w:rPr>
          <w:rFonts w:eastAsiaTheme="minorHAnsi"/>
          <w:b/>
          <w:sz w:val="22"/>
          <w:szCs w:val="22"/>
          <w:lang w:val="en-GB"/>
        </w:rPr>
        <w:t>non-LTFU</w:t>
      </w:r>
      <w:r>
        <w:rPr>
          <w:rFonts w:eastAsiaTheme="minorHAnsi"/>
          <w:b/>
          <w:sz w:val="22"/>
          <w:szCs w:val="22"/>
          <w:lang w:val="en-GB"/>
        </w:rPr>
        <w:t xml:space="preserve"> (completers)</w:t>
      </w:r>
      <w:bookmarkEnd w:id="18"/>
      <w:bookmarkEnd w:id="19"/>
      <w:bookmarkEnd w:id="20"/>
      <w:bookmarkEnd w:id="21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1533"/>
        <w:gridCol w:w="1155"/>
        <w:gridCol w:w="1386"/>
        <w:gridCol w:w="2622"/>
      </w:tblGrid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782D">
              <w:rPr>
                <w:rFonts w:ascii="Times New Roman" w:eastAsia="Times New Roman" w:hAnsi="Times New Roman" w:cs="Times New Roman"/>
                <w:b/>
              </w:rPr>
              <w:t>Clinical Variable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Mean completers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Mean</w:t>
            </w:r>
            <w:r w:rsidRPr="0055782D">
              <w:rPr>
                <w:rFonts w:ascii="Times New Roman" w:eastAsia="Times New Roman" w:hAnsi="Times New Roman" w:cs="Times New Roman"/>
                <w:b/>
              </w:rPr>
              <w:t xml:space="preserve"> LTFU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782D">
              <w:rPr>
                <w:rFonts w:ascii="Times New Roman" w:eastAsia="Times New Roman" w:hAnsi="Times New Roman" w:cs="Times New Roman"/>
                <w:b/>
              </w:rPr>
              <w:t>Difference (SE)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</w:rPr>
              <w:t>Standardized Mean Difference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GHQ-12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5.362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5.796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  <w:lang w:eastAsia="it-IT"/>
              </w:rPr>
              <w:t>0.133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(2.277)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(2.347)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(0.216)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PCL-5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24.168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23.226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-0.041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(16.161)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(16.497)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(1.527)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PHQ-9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8.317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8.563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0.031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(5.552)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(5.827)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(0.532)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WHO-5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46.197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48.008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1.811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0.053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(23.782)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(24.881)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(2.274)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WHODAS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-0.034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(0.142)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(0.143)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PSYCHLOPS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14.118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13.888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-0.039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(4.013)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(4.421)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(0.406)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</w:rPr>
              <w:t>EQ-5D-3L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0.083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(0.290)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(0.262)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</w:rPr>
              <w:t>Sociodemographic variables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hAnsi="Times New Roman" w:cs="Times New Roman"/>
              </w:rPr>
              <w:t>Mean age (SD),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32.654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31.784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-0.060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(9.849)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(10.547)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(0.953)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68/246.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66/213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0.052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27.64%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30.99%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55782D">
              <w:rPr>
                <w:rFonts w:ascii="Times New Roman" w:hAnsi="Times New Roman" w:cs="Times New Roman"/>
                <w:i/>
              </w:rPr>
              <w:t>Country of origin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Afghanistan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42/246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24/213</w:t>
            </w:r>
            <w:r w:rsidRPr="0055782D" w:rsidDel="0065736F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  <w:lang w:eastAsia="it-IT"/>
              </w:rPr>
              <w:t>-0.118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(17.07%)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(11.27%)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Iraq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46/246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 37/213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-0.024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(18.70%)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(17.37%)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Nigeria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 w:rsidDel="00AA5844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59/246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55/213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0.030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(23.98%)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(25.82%)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Pakistan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16/246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25/213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  <w:lang w:eastAsia="it-IT"/>
              </w:rPr>
              <w:t>0.129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(6.50%)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(11.74%)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Syria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72/246</w:t>
            </w:r>
            <w:r w:rsidRPr="0055782D" w:rsidDel="00F4526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58/213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-0.032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 (29.27%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(27.23%)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Other_country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11/246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14/213 (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0.065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(4.47%)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(6.57%)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hAnsi="Times New Roman" w:cs="Times New Roman"/>
              </w:rPr>
              <w:t xml:space="preserve">Mean relatives (SD), </w:t>
            </w:r>
            <w:r w:rsidRPr="0055782D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1.728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1.305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  <w:lang w:eastAsia="it-IT"/>
              </w:rPr>
              <w:t>-0.137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(2.331)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(2.036)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(0.206)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hAnsi="Times New Roman" w:cs="Times New Roman"/>
              </w:rPr>
              <w:t xml:space="preserve">Mean children (SD), </w:t>
            </w:r>
            <w:r w:rsidRPr="0055782D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1.523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1.170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b/>
                <w:lang w:eastAsia="it-IT"/>
              </w:rPr>
              <w:t>-0.118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(2.331)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(1.860)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Mean education (SD),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10.192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10.433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0.033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(5.411)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(4.899)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(0.498)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i/>
                <w:lang w:eastAsia="it-IT"/>
              </w:rPr>
              <w:t>Type of 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Illiterate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23/242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 w:rsidDel="009A7E0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16/211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-0.049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 (9.50%)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(7.58%)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Primary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98/242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96/211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0.071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(40.50%)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(45.50%)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High_School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64/242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62/211</w:t>
            </w:r>
            <w:r w:rsidRPr="0055782D" w:rsidDel="009A7E0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0.046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(26.45%)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(29.38%)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55/242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37/211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-0.092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(22.73%)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(17.54%)</w:t>
            </w:r>
            <w:r w:rsidRPr="0055782D" w:rsidDel="0065736F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i/>
                <w:lang w:eastAsia="it-IT"/>
              </w:rPr>
              <w:t>Travel route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Balkan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 w:rsidDel="00B61BB2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76/246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68/213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0.016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(30.89%)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(31.92%)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Eastern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56/246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40/213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-0.069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(22.76%)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(18.78%)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African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64/246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61/213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0.042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(26.02%)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(28.64%)</w:t>
            </w:r>
            <w:r w:rsidRPr="0055782D" w:rsidDel="0028550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Other_route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47/246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 xml:space="preserve">42/213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0.011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(19.11%)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(19.72%)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(0.037)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val="en-US"/>
              </w:rPr>
              <w:t>Travel duration in month Mean (SD)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10.401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10.535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0.005</w:t>
            </w:r>
          </w:p>
        </w:tc>
      </w:tr>
      <w:tr w:rsidR="00386C82" w:rsidRPr="0055782D" w:rsidTr="004E35E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(19.857)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(21.681)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(2.098)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86C82" w:rsidRPr="0055782D" w:rsidTr="004E35E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C82" w:rsidRPr="0055782D" w:rsidRDefault="00386C82" w:rsidP="004E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82D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</w:tbl>
    <w:p w:rsidR="00386C82" w:rsidRDefault="00386C82" w:rsidP="00386C82">
      <w:pPr>
        <w:pStyle w:val="NormaleWeb"/>
        <w:spacing w:before="1"/>
        <w:rPr>
          <w:rFonts w:eastAsiaTheme="minorHAnsi"/>
          <w:b/>
          <w:sz w:val="22"/>
          <w:szCs w:val="22"/>
          <w:lang w:val="en-GB"/>
        </w:rPr>
      </w:pPr>
    </w:p>
    <w:p w:rsidR="00386C82" w:rsidRDefault="00386C82" w:rsidP="00386C82">
      <w:pPr>
        <w:pStyle w:val="NormaleWeb"/>
        <w:spacing w:before="1"/>
        <w:rPr>
          <w:rFonts w:eastAsia="Times New Roman"/>
          <w:b/>
          <w:sz w:val="22"/>
          <w:szCs w:val="22"/>
          <w:lang w:val="en-US" w:eastAsia="en-US"/>
        </w:rPr>
      </w:pPr>
    </w:p>
    <w:p w:rsidR="00386C82" w:rsidRDefault="00386C82" w:rsidP="00386C82">
      <w:pPr>
        <w:pStyle w:val="NormaleWeb"/>
        <w:spacing w:before="1"/>
        <w:outlineLvl w:val="0"/>
        <w:rPr>
          <w:rFonts w:eastAsia="Times New Roman"/>
          <w:b/>
          <w:sz w:val="22"/>
          <w:szCs w:val="22"/>
          <w:lang w:val="en-US" w:eastAsia="en-US"/>
        </w:rPr>
      </w:pPr>
      <w:bookmarkStart w:id="22" w:name="_Toc95312220"/>
      <w:bookmarkStart w:id="23" w:name="_Toc95312341"/>
      <w:bookmarkStart w:id="24" w:name="_Toc95312625"/>
    </w:p>
    <w:p w:rsidR="00386C82" w:rsidRPr="00FF103B" w:rsidRDefault="00386C82" w:rsidP="00386C82">
      <w:pPr>
        <w:pStyle w:val="NormaleWeb"/>
        <w:spacing w:before="1"/>
        <w:outlineLvl w:val="0"/>
        <w:rPr>
          <w:rFonts w:eastAsia="Times New Roman"/>
          <w:b/>
          <w:sz w:val="22"/>
          <w:szCs w:val="22"/>
          <w:lang w:val="en-US" w:eastAsia="en-US"/>
        </w:rPr>
      </w:pPr>
      <w:bookmarkStart w:id="25" w:name="_Toc95487959"/>
      <w:r w:rsidRPr="00FF103B">
        <w:rPr>
          <w:rFonts w:eastAsia="Times New Roman"/>
          <w:b/>
          <w:sz w:val="22"/>
          <w:szCs w:val="22"/>
          <w:lang w:val="en-US" w:eastAsia="en-US"/>
        </w:rPr>
        <w:lastRenderedPageBreak/>
        <w:t>Table 6. Frequency of health service use during the study</w:t>
      </w:r>
      <w:bookmarkEnd w:id="22"/>
      <w:bookmarkEnd w:id="23"/>
      <w:bookmarkEnd w:id="24"/>
      <w:bookmarkEnd w:id="2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643"/>
        <w:gridCol w:w="1813"/>
        <w:gridCol w:w="1813"/>
        <w:gridCol w:w="1813"/>
      </w:tblGrid>
      <w:tr w:rsidR="00386C82" w:rsidRPr="004E35E9" w:rsidTr="004E35E9">
        <w:tc>
          <w:tcPr>
            <w:tcW w:w="1980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Pr="00FF103B">
              <w:rPr>
                <w:rFonts w:ascii="Times New Roman" w:hAnsi="Times New Roman" w:cs="Times New Roman"/>
                <w:lang w:val="en-GB"/>
              </w:rPr>
              <w:t xml:space="preserve">TAU </w:t>
            </w:r>
          </w:p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r w:rsidRPr="00FF103B">
              <w:rPr>
                <w:rFonts w:ascii="Times New Roman" w:hAnsi="Times New Roman" w:cs="Times New Roman"/>
                <w:lang w:val="en-GB"/>
              </w:rPr>
              <w:t>N=135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SH+</w:t>
            </w:r>
          </w:p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r w:rsidRPr="00FF103B">
              <w:rPr>
                <w:rFonts w:ascii="Times New Roman" w:hAnsi="Times New Roman" w:cs="Times New Roman"/>
                <w:lang w:val="en-GB"/>
              </w:rPr>
              <w:t>N=114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Total</w:t>
            </w:r>
            <w:r>
              <w:rPr>
                <w:rFonts w:ascii="Times New Roman" w:hAnsi="Times New Roman" w:cs="Times New Roman"/>
                <w:lang w:val="en-GB"/>
              </w:rPr>
              <w:t xml:space="preserve"> (N=249)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Chi-square/Fisher’s exact test*</w:t>
            </w:r>
          </w:p>
        </w:tc>
      </w:tr>
      <w:tr w:rsidR="00386C82" w:rsidTr="004E35E9">
        <w:tc>
          <w:tcPr>
            <w:tcW w:w="1980" w:type="dxa"/>
          </w:tcPr>
          <w:p w:rsidR="00386C82" w:rsidRPr="00270F68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Use n (%)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Use n (%)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Use n (%)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</w:t>
            </w:r>
          </w:p>
        </w:tc>
      </w:tr>
      <w:tr w:rsidR="00386C82" w:rsidTr="004E35E9">
        <w:tc>
          <w:tcPr>
            <w:tcW w:w="1980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Primary health care</w:t>
            </w: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50 (37.04)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42 (36.84)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92 (36.95)</w:t>
            </w:r>
          </w:p>
        </w:tc>
        <w:tc>
          <w:tcPr>
            <w:tcW w:w="1813" w:type="dxa"/>
            <w:vAlign w:val="center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color w:val="000000"/>
              </w:rPr>
            </w:pPr>
            <w:r w:rsidRPr="00FF103B">
              <w:rPr>
                <w:rFonts w:ascii="Times New Roman" w:hAnsi="Times New Roman" w:cs="Times New Roman"/>
                <w:color w:val="000000"/>
                <w:lang w:val="en-GB"/>
              </w:rPr>
              <w:t>0.97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5</w:t>
            </w:r>
          </w:p>
        </w:tc>
      </w:tr>
      <w:tr w:rsidR="00386C82" w:rsidTr="004E35E9">
        <w:tc>
          <w:tcPr>
            <w:tcW w:w="1980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Community mental health </w:t>
            </w:r>
            <w:r w:rsidRPr="00FF103B">
              <w:rPr>
                <w:rFonts w:ascii="Times New Roman" w:hAnsi="Times New Roman" w:cs="Times New Roman"/>
                <w:lang w:val="en-GB"/>
              </w:rPr>
              <w:t>care</w:t>
            </w: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2 (1.48)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2 (1.75)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4 (1.61)</w:t>
            </w:r>
          </w:p>
        </w:tc>
        <w:tc>
          <w:tcPr>
            <w:tcW w:w="1813" w:type="dxa"/>
            <w:vAlign w:val="center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1</w:t>
            </w:r>
            <w:r w:rsidRPr="00FF103B"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000</w:t>
            </w:r>
          </w:p>
        </w:tc>
      </w:tr>
      <w:tr w:rsidR="00386C82" w:rsidTr="004E35E9">
        <w:tc>
          <w:tcPr>
            <w:tcW w:w="1980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Any outpatient treatment</w:t>
            </w: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20 (14.81)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12 (10.53)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32 (12.85)</w:t>
            </w:r>
          </w:p>
        </w:tc>
        <w:tc>
          <w:tcPr>
            <w:tcW w:w="1813" w:type="dxa"/>
            <w:vAlign w:val="center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color w:val="000000"/>
              </w:rPr>
            </w:pPr>
            <w:r w:rsidRPr="00FF103B">
              <w:rPr>
                <w:rFonts w:ascii="Times New Roman" w:hAnsi="Times New Roman" w:cs="Times New Roman"/>
                <w:color w:val="000000"/>
                <w:lang w:val="en-GB"/>
              </w:rPr>
              <w:t>0.31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4</w:t>
            </w:r>
          </w:p>
        </w:tc>
      </w:tr>
      <w:tr w:rsidR="00386C82" w:rsidTr="004E35E9">
        <w:tc>
          <w:tcPr>
            <w:tcW w:w="1980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General hospital inpatient </w:t>
            </w:r>
            <w:r w:rsidRPr="00FF103B">
              <w:rPr>
                <w:rFonts w:ascii="Times New Roman" w:hAnsi="Times New Roman" w:cs="Times New Roman"/>
                <w:lang w:val="en-GB"/>
              </w:rPr>
              <w:t>treatment</w:t>
            </w: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3 (2.22)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6 (5.26)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9 (3.61)</w:t>
            </w:r>
          </w:p>
        </w:tc>
        <w:tc>
          <w:tcPr>
            <w:tcW w:w="1813" w:type="dxa"/>
            <w:vAlign w:val="center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color w:val="000000"/>
              </w:rPr>
            </w:pPr>
            <w:r w:rsidRPr="00FF103B">
              <w:rPr>
                <w:rFonts w:ascii="Times New Roman" w:hAnsi="Times New Roman" w:cs="Times New Roman"/>
                <w:color w:val="000000"/>
                <w:lang w:val="en-GB"/>
              </w:rPr>
              <w:t>0.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348</w:t>
            </w:r>
          </w:p>
        </w:tc>
      </w:tr>
      <w:tr w:rsidR="00386C82" w:rsidTr="004E35E9">
        <w:tc>
          <w:tcPr>
            <w:tcW w:w="1980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Any medications</w:t>
            </w:r>
          </w:p>
        </w:tc>
        <w:tc>
          <w:tcPr>
            <w:tcW w:w="164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22 (16.30)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15 (13.16)</w:t>
            </w:r>
          </w:p>
        </w:tc>
        <w:tc>
          <w:tcPr>
            <w:tcW w:w="1813" w:type="dxa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37 (14.86)</w:t>
            </w:r>
          </w:p>
        </w:tc>
        <w:tc>
          <w:tcPr>
            <w:tcW w:w="1813" w:type="dxa"/>
            <w:vAlign w:val="center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color w:val="000000"/>
              </w:rPr>
            </w:pPr>
            <w:r w:rsidRPr="00FF103B">
              <w:rPr>
                <w:rFonts w:ascii="Times New Roman" w:hAnsi="Times New Roman" w:cs="Times New Roman"/>
                <w:color w:val="000000"/>
                <w:lang w:val="en-GB"/>
              </w:rPr>
              <w:t>0.4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88</w:t>
            </w:r>
          </w:p>
        </w:tc>
      </w:tr>
      <w:tr w:rsidR="00386C82" w:rsidTr="004E35E9">
        <w:tc>
          <w:tcPr>
            <w:tcW w:w="1980" w:type="dxa"/>
            <w:tcBorders>
              <w:bottom w:val="single" w:sz="4" w:space="0" w:color="auto"/>
            </w:tcBorders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72 (53.33)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54 (47.37)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lang w:val="en-GB"/>
              </w:rPr>
            </w:pPr>
            <w:r w:rsidRPr="00FF103B">
              <w:rPr>
                <w:rFonts w:ascii="Times New Roman" w:hAnsi="Times New Roman" w:cs="Times New Roman"/>
                <w:lang w:val="en-GB"/>
              </w:rPr>
              <w:t>126 (50.60)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386C82" w:rsidRPr="00FF103B" w:rsidRDefault="00386C82" w:rsidP="004E35E9">
            <w:pPr>
              <w:rPr>
                <w:rFonts w:ascii="Times New Roman" w:hAnsi="Times New Roman" w:cs="Times New Roman"/>
                <w:color w:val="000000"/>
              </w:rPr>
            </w:pPr>
            <w:r w:rsidRPr="00FF103B">
              <w:rPr>
                <w:rFonts w:ascii="Times New Roman" w:hAnsi="Times New Roman" w:cs="Times New Roman"/>
                <w:color w:val="000000"/>
                <w:lang w:val="en-GB"/>
              </w:rPr>
              <w:t>0.3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48</w:t>
            </w:r>
          </w:p>
        </w:tc>
      </w:tr>
      <w:tr w:rsidR="00386C82" w:rsidRPr="004E35E9" w:rsidTr="004E35E9">
        <w:tc>
          <w:tcPr>
            <w:tcW w:w="9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6C82" w:rsidRPr="00270F68" w:rsidRDefault="00386C82" w:rsidP="00386C82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84F07">
              <w:rPr>
                <w:rFonts w:ascii="Times New Roman" w:hAnsi="Times New Roman" w:cs="Times New Roman"/>
                <w:b/>
                <w:color w:val="000000"/>
                <w:lang w:val="en-GB"/>
              </w:rPr>
              <w:t>Legend: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*</w:t>
            </w:r>
            <w:r w:rsidRPr="00270F68">
              <w:rPr>
                <w:rFonts w:ascii="Times New Roman" w:hAnsi="Times New Roman" w:cs="Times New Roman"/>
                <w:color w:val="000000"/>
                <w:lang w:val="en-GB"/>
              </w:rPr>
              <w:t>Fisher’s exact test was adopted if at least one cell had an expected frequency below 5; Chi-square test was performed otherwise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</w:tc>
      </w:tr>
    </w:tbl>
    <w:p w:rsidR="00386C82" w:rsidRDefault="00386C82" w:rsidP="00386C82">
      <w:pPr>
        <w:pStyle w:val="NormaleWeb"/>
        <w:spacing w:before="1"/>
        <w:rPr>
          <w:rFonts w:eastAsia="Times New Roman"/>
          <w:b/>
          <w:sz w:val="22"/>
          <w:szCs w:val="22"/>
          <w:lang w:val="en-US" w:eastAsia="en-US"/>
        </w:rPr>
      </w:pPr>
    </w:p>
    <w:p w:rsidR="00386C82" w:rsidRPr="00153C92" w:rsidRDefault="00386C82" w:rsidP="00386C82">
      <w:pPr>
        <w:pStyle w:val="NormaleWeb"/>
        <w:spacing w:before="1"/>
        <w:outlineLvl w:val="0"/>
        <w:rPr>
          <w:rFonts w:eastAsia="Times New Roman"/>
          <w:b/>
          <w:sz w:val="22"/>
          <w:szCs w:val="22"/>
          <w:lang w:val="en-US" w:eastAsia="en-US"/>
        </w:rPr>
      </w:pPr>
      <w:bookmarkStart w:id="26" w:name="_Toc95312221"/>
      <w:bookmarkStart w:id="27" w:name="_Toc95312342"/>
      <w:bookmarkStart w:id="28" w:name="_Toc95312626"/>
      <w:bookmarkStart w:id="29" w:name="_Toc95487960"/>
      <w:r w:rsidRPr="00153C92">
        <w:rPr>
          <w:rFonts w:eastAsia="Times New Roman"/>
          <w:b/>
          <w:sz w:val="22"/>
          <w:szCs w:val="22"/>
          <w:lang w:val="en-US" w:eastAsia="en-US"/>
        </w:rPr>
        <w:t>Test of interactions</w:t>
      </w:r>
      <w:bookmarkEnd w:id="26"/>
      <w:bookmarkEnd w:id="27"/>
      <w:bookmarkEnd w:id="28"/>
      <w:bookmarkEnd w:id="29"/>
      <w:r w:rsidRPr="00153C92">
        <w:rPr>
          <w:rFonts w:eastAsia="Times New Roman"/>
          <w:b/>
          <w:sz w:val="22"/>
          <w:szCs w:val="22"/>
          <w:lang w:val="en-US" w:eastAsia="en-US"/>
        </w:rPr>
        <w:t xml:space="preserve"> </w:t>
      </w:r>
    </w:p>
    <w:p w:rsidR="00386C82" w:rsidRDefault="00386C82" w:rsidP="00386C82">
      <w:pPr>
        <w:pStyle w:val="NormaleWeb"/>
        <w:spacing w:line="480" w:lineRule="auto"/>
        <w:ind w:right="3"/>
        <w:jc w:val="both"/>
        <w:rPr>
          <w:rFonts w:eastAsiaTheme="minorHAnsi"/>
          <w:sz w:val="22"/>
          <w:szCs w:val="22"/>
          <w:lang w:val="en-GB"/>
        </w:rPr>
      </w:pPr>
      <w:r w:rsidRPr="00C42174">
        <w:rPr>
          <w:rFonts w:eastAsiaTheme="minorHAnsi"/>
          <w:sz w:val="22"/>
          <w:szCs w:val="22"/>
          <w:lang w:val="en-GB"/>
        </w:rPr>
        <w:t xml:space="preserve">In </w:t>
      </w:r>
      <w:r>
        <w:rPr>
          <w:rFonts w:eastAsiaTheme="minorHAnsi"/>
          <w:sz w:val="22"/>
          <w:szCs w:val="22"/>
          <w:lang w:val="en-GB"/>
        </w:rPr>
        <w:t xml:space="preserve">separate </w:t>
      </w:r>
      <w:r w:rsidRPr="00C42174">
        <w:rPr>
          <w:rFonts w:eastAsiaTheme="minorHAnsi"/>
          <w:sz w:val="22"/>
          <w:szCs w:val="22"/>
          <w:lang w:val="en-GB"/>
        </w:rPr>
        <w:t xml:space="preserve">regression models </w:t>
      </w:r>
      <w:r>
        <w:rPr>
          <w:rFonts w:eastAsiaTheme="minorHAnsi"/>
          <w:sz w:val="22"/>
          <w:szCs w:val="22"/>
          <w:lang w:val="en-GB"/>
        </w:rPr>
        <w:t xml:space="preserve">for each possible moderator (i.e., </w:t>
      </w:r>
      <w:r w:rsidRPr="00C42174">
        <w:rPr>
          <w:rFonts w:eastAsiaTheme="minorHAnsi"/>
          <w:sz w:val="22"/>
          <w:szCs w:val="22"/>
          <w:lang w:val="en-GB"/>
        </w:rPr>
        <w:t>the variables related to gender, education in years, age, length of stay in the host country, country of origin, and recruiting center</w:t>
      </w:r>
      <w:r>
        <w:rPr>
          <w:rFonts w:eastAsiaTheme="minorHAnsi"/>
          <w:sz w:val="22"/>
          <w:szCs w:val="22"/>
          <w:lang w:val="en-GB"/>
        </w:rPr>
        <w:t>)</w:t>
      </w:r>
      <w:r w:rsidRPr="00C42174">
        <w:rPr>
          <w:rFonts w:eastAsiaTheme="minorHAnsi"/>
          <w:sz w:val="22"/>
          <w:szCs w:val="22"/>
          <w:lang w:val="en-GB"/>
        </w:rPr>
        <w:t xml:space="preserve"> considering</w:t>
      </w:r>
      <w:r>
        <w:rPr>
          <w:rFonts w:eastAsiaTheme="minorHAnsi"/>
          <w:sz w:val="22"/>
          <w:szCs w:val="22"/>
          <w:lang w:val="en-GB"/>
        </w:rPr>
        <w:t>,</w:t>
      </w:r>
      <w:r w:rsidRPr="00C42174">
        <w:rPr>
          <w:rFonts w:eastAsiaTheme="minorHAnsi"/>
          <w:sz w:val="22"/>
          <w:szCs w:val="22"/>
          <w:lang w:val="en-GB"/>
        </w:rPr>
        <w:t xml:space="preserve"> as outcome variable</w:t>
      </w:r>
      <w:r>
        <w:rPr>
          <w:rFonts w:eastAsiaTheme="minorHAnsi"/>
          <w:sz w:val="22"/>
          <w:szCs w:val="22"/>
          <w:lang w:val="en-GB"/>
        </w:rPr>
        <w:t>,</w:t>
      </w:r>
      <w:r w:rsidRPr="00C42174">
        <w:rPr>
          <w:rFonts w:eastAsiaTheme="minorHAnsi"/>
          <w:sz w:val="22"/>
          <w:szCs w:val="22"/>
          <w:lang w:val="en-GB"/>
        </w:rPr>
        <w:t xml:space="preserve"> the </w:t>
      </w:r>
      <w:r>
        <w:rPr>
          <w:rFonts w:eastAsiaTheme="minorHAnsi"/>
          <w:sz w:val="22"/>
          <w:szCs w:val="22"/>
          <w:lang w:val="en-GB"/>
        </w:rPr>
        <w:t>binary outcomes</w:t>
      </w:r>
      <w:r w:rsidRPr="00C42174">
        <w:rPr>
          <w:rFonts w:eastAsiaTheme="minorHAnsi"/>
          <w:sz w:val="22"/>
          <w:szCs w:val="22"/>
          <w:lang w:val="en-GB"/>
        </w:rPr>
        <w:t xml:space="preserve"> and, as regressors</w:t>
      </w:r>
      <w:r>
        <w:rPr>
          <w:rFonts w:eastAsiaTheme="minorHAnsi"/>
          <w:sz w:val="22"/>
          <w:szCs w:val="22"/>
          <w:lang w:val="en-GB"/>
        </w:rPr>
        <w:t>,</w:t>
      </w:r>
      <w:r w:rsidRPr="00C42174">
        <w:rPr>
          <w:rFonts w:eastAsiaTheme="minorHAnsi"/>
          <w:sz w:val="22"/>
          <w:szCs w:val="22"/>
          <w:lang w:val="en-GB"/>
        </w:rPr>
        <w:t xml:space="preserve"> intervention allocation</w:t>
      </w:r>
      <w:r>
        <w:rPr>
          <w:rFonts w:eastAsiaTheme="minorHAnsi"/>
          <w:sz w:val="22"/>
          <w:szCs w:val="22"/>
          <w:lang w:val="en-GB"/>
        </w:rPr>
        <w:t xml:space="preserve">, the potential moderator </w:t>
      </w:r>
      <w:r w:rsidRPr="00C42174">
        <w:rPr>
          <w:rFonts w:eastAsiaTheme="minorHAnsi"/>
          <w:sz w:val="22"/>
          <w:szCs w:val="22"/>
          <w:lang w:val="en-GB"/>
        </w:rPr>
        <w:t xml:space="preserve">and their interaction, none of the interactions reached the conventional statistical threshold at 12 month follow-up. By performing seemingly unrelated regression on </w:t>
      </w:r>
      <w:r>
        <w:rPr>
          <w:rFonts w:eastAsiaTheme="minorHAnsi"/>
          <w:sz w:val="22"/>
          <w:szCs w:val="22"/>
          <w:lang w:val="en-GB"/>
        </w:rPr>
        <w:t>continuous</w:t>
      </w:r>
      <w:r w:rsidRPr="00C42174">
        <w:rPr>
          <w:rFonts w:eastAsiaTheme="minorHAnsi"/>
          <w:sz w:val="22"/>
          <w:szCs w:val="22"/>
          <w:lang w:val="en-GB"/>
        </w:rPr>
        <w:t xml:space="preserve"> outcomes, a global test on all interactions of intervention status turned out to be statistically significant (p-value 0.004). Single regressions were tested and found global statistical significance of all interactions only in the regression having PSYCHLOPS as outcome (p-value 0.042). This analysis found that </w:t>
      </w:r>
      <w:r>
        <w:rPr>
          <w:rFonts w:eastAsiaTheme="minorHAnsi"/>
          <w:sz w:val="22"/>
          <w:szCs w:val="22"/>
          <w:lang w:val="en-GB"/>
        </w:rPr>
        <w:t>study center</w:t>
      </w:r>
      <w:r w:rsidRPr="00C42174">
        <w:rPr>
          <w:rFonts w:eastAsiaTheme="minorHAnsi"/>
          <w:sz w:val="22"/>
          <w:szCs w:val="22"/>
          <w:lang w:val="en-GB"/>
        </w:rPr>
        <w:t xml:space="preserve"> (p-value 0.029) and gender (p-value 0.008) emerged as statistically significant moderators. In particular, a statistically significant protective effect of Self-Help Plus on PSYCLOPS score at 12-months emerged for people recruited in York and Ulm study sites and for women.</w:t>
      </w: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Pr="00423BAF" w:rsidRDefault="00386C82" w:rsidP="00386C82">
      <w:pPr>
        <w:rPr>
          <w:rFonts w:ascii="Times New Roman" w:hAnsi="Times New Roman" w:cs="Times New Roman"/>
          <w:b/>
          <w:lang w:val="en-GB"/>
        </w:rPr>
      </w:pPr>
      <w:r w:rsidRPr="00423BAF">
        <w:rPr>
          <w:rFonts w:ascii="Times New Roman" w:hAnsi="Times New Roman" w:cs="Times New Roman"/>
          <w:b/>
          <w:lang w:val="en-GB"/>
        </w:rPr>
        <w:lastRenderedPageBreak/>
        <w:t>Figure 1: Estimated effect of SH+ on PSYCHLOPS at 12 months per recruitment site</w:t>
      </w:r>
    </w:p>
    <w:p w:rsidR="00386C82" w:rsidRDefault="00386C82" w:rsidP="00386C82">
      <w:pPr>
        <w:rPr>
          <w:b/>
          <w:lang w:val="en-GB"/>
        </w:rPr>
      </w:pPr>
      <w:r>
        <w:rPr>
          <w:noProof/>
          <w:lang w:eastAsia="it-IT"/>
        </w:rPr>
        <w:drawing>
          <wp:inline distT="0" distB="0" distL="0" distR="0" wp14:anchorId="3982921E" wp14:editId="612C55FF">
            <wp:extent cx="5103628" cy="3707077"/>
            <wp:effectExtent l="0" t="0" r="190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78" cy="37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82" w:rsidRDefault="00386C82" w:rsidP="00386C82">
      <w:pPr>
        <w:rPr>
          <w:rFonts w:ascii="Times New Roman" w:hAnsi="Times New Roman" w:cs="Times New Roman"/>
          <w:b/>
          <w:lang w:val="en-GB"/>
        </w:rPr>
      </w:pPr>
    </w:p>
    <w:p w:rsidR="00386C82" w:rsidRPr="00423BAF" w:rsidRDefault="00386C82" w:rsidP="00386C82">
      <w:pPr>
        <w:rPr>
          <w:rFonts w:ascii="Times New Roman" w:hAnsi="Times New Roman" w:cs="Times New Roman"/>
          <w:b/>
          <w:lang w:val="en-GB"/>
        </w:rPr>
      </w:pPr>
      <w:r w:rsidRPr="00423BAF">
        <w:rPr>
          <w:rFonts w:ascii="Times New Roman" w:hAnsi="Times New Roman" w:cs="Times New Roman"/>
          <w:b/>
          <w:lang w:val="en-GB"/>
        </w:rPr>
        <w:t>Figure 2: Estimated effect of SH+ on PSYCHLOPS at 12 months per gender</w:t>
      </w:r>
    </w:p>
    <w:p w:rsidR="00386C82" w:rsidRDefault="00386C82" w:rsidP="00386C82">
      <w:pPr>
        <w:rPr>
          <w:rFonts w:eastAsia="Times New Roman"/>
          <w:b/>
          <w:lang w:val="en-US"/>
        </w:rPr>
      </w:pPr>
      <w:r>
        <w:rPr>
          <w:noProof/>
          <w:lang w:eastAsia="it-IT"/>
        </w:rPr>
        <w:drawing>
          <wp:inline distT="0" distB="0" distL="0" distR="0" wp14:anchorId="7CEC1450" wp14:editId="07D44ADC">
            <wp:extent cx="5050152" cy="3668233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83" cy="36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82" w:rsidRDefault="00386C82" w:rsidP="00386C82">
      <w:pPr>
        <w:rPr>
          <w:rFonts w:ascii="Times New Roman" w:eastAsia="Times New Roman" w:hAnsi="Times New Roman" w:cs="Times New Roman"/>
          <w:b/>
          <w:lang w:val="en-US"/>
        </w:rPr>
      </w:pPr>
    </w:p>
    <w:p w:rsidR="00386C82" w:rsidRDefault="00386C82" w:rsidP="00386C82">
      <w:pPr>
        <w:rPr>
          <w:rFonts w:ascii="Times New Roman" w:eastAsia="Times New Roman" w:hAnsi="Times New Roman" w:cs="Times New Roman"/>
          <w:b/>
          <w:lang w:val="en-US"/>
        </w:rPr>
      </w:pPr>
    </w:p>
    <w:p w:rsidR="00386C82" w:rsidRPr="00FF103B" w:rsidRDefault="00386C82" w:rsidP="00386C82">
      <w:pPr>
        <w:pStyle w:val="NormaleWeb"/>
        <w:spacing w:before="1"/>
        <w:outlineLvl w:val="0"/>
        <w:rPr>
          <w:rFonts w:eastAsia="Times New Roman"/>
          <w:b/>
          <w:sz w:val="22"/>
          <w:szCs w:val="22"/>
          <w:lang w:val="en-US" w:eastAsia="en-US"/>
        </w:rPr>
      </w:pPr>
      <w:bookmarkStart w:id="30" w:name="_Toc95312222"/>
      <w:bookmarkStart w:id="31" w:name="_Toc95312343"/>
      <w:bookmarkStart w:id="32" w:name="_Toc95312627"/>
      <w:bookmarkStart w:id="33" w:name="_Toc95487961"/>
      <w:r w:rsidRPr="00FF103B">
        <w:rPr>
          <w:rFonts w:eastAsia="Times New Roman"/>
          <w:b/>
          <w:sz w:val="22"/>
          <w:szCs w:val="22"/>
          <w:lang w:val="en-US" w:eastAsia="en-US"/>
        </w:rPr>
        <w:lastRenderedPageBreak/>
        <w:t>List of adverse events</w:t>
      </w:r>
      <w:bookmarkEnd w:id="30"/>
      <w:bookmarkEnd w:id="31"/>
      <w:bookmarkEnd w:id="32"/>
      <w:bookmarkEnd w:id="33"/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399"/>
      </w:tblGrid>
      <w:tr w:rsidR="00386C82" w:rsidRPr="00E369A0" w:rsidTr="004E35E9">
        <w:trPr>
          <w:trHeight w:val="305"/>
        </w:trPr>
        <w:tc>
          <w:tcPr>
            <w:tcW w:w="5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Event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Allocation arm</w:t>
            </w:r>
          </w:p>
        </w:tc>
      </w:tr>
      <w:tr w:rsidR="00386C82" w:rsidRPr="00E369A0" w:rsidTr="004E35E9">
        <w:trPr>
          <w:trHeight w:val="298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1. Increase in</w:t>
            </w:r>
            <w:r>
              <w:rPr>
                <w:rFonts w:ascii="Times New Roman" w:hAnsi="Times New Roman" w:cs="Times New Roman"/>
                <w:lang w:val="en-GB"/>
              </w:rPr>
              <w:t xml:space="preserve"> emotional distress because the </w:t>
            </w:r>
            <w:r w:rsidRPr="00E369A0">
              <w:rPr>
                <w:rFonts w:ascii="Times New Roman" w:hAnsi="Times New Roman" w:cs="Times New Roman"/>
                <w:lang w:val="en-GB"/>
              </w:rPr>
              <w:t>participant is no longer in reception center.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ETAU</w:t>
            </w:r>
          </w:p>
        </w:tc>
      </w:tr>
      <w:tr w:rsidR="00386C82" w:rsidRPr="00E369A0" w:rsidTr="004E35E9">
        <w:trPr>
          <w:trHeight w:val="298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2. Increase in suicidal thoughts - major depressive episode not related to research – referred to healthcare services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SH+</w:t>
            </w:r>
          </w:p>
        </w:tc>
      </w:tr>
      <w:tr w:rsidR="00386C82" w:rsidRPr="00E369A0" w:rsidTr="004E35E9">
        <w:trPr>
          <w:trHeight w:val="298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3. Increase in emotional distress: the subject reports sensation of heat all over the body as if it was on fire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6C82" w:rsidRPr="00E369A0" w:rsidRDefault="00386C82" w:rsidP="004E35E9">
            <w:pPr>
              <w:spacing w:after="0" w:line="252" w:lineRule="atLeast"/>
              <w:ind w:right="732"/>
              <w:rPr>
                <w:rFonts w:ascii="Times New Roman" w:hAnsi="Times New Roman" w:cs="Times New Roman"/>
                <w:lang w:val="en-GB"/>
              </w:rPr>
            </w:pPr>
            <w:r w:rsidRPr="00E369A0">
              <w:rPr>
                <w:rFonts w:ascii="Times New Roman" w:hAnsi="Times New Roman" w:cs="Times New Roman"/>
                <w:lang w:val="en-GB"/>
              </w:rPr>
              <w:t>ETAU</w:t>
            </w:r>
          </w:p>
        </w:tc>
      </w:tr>
    </w:tbl>
    <w:p w:rsidR="00386C82" w:rsidRPr="00140EB9" w:rsidRDefault="00386C82" w:rsidP="00386C82">
      <w:pPr>
        <w:spacing w:after="0"/>
        <w:rPr>
          <w:b/>
          <w:lang w:val="en-GB"/>
        </w:rPr>
      </w:pPr>
    </w:p>
    <w:p w:rsidR="00386C82" w:rsidRDefault="00386C82" w:rsidP="00386C82"/>
    <w:p w:rsidR="00AE2391" w:rsidRDefault="00AE2391">
      <w:pPr>
        <w:rPr>
          <w:lang w:val="en-GB"/>
        </w:rPr>
      </w:pPr>
      <w:r>
        <w:rPr>
          <w:lang w:val="en-GB"/>
        </w:rPr>
        <w:br w:type="page"/>
      </w:r>
    </w:p>
    <w:p w:rsidR="00AE2391" w:rsidRDefault="00AE2391" w:rsidP="00AE2391">
      <w:pPr>
        <w:pStyle w:val="TableHeader"/>
        <w:ind w:left="720"/>
        <w:jc w:val="center"/>
        <w:rPr>
          <w:rFonts w:ascii="Cambria" w:hAnsi="Cambria"/>
          <w:bCs/>
          <w:sz w:val="32"/>
          <w:szCs w:val="32"/>
        </w:rPr>
        <w:sectPr w:rsidR="00AE239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E2391" w:rsidRPr="00AE2AE9" w:rsidRDefault="00AE2391" w:rsidP="00AE2391">
      <w:pPr>
        <w:pStyle w:val="TableHeader"/>
        <w:ind w:left="720"/>
        <w:jc w:val="center"/>
        <w:outlineLvl w:val="0"/>
        <w:rPr>
          <w:rFonts w:ascii="Cambria" w:hAnsi="Cambria"/>
          <w:bCs/>
        </w:rPr>
      </w:pPr>
      <w:bookmarkStart w:id="34" w:name="_Toc95487962"/>
      <w:r w:rsidRPr="00AE2AE9">
        <w:rPr>
          <w:rFonts w:ascii="Cambria" w:hAnsi="Cambria"/>
          <w:bCs/>
          <w:noProof/>
          <w:sz w:val="32"/>
          <w:szCs w:val="32"/>
          <w:lang w:val="it-IT"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-38100</wp:posOffset>
            </wp:positionV>
            <wp:extent cx="390525" cy="457200"/>
            <wp:effectExtent l="0" t="0" r="9525" b="0"/>
            <wp:wrapNone/>
            <wp:docPr id="1" name="Immagine 1" descr="Consort-Logo-Graphic-30-12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rt-Logo-Graphic-30-12-0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AE9">
        <w:rPr>
          <w:rFonts w:ascii="Cambria" w:hAnsi="Cambria"/>
          <w:bCs/>
          <w:sz w:val="32"/>
          <w:szCs w:val="32"/>
        </w:rPr>
        <w:t>CONSORT 2010 checklist of information to include when reporting a randomised trial</w:t>
      </w:r>
      <w:bookmarkEnd w:id="34"/>
    </w:p>
    <w:p w:rsidR="00AE2391" w:rsidRPr="00F33427" w:rsidRDefault="00AE2391" w:rsidP="00AE2391">
      <w:pPr>
        <w:pStyle w:val="TableHeader"/>
        <w:tabs>
          <w:tab w:val="left" w:pos="2160"/>
        </w:tabs>
        <w:jc w:val="center"/>
        <w:rPr>
          <w:rFonts w:ascii="Cambria" w:hAnsi="Cambria"/>
          <w:bCs/>
          <w:sz w:val="8"/>
          <w:szCs w:val="8"/>
        </w:rPr>
      </w:pPr>
    </w:p>
    <w:tbl>
      <w:tblPr>
        <w:tblW w:w="15498" w:type="dxa"/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11070"/>
        <w:gridCol w:w="1620"/>
      </w:tblGrid>
      <w:tr w:rsidR="00AE2391" w:rsidRPr="00AE2AE9" w:rsidTr="004E35E9">
        <w:tc>
          <w:tcPr>
            <w:tcW w:w="2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AE2391" w:rsidRPr="00AE2AE9" w:rsidRDefault="00AE2391" w:rsidP="004E35E9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Section/Topic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AE2391" w:rsidRPr="00AE2AE9" w:rsidRDefault="00AE2391" w:rsidP="004E35E9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Item No</w:t>
            </w:r>
          </w:p>
        </w:tc>
        <w:tc>
          <w:tcPr>
            <w:tcW w:w="110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AE2391" w:rsidRPr="00AE2AE9" w:rsidRDefault="00AE2391" w:rsidP="004E35E9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Checklist item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AE2391" w:rsidRPr="00AE2AE9" w:rsidRDefault="00AE2391" w:rsidP="004E35E9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Reported on page No</w:t>
            </w:r>
          </w:p>
        </w:tc>
      </w:tr>
      <w:tr w:rsidR="00AE2391" w:rsidRPr="00F33427" w:rsidTr="004E35E9">
        <w:tc>
          <w:tcPr>
            <w:tcW w:w="15498" w:type="dxa"/>
            <w:gridSpan w:val="4"/>
            <w:tcBorders>
              <w:top w:val="single" w:sz="4" w:space="0" w:color="auto"/>
            </w:tcBorders>
          </w:tcPr>
          <w:p w:rsidR="00AE2391" w:rsidRPr="00F33427" w:rsidRDefault="00AE2391" w:rsidP="004E35E9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Title and abstract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Identification as a randomised trial in the title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 xml:space="preserve">Structured summary of trial design, methods, results, and conclusions </w:t>
            </w:r>
            <w:r w:rsidRPr="00AE2391">
              <w:rPr>
                <w:rFonts w:ascii="Arial" w:hAnsi="Arial" w:cs="Arial"/>
                <w:sz w:val="16"/>
                <w:szCs w:val="16"/>
                <w:lang w:val="en-GB"/>
              </w:rPr>
              <w:t>(for specific guidance see CONSORT for abstracts)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E2391" w:rsidRPr="00F33427" w:rsidTr="004E35E9">
        <w:tc>
          <w:tcPr>
            <w:tcW w:w="15498" w:type="dxa"/>
            <w:gridSpan w:val="4"/>
          </w:tcPr>
          <w:p w:rsidR="00AE2391" w:rsidRPr="00F33427" w:rsidRDefault="00AE2391" w:rsidP="004E35E9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Background and objectives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Scientific background and explanation of rationale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:rsidR="00AE2391" w:rsidRPr="00F33427" w:rsidTr="004E35E9">
        <w:trPr>
          <w:trHeight w:val="413"/>
        </w:trPr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2b</w:t>
            </w:r>
          </w:p>
        </w:tc>
        <w:tc>
          <w:tcPr>
            <w:tcW w:w="11070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Specific objectives or hypotheses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E2391" w:rsidRPr="00F33427" w:rsidTr="004E35E9">
        <w:tc>
          <w:tcPr>
            <w:tcW w:w="15498" w:type="dxa"/>
            <w:gridSpan w:val="4"/>
          </w:tcPr>
          <w:p w:rsidR="00AE2391" w:rsidRPr="00F33427" w:rsidRDefault="00AE2391" w:rsidP="004E35E9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Methods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Trial design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3a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Description of trial design (such as parallel, factorial) including allocation ratio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:rsidR="00AE2391" w:rsidRPr="00F33427" w:rsidTr="004E35E9">
        <w:trPr>
          <w:trHeight w:val="305"/>
        </w:trPr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3b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Important changes to methods after trial commencement (such as eligibility criteria), with reasons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Participants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4a</w:t>
            </w:r>
          </w:p>
        </w:tc>
        <w:tc>
          <w:tcPr>
            <w:tcW w:w="11070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Eligibility criteria for participants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4b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Settings and locations where the data were collected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Interventions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5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8-9-10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Outcomes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6a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Completely defined pre-specified primary and secondary outcome measures, including how and when they were assessed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10-11-12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6b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Any changes to trial outcomes after the trial commenced, with reasons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Sample size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7a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How sample size was determined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7b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When applicable, explanation of any interim analyses and stopping guidelines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Randomisation: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0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cs="Arial"/>
              </w:rPr>
              <w:lastRenderedPageBreak/>
              <w:t> </w:t>
            </w:r>
            <w:r w:rsidRPr="00F33427">
              <w:rPr>
                <w:rFonts w:ascii="Arial" w:hAnsi="Arial" w:cs="Arial"/>
              </w:rPr>
              <w:t>Sequence generation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8a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Method used to generate the random allocation sequence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8b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Type of randomisation; details of any restriction (such as blocking and block size)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cs="Arial"/>
              </w:rPr>
              <w:t> </w:t>
            </w:r>
            <w:r w:rsidRPr="00F33427">
              <w:rPr>
                <w:rFonts w:ascii="Arial" w:hAnsi="Arial" w:cs="Arial"/>
              </w:rPr>
              <w:t>Allocation concealment mechanism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9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cs="Arial"/>
              </w:rPr>
              <w:t> </w:t>
            </w:r>
            <w:r w:rsidRPr="00F33427">
              <w:rPr>
                <w:rFonts w:ascii="Arial" w:hAnsi="Arial" w:cs="Arial"/>
              </w:rPr>
              <w:t>Implementation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10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Blinding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11a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11b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If relevant, description of the similarity of interventions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Statistical methods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12a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Statistical methods used to compare groups for primary and secondary outcomes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12-15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12b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Methods for additional analyses, such as subgroup analyses and adjusted analyses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12-15</w:t>
            </w:r>
          </w:p>
        </w:tc>
      </w:tr>
      <w:tr w:rsidR="00AE2391" w:rsidRPr="00F33427" w:rsidTr="004E35E9">
        <w:tc>
          <w:tcPr>
            <w:tcW w:w="15498" w:type="dxa"/>
            <w:gridSpan w:val="4"/>
          </w:tcPr>
          <w:p w:rsidR="00AE2391" w:rsidRPr="00F33427" w:rsidRDefault="00AE2391" w:rsidP="004E35E9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Results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Participant flow (a diagram is strongly recommended)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13a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For each group, the numbers of participants who were randomly assigned, received intended treatment, and were analysed for the primary outcome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35E9">
              <w:rPr>
                <w:rFonts w:ascii="Arial" w:hAnsi="Arial" w:cs="Arial"/>
              </w:rPr>
              <w:t>5-1</w:t>
            </w:r>
            <w:r>
              <w:rPr>
                <w:rFonts w:ascii="Arial" w:hAnsi="Arial" w:cs="Arial"/>
              </w:rPr>
              <w:t>6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13b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For each group, losses and exclusions after randomisation,</w:t>
            </w:r>
            <w:r w:rsidRPr="00AE2391" w:rsidDel="00646D6B">
              <w:rPr>
                <w:rFonts w:ascii="Arial" w:hAnsi="Arial" w:cs="Arial"/>
                <w:lang w:val="en-GB"/>
              </w:rPr>
              <w:t xml:space="preserve"> </w:t>
            </w:r>
            <w:r w:rsidRPr="00AE2391">
              <w:rPr>
                <w:rFonts w:ascii="Arial" w:hAnsi="Arial" w:cs="Arial"/>
                <w:lang w:val="en-GB"/>
              </w:rPr>
              <w:t>together with reasons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35E9">
              <w:rPr>
                <w:rFonts w:ascii="Arial" w:hAnsi="Arial" w:cs="Arial"/>
              </w:rPr>
              <w:t>5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Recruitment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14a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Dates defining the periods of recruitment and follow-up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14b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Why the trial ended or was stopped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Baseline data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15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A table showing baseline demographic and clinical characteristics for each group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16-17-18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Numbers analysed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16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16-17-18</w:t>
            </w:r>
          </w:p>
        </w:tc>
      </w:tr>
      <w:tr w:rsidR="00AE2391" w:rsidRPr="00F33427" w:rsidTr="004E35E9">
        <w:tc>
          <w:tcPr>
            <w:tcW w:w="2088" w:type="dxa"/>
            <w:vMerge w:val="restart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Outcomes and estimation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17a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16-17-18</w:t>
            </w:r>
          </w:p>
        </w:tc>
      </w:tr>
      <w:tr w:rsidR="00AE2391" w:rsidRPr="00F33427" w:rsidTr="004E35E9">
        <w:tc>
          <w:tcPr>
            <w:tcW w:w="2088" w:type="dxa"/>
            <w:vMerge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17b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bCs/>
                <w:lang w:val="en-GB"/>
              </w:rPr>
              <w:t>For binary outcomes, presentation of both absolute and relative effect sizes is recommended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16-17-18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lastRenderedPageBreak/>
              <w:t>Ancillary analyses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18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17-18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Harms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19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 xml:space="preserve">All important harms or unintended effects in each group </w:t>
            </w:r>
            <w:r w:rsidRPr="00AE2391">
              <w:rPr>
                <w:rFonts w:ascii="Arial" w:hAnsi="Arial" w:cs="Arial"/>
                <w:sz w:val="16"/>
                <w:szCs w:val="16"/>
                <w:lang w:val="en-GB"/>
              </w:rPr>
              <w:t>(for specific guidance see CONSORT for harms)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  <w:tr w:rsidR="00AE2391" w:rsidRPr="00F33427" w:rsidTr="004E35E9">
        <w:tc>
          <w:tcPr>
            <w:tcW w:w="15498" w:type="dxa"/>
            <w:gridSpan w:val="4"/>
          </w:tcPr>
          <w:p w:rsidR="00AE2391" w:rsidRPr="00F33427" w:rsidRDefault="00AE2391" w:rsidP="004E35E9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Limitations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20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Trial limitations, addressing sources of potential bias, imprecision, and, if relevant, multiplicity of analyses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20-21-22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Generalisability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21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Generalisability (external validity, applicability) of the trial findings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22-23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Interpretation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22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Interpretation consistent with results, balancing benefits and harms, and considering other relevant evidence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4E35E9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</w:tr>
      <w:tr w:rsidR="00AE2391" w:rsidRPr="00F33427" w:rsidTr="004E35E9">
        <w:tc>
          <w:tcPr>
            <w:tcW w:w="13878" w:type="dxa"/>
            <w:gridSpan w:val="3"/>
          </w:tcPr>
          <w:p w:rsidR="00AE2391" w:rsidRPr="00F33427" w:rsidRDefault="00AE2391" w:rsidP="004E35E9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Other information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Registration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23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Registration number and name of trial registry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E2391" w:rsidRPr="00F33427" w:rsidTr="004E35E9">
        <w:tc>
          <w:tcPr>
            <w:tcW w:w="2088" w:type="dxa"/>
          </w:tcPr>
          <w:p w:rsidR="00AE2391" w:rsidRPr="00F33427" w:rsidRDefault="00AE2391" w:rsidP="004E35E9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Protocol</w:t>
            </w:r>
          </w:p>
        </w:tc>
        <w:tc>
          <w:tcPr>
            <w:tcW w:w="720" w:type="dxa"/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24</w:t>
            </w:r>
          </w:p>
        </w:tc>
        <w:tc>
          <w:tcPr>
            <w:tcW w:w="11070" w:type="dxa"/>
          </w:tcPr>
          <w:p w:rsidR="00AE2391" w:rsidRPr="00AE2391" w:rsidRDefault="00AE2391" w:rsidP="004E35E9">
            <w:pPr>
              <w:rPr>
                <w:rFonts w:ascii="Arial" w:hAnsi="Arial" w:cs="Arial"/>
                <w:lang w:val="en-GB"/>
              </w:rPr>
            </w:pPr>
            <w:r w:rsidRPr="00AE2391">
              <w:rPr>
                <w:rFonts w:ascii="Arial" w:hAnsi="Arial" w:cs="Arial"/>
                <w:lang w:val="en-GB"/>
              </w:rPr>
              <w:t>Where the full trial protocol can be accessed, if available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E2391" w:rsidRPr="00F33427" w:rsidTr="004E35E9">
        <w:tc>
          <w:tcPr>
            <w:tcW w:w="2088" w:type="dxa"/>
            <w:tcBorders>
              <w:bottom w:val="single" w:sz="12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Funding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2391" w:rsidRPr="00F33427" w:rsidRDefault="00AE2391" w:rsidP="004E35E9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25</w:t>
            </w:r>
          </w:p>
        </w:tc>
        <w:tc>
          <w:tcPr>
            <w:tcW w:w="11070" w:type="dxa"/>
            <w:tcBorders>
              <w:bottom w:val="single" w:sz="12" w:space="0" w:color="auto"/>
            </w:tcBorders>
          </w:tcPr>
          <w:p w:rsidR="00AE2391" w:rsidRPr="00F33427" w:rsidRDefault="00AE2391" w:rsidP="004E35E9">
            <w:pPr>
              <w:rPr>
                <w:rFonts w:ascii="Arial" w:hAnsi="Arial" w:cs="Arial"/>
                <w:lang w:val="en-CA"/>
              </w:rPr>
            </w:pPr>
            <w:r w:rsidRPr="00AE2391">
              <w:rPr>
                <w:rFonts w:ascii="Arial" w:hAnsi="Arial" w:cs="Arial"/>
                <w:lang w:val="en-GB"/>
              </w:rPr>
              <w:t xml:space="preserve">Sources of funding </w:t>
            </w:r>
            <w:r w:rsidRPr="00F33427">
              <w:rPr>
                <w:rFonts w:ascii="Arial" w:hAnsi="Arial" w:cs="Arial"/>
                <w:bCs/>
                <w:lang w:val="en-CA"/>
              </w:rPr>
              <w:t>and other support (such as supply of drugs), role of funders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AE2391" w:rsidRPr="00F33427" w:rsidRDefault="00352396" w:rsidP="004E3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bookmarkStart w:id="35" w:name="_GoBack"/>
            <w:bookmarkEnd w:id="35"/>
          </w:p>
        </w:tc>
      </w:tr>
    </w:tbl>
    <w:p w:rsidR="00AE2391" w:rsidRPr="001E6065" w:rsidRDefault="00AE2391" w:rsidP="00AE2391">
      <w:pPr>
        <w:pStyle w:val="TableNote"/>
        <w:tabs>
          <w:tab w:val="left" w:pos="4830"/>
        </w:tabs>
        <w:rPr>
          <w:sz w:val="8"/>
          <w:szCs w:val="8"/>
        </w:rPr>
      </w:pPr>
    </w:p>
    <w:p w:rsidR="006078F9" w:rsidRPr="00386C82" w:rsidRDefault="006078F9">
      <w:pPr>
        <w:rPr>
          <w:lang w:val="en-GB"/>
        </w:rPr>
      </w:pPr>
    </w:p>
    <w:sectPr w:rsidR="006078F9" w:rsidRPr="00386C82" w:rsidSect="00AE239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CE" w:rsidRDefault="00E173CE" w:rsidP="00386C82">
      <w:pPr>
        <w:spacing w:after="0" w:line="240" w:lineRule="auto"/>
      </w:pPr>
      <w:r>
        <w:separator/>
      </w:r>
    </w:p>
  </w:endnote>
  <w:endnote w:type="continuationSeparator" w:id="0">
    <w:p w:rsidR="00E173CE" w:rsidRDefault="00E173CE" w:rsidP="0038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in Modern Mat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CE" w:rsidRDefault="00E173CE" w:rsidP="00386C82">
      <w:pPr>
        <w:spacing w:after="0" w:line="240" w:lineRule="auto"/>
      </w:pPr>
      <w:r>
        <w:separator/>
      </w:r>
    </w:p>
  </w:footnote>
  <w:footnote w:type="continuationSeparator" w:id="0">
    <w:p w:rsidR="00E173CE" w:rsidRDefault="00E173CE" w:rsidP="0038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3FA1"/>
    <w:multiLevelType w:val="hybridMultilevel"/>
    <w:tmpl w:val="B296A9A2"/>
    <w:lvl w:ilvl="0" w:tplc="FFD8BFC0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2"/>
    <w:rsid w:val="003023F3"/>
    <w:rsid w:val="00352396"/>
    <w:rsid w:val="00386C82"/>
    <w:rsid w:val="004E35E9"/>
    <w:rsid w:val="006078F9"/>
    <w:rsid w:val="00640DC8"/>
    <w:rsid w:val="009246FF"/>
    <w:rsid w:val="00AE2391"/>
    <w:rsid w:val="00E1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C286"/>
  <w15:chartTrackingRefBased/>
  <w15:docId w15:val="{950BE085-70E0-4D98-9A4B-3A59E660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C82"/>
  </w:style>
  <w:style w:type="paragraph" w:styleId="Titolo1">
    <w:name w:val="heading 1"/>
    <w:basedOn w:val="Normale"/>
    <w:next w:val="Normale"/>
    <w:link w:val="Titolo1Carattere"/>
    <w:uiPriority w:val="9"/>
    <w:qFormat/>
    <w:rsid w:val="0038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6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386C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86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6C82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86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C82"/>
    <w:pPr>
      <w:widowControl w:val="0"/>
      <w:autoSpaceDE w:val="0"/>
      <w:autoSpaceDN w:val="0"/>
      <w:spacing w:after="0" w:line="212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C8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6C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C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86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C82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C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G03Table">
    <w:name w:val="G03_Table"/>
    <w:basedOn w:val="G05TableBody"/>
    <w:uiPriority w:val="4"/>
    <w:rsid w:val="00386C82"/>
    <w:rPr>
      <w:szCs w:val="24"/>
    </w:rPr>
  </w:style>
  <w:style w:type="paragraph" w:customStyle="1" w:styleId="G05TableBody">
    <w:name w:val="G05_TableBody"/>
    <w:basedOn w:val="Normale"/>
    <w:uiPriority w:val="4"/>
    <w:rsid w:val="00386C82"/>
    <w:pPr>
      <w:spacing w:after="0" w:line="212" w:lineRule="exact"/>
    </w:pPr>
    <w:rPr>
      <w:rFonts w:ascii="Arial" w:eastAsia="Times New Roman" w:hAnsi="Arial" w:cs="Arial"/>
      <w:sz w:val="18"/>
      <w:szCs w:val="19"/>
      <w:lang w:val="de-CH" w:eastAsia="de-CH"/>
    </w:rPr>
  </w:style>
  <w:style w:type="character" w:customStyle="1" w:styleId="G04TableTitle">
    <w:name w:val="G04_TableTitle"/>
    <w:uiPriority w:val="4"/>
    <w:rsid w:val="00386C82"/>
    <w:rPr>
      <w:rFonts w:ascii="Arial" w:hAnsi="Arial"/>
      <w:b/>
      <w:sz w:val="24"/>
    </w:rPr>
  </w:style>
  <w:style w:type="paragraph" w:customStyle="1" w:styleId="G06TableFootnote">
    <w:name w:val="G06_TableFootnote"/>
    <w:basedOn w:val="Normale"/>
    <w:autoRedefine/>
    <w:rsid w:val="00386C82"/>
    <w:pPr>
      <w:spacing w:after="0" w:line="212" w:lineRule="exact"/>
      <w:ind w:firstLine="255"/>
      <w:jc w:val="both"/>
    </w:pPr>
    <w:rPr>
      <w:rFonts w:ascii="Arial" w:eastAsia="Times New Roman" w:hAnsi="Arial" w:cs="Arial"/>
      <w:spacing w:val="-2"/>
      <w:sz w:val="18"/>
      <w:szCs w:val="19"/>
      <w:lang w:val="en-US" w:eastAsia="de-CH"/>
    </w:rPr>
  </w:style>
  <w:style w:type="character" w:customStyle="1" w:styleId="X00DelBlind">
    <w:name w:val="X00_Del_Blind"/>
    <w:uiPriority w:val="5"/>
    <w:rsid w:val="00386C82"/>
    <w:rPr>
      <w:noProof/>
      <w:color w:val="FFFFFF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6C82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86C82"/>
    <w:pPr>
      <w:tabs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86C82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386C82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86C82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nhideWhenUsed/>
    <w:rsid w:val="00386C8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386C82"/>
  </w:style>
  <w:style w:type="table" w:styleId="Grigliatabella">
    <w:name w:val="Table Grid"/>
    <w:basedOn w:val="Tabellanormale"/>
    <w:uiPriority w:val="39"/>
    <w:rsid w:val="0038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386C82"/>
    <w:pPr>
      <w:spacing w:after="100"/>
      <w:ind w:left="22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386C82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86C82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86C82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86C82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86C82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86C82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86C82"/>
    <w:pPr>
      <w:spacing w:after="100"/>
      <w:ind w:left="1760"/>
    </w:pPr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6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C82"/>
  </w:style>
  <w:style w:type="paragraph" w:customStyle="1" w:styleId="TableNote">
    <w:name w:val="TableNote"/>
    <w:basedOn w:val="Normale"/>
    <w:rsid w:val="00AE2391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Header">
    <w:name w:val="TableHeader"/>
    <w:basedOn w:val="Normale"/>
    <w:rsid w:val="00AE2391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AE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6902-1641-4A92-9AF5-A3E1F22A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Turrini</dc:creator>
  <cp:keywords/>
  <dc:description/>
  <cp:lastModifiedBy>Giulia Turrini</cp:lastModifiedBy>
  <cp:revision>4</cp:revision>
  <dcterms:created xsi:type="dcterms:W3CDTF">2022-02-09T14:25:00Z</dcterms:created>
  <dcterms:modified xsi:type="dcterms:W3CDTF">2022-03-11T10:04:00Z</dcterms:modified>
</cp:coreProperties>
</file>