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856F6" w14:textId="753A4412" w:rsidR="00B85AB0" w:rsidRPr="00116F45" w:rsidRDefault="00ED75FD" w:rsidP="00AB2B30">
      <w:pPr>
        <w:pStyle w:val="ListParagraph"/>
        <w:spacing w:after="0" w:line="480" w:lineRule="auto"/>
        <w:ind w:left="0"/>
        <w:jc w:val="center"/>
        <w:rPr>
          <w:rFonts w:cs="Times New Roman"/>
          <w:b/>
          <w:bCs/>
          <w:szCs w:val="24"/>
          <w:lang w:val="en-US"/>
        </w:rPr>
      </w:pPr>
      <w:r w:rsidRPr="00116F45">
        <w:rPr>
          <w:rFonts w:cs="Times New Roman"/>
          <w:b/>
          <w:bCs/>
          <w:szCs w:val="24"/>
          <w:lang w:val="en-US"/>
        </w:rPr>
        <w:t>Supplement</w:t>
      </w:r>
      <w:r w:rsidR="00312D9E" w:rsidRPr="00116F45">
        <w:rPr>
          <w:rFonts w:cs="Times New Roman"/>
          <w:b/>
          <w:bCs/>
          <w:szCs w:val="24"/>
          <w:lang w:val="en-US"/>
        </w:rPr>
        <w:t>ary</w:t>
      </w:r>
      <w:r w:rsidR="001777C1" w:rsidRPr="00116F45">
        <w:rPr>
          <w:rFonts w:cs="Times New Roman"/>
          <w:b/>
          <w:bCs/>
          <w:szCs w:val="24"/>
          <w:lang w:val="en-US"/>
        </w:rPr>
        <w:t xml:space="preserve"> material</w:t>
      </w:r>
    </w:p>
    <w:p w14:paraId="61BA07E2" w14:textId="77777777" w:rsidR="00CC1F47" w:rsidRPr="00116F45" w:rsidRDefault="00AB2B30" w:rsidP="00AB2B30">
      <w:pPr>
        <w:pStyle w:val="ListParagraph"/>
        <w:spacing w:after="0" w:line="480" w:lineRule="auto"/>
        <w:ind w:left="0"/>
        <w:jc w:val="center"/>
        <w:rPr>
          <w:rFonts w:cs="Times New Roman"/>
          <w:b/>
          <w:szCs w:val="24"/>
          <w:lang w:val="en-US"/>
        </w:rPr>
      </w:pPr>
      <w:r w:rsidRPr="00116F45">
        <w:rPr>
          <w:rFonts w:cs="Times New Roman"/>
          <w:b/>
          <w:szCs w:val="24"/>
          <w:lang w:val="en-US"/>
        </w:rPr>
        <w:t xml:space="preserve">Adherence to national dietary guidelines and risk of dementia: </w:t>
      </w:r>
    </w:p>
    <w:p w14:paraId="0726171D" w14:textId="2C9B6D3A" w:rsidR="00AB2B30" w:rsidRPr="00116F45" w:rsidRDefault="00AB2B30" w:rsidP="00AB2B30">
      <w:pPr>
        <w:pStyle w:val="ListParagraph"/>
        <w:spacing w:after="0" w:line="480" w:lineRule="auto"/>
        <w:ind w:left="0"/>
        <w:jc w:val="center"/>
        <w:rPr>
          <w:rFonts w:cs="Times New Roman"/>
          <w:b/>
          <w:szCs w:val="24"/>
          <w:lang w:val="en-US"/>
        </w:rPr>
      </w:pPr>
      <w:r w:rsidRPr="00116F45">
        <w:rPr>
          <w:rFonts w:cs="Times New Roman"/>
          <w:b/>
          <w:szCs w:val="24"/>
          <w:lang w:val="en-US"/>
        </w:rPr>
        <w:t>a prospective cohort study of 94,184 individuals</w:t>
      </w:r>
    </w:p>
    <w:p w14:paraId="5B5166EF" w14:textId="77777777" w:rsidR="00EA0AA0" w:rsidRPr="00116F45" w:rsidRDefault="00EA0AA0" w:rsidP="00AB2B30">
      <w:pPr>
        <w:pStyle w:val="ListParagraph"/>
        <w:spacing w:after="0" w:line="480" w:lineRule="auto"/>
        <w:ind w:left="0"/>
        <w:rPr>
          <w:rFonts w:cs="Times New Roman"/>
          <w:szCs w:val="24"/>
          <w:lang w:val="en-US"/>
        </w:rPr>
      </w:pPr>
    </w:p>
    <w:p w14:paraId="5CE6CFE4" w14:textId="64390435" w:rsidR="00AB2B30" w:rsidRPr="00116F45" w:rsidRDefault="00AB2B30" w:rsidP="00AB2B30">
      <w:pPr>
        <w:pStyle w:val="ListParagraph"/>
        <w:spacing w:after="0" w:line="480" w:lineRule="auto"/>
        <w:ind w:left="0"/>
        <w:rPr>
          <w:rFonts w:cs="Times New Roman"/>
          <w:sz w:val="20"/>
          <w:szCs w:val="20"/>
        </w:rPr>
      </w:pPr>
      <w:r w:rsidRPr="00116F45">
        <w:rPr>
          <w:rFonts w:cs="Times New Roman"/>
          <w:sz w:val="20"/>
          <w:szCs w:val="20"/>
        </w:rPr>
        <w:t>Emilie W. Kjeldsen, Jesper Q. Thomassen, Katrine L. Rasmussen, Børge G. Nordestgaard, Anne Tybjærg-Hansen, Ruth Frikke-Schmidt</w:t>
      </w:r>
    </w:p>
    <w:p w14:paraId="06A0CBD8" w14:textId="22BE4FBB" w:rsidR="000E7D1B" w:rsidRPr="00116F45" w:rsidRDefault="000E7D1B" w:rsidP="00AB2B30">
      <w:pPr>
        <w:pStyle w:val="ListParagraph"/>
        <w:spacing w:after="0" w:line="480" w:lineRule="auto"/>
        <w:ind w:left="0"/>
        <w:rPr>
          <w:rFonts w:cs="Times New Roman"/>
          <w:sz w:val="20"/>
          <w:szCs w:val="20"/>
        </w:rPr>
      </w:pPr>
    </w:p>
    <w:p w14:paraId="1DC23B57" w14:textId="77777777" w:rsidR="00C85B62" w:rsidRPr="00116F45" w:rsidRDefault="00C85B62">
      <w:pPr>
        <w:rPr>
          <w:rFonts w:cs="Times New Roman"/>
          <w:b/>
          <w:bCs/>
          <w:sz w:val="20"/>
          <w:szCs w:val="20"/>
        </w:rPr>
      </w:pPr>
    </w:p>
    <w:sdt>
      <w:sdtPr>
        <w:rPr>
          <w:rFonts w:asciiTheme="minorHAnsi" w:eastAsiaTheme="minorHAnsi" w:hAnsiTheme="minorHAnsi" w:cs="Times New Roman"/>
          <w:b w:val="0"/>
          <w:bCs/>
          <w:sz w:val="22"/>
          <w:szCs w:val="22"/>
          <w:lang w:val="en-US" w:eastAsia="en-US"/>
        </w:rPr>
        <w:id w:val="-1722665084"/>
        <w:docPartObj>
          <w:docPartGallery w:val="Table of Contents"/>
          <w:docPartUnique/>
        </w:docPartObj>
      </w:sdtPr>
      <w:sdtEndPr>
        <w:rPr>
          <w:rFonts w:ascii="Times New Roman" w:hAnsi="Times New Roman"/>
          <w:sz w:val="24"/>
        </w:rPr>
      </w:sdtEndPr>
      <w:sdtContent>
        <w:p w14:paraId="3F6B4675" w14:textId="74CFF511" w:rsidR="00AB2B30" w:rsidRPr="005323F3" w:rsidRDefault="00BA448C" w:rsidP="004B5FBE">
          <w:pPr>
            <w:pStyle w:val="TOCHeading"/>
            <w:spacing w:line="240" w:lineRule="auto"/>
            <w:rPr>
              <w:rFonts w:cs="Times New Roman"/>
              <w:bCs/>
              <w:sz w:val="24"/>
              <w:szCs w:val="24"/>
              <w:lang w:val="en-US"/>
            </w:rPr>
          </w:pPr>
          <w:r w:rsidRPr="005323F3">
            <w:rPr>
              <w:rFonts w:eastAsiaTheme="minorHAnsi" w:cs="Times New Roman"/>
              <w:bCs/>
              <w:sz w:val="24"/>
              <w:szCs w:val="24"/>
              <w:lang w:val="en-US" w:eastAsia="en-US"/>
            </w:rPr>
            <w:t>Table of contents</w:t>
          </w:r>
        </w:p>
        <w:p w14:paraId="60C2BAFB" w14:textId="1266E041" w:rsidR="004B5FBE" w:rsidRPr="00116F45" w:rsidRDefault="00AB2B30" w:rsidP="004B5FBE">
          <w:pPr>
            <w:pStyle w:val="TOC1"/>
            <w:tabs>
              <w:tab w:val="right" w:leader="dot" w:pos="9628"/>
            </w:tabs>
            <w:spacing w:line="240" w:lineRule="auto"/>
            <w:rPr>
              <w:rFonts w:asciiTheme="minorHAnsi" w:eastAsiaTheme="minorEastAsia" w:hAnsiTheme="minorHAnsi"/>
              <w:noProof/>
              <w:sz w:val="22"/>
              <w:lang w:val="en-GB" w:eastAsia="en-GB"/>
            </w:rPr>
          </w:pPr>
          <w:r w:rsidRPr="00116F45">
            <w:rPr>
              <w:rFonts w:cs="Times New Roman"/>
              <w:b/>
              <w:bCs/>
              <w:lang w:val="en-US"/>
            </w:rPr>
            <w:fldChar w:fldCharType="begin"/>
          </w:r>
          <w:r w:rsidRPr="00116F45">
            <w:rPr>
              <w:rFonts w:cs="Times New Roman"/>
              <w:b/>
              <w:bCs/>
              <w:lang w:val="en-US"/>
            </w:rPr>
            <w:instrText xml:space="preserve"> TOC \o "1-3" \h \z \u </w:instrText>
          </w:r>
          <w:r w:rsidRPr="00116F45">
            <w:rPr>
              <w:rFonts w:cs="Times New Roman"/>
              <w:b/>
              <w:bCs/>
              <w:lang w:val="en-US"/>
            </w:rPr>
            <w:fldChar w:fldCharType="separate"/>
          </w:r>
          <w:hyperlink w:anchor="_Toc110945215" w:history="1">
            <w:r w:rsidR="004B5FBE" w:rsidRPr="00116F45">
              <w:rPr>
                <w:rStyle w:val="Hyperlink"/>
                <w:noProof/>
                <w:color w:val="auto"/>
                <w:lang w:val="en-US"/>
              </w:rPr>
              <w:t>Methods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_Toc110945215 \h </w:instrText>
            </w:r>
            <w:r w:rsidR="004B5FBE" w:rsidRPr="00116F45">
              <w:rPr>
                <w:noProof/>
                <w:webHidden/>
              </w:rPr>
            </w:r>
            <w:r w:rsidR="004B5FBE" w:rsidRPr="00116F45">
              <w:rPr>
                <w:noProof/>
                <w:webHidden/>
              </w:rPr>
              <w:fldChar w:fldCharType="separate"/>
            </w:r>
            <w:r w:rsidR="004B5FBE" w:rsidRPr="00116F45">
              <w:rPr>
                <w:noProof/>
                <w:webHidden/>
              </w:rPr>
              <w:t>3</w:t>
            </w:r>
            <w:r w:rsidR="004B5FBE" w:rsidRPr="00116F45">
              <w:rPr>
                <w:noProof/>
                <w:webHidden/>
              </w:rPr>
              <w:fldChar w:fldCharType="end"/>
            </w:r>
          </w:hyperlink>
        </w:p>
        <w:p w14:paraId="298C268C" w14:textId="50DD8617"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16" w:history="1">
            <w:r w:rsidR="004B5FBE" w:rsidRPr="00116F45">
              <w:rPr>
                <w:rStyle w:val="Hyperlink"/>
                <w:noProof/>
                <w:color w:val="auto"/>
                <w:lang w:val="en-GB"/>
              </w:rPr>
              <w:t>Clinical endpoints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_Toc110945216 \h </w:instrText>
            </w:r>
            <w:r w:rsidR="004B5FBE" w:rsidRPr="00116F45">
              <w:rPr>
                <w:noProof/>
                <w:webHidden/>
              </w:rPr>
            </w:r>
            <w:r w:rsidR="004B5FBE" w:rsidRPr="00116F45">
              <w:rPr>
                <w:noProof/>
                <w:webHidden/>
              </w:rPr>
              <w:fldChar w:fldCharType="separate"/>
            </w:r>
            <w:r w:rsidR="004B5FBE" w:rsidRPr="00116F45">
              <w:rPr>
                <w:noProof/>
                <w:webHidden/>
              </w:rPr>
              <w:t>3</w:t>
            </w:r>
            <w:r w:rsidR="004B5FBE" w:rsidRPr="00116F45">
              <w:rPr>
                <w:noProof/>
                <w:webHidden/>
              </w:rPr>
              <w:fldChar w:fldCharType="end"/>
            </w:r>
          </w:hyperlink>
        </w:p>
        <w:p w14:paraId="00AF89E7" w14:textId="61014C5E"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17" w:history="1">
            <w:r w:rsidR="004B5FBE" w:rsidRPr="00116F45">
              <w:rPr>
                <w:rStyle w:val="Hyperlink"/>
                <w:noProof/>
                <w:color w:val="auto"/>
                <w:lang w:val="en-GB"/>
              </w:rPr>
              <w:t>Laboratory analyses and genotyping</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_Toc110945217 \h </w:instrText>
            </w:r>
            <w:r w:rsidR="004B5FBE" w:rsidRPr="00116F45">
              <w:rPr>
                <w:noProof/>
                <w:webHidden/>
              </w:rPr>
            </w:r>
            <w:r w:rsidR="004B5FBE" w:rsidRPr="00116F45">
              <w:rPr>
                <w:noProof/>
                <w:webHidden/>
              </w:rPr>
              <w:fldChar w:fldCharType="separate"/>
            </w:r>
            <w:r w:rsidR="004B5FBE" w:rsidRPr="00116F45">
              <w:rPr>
                <w:noProof/>
                <w:webHidden/>
              </w:rPr>
              <w:t>4</w:t>
            </w:r>
            <w:r w:rsidR="004B5FBE" w:rsidRPr="00116F45">
              <w:rPr>
                <w:noProof/>
                <w:webHidden/>
              </w:rPr>
              <w:fldChar w:fldCharType="end"/>
            </w:r>
          </w:hyperlink>
        </w:p>
        <w:p w14:paraId="694A0981" w14:textId="477C303C"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18" w:history="1">
            <w:r w:rsidR="004B5FBE" w:rsidRPr="00116F45">
              <w:rPr>
                <w:rStyle w:val="Hyperlink"/>
                <w:noProof/>
                <w:color w:val="auto"/>
                <w:lang w:val="en-GB"/>
              </w:rPr>
              <w:t>Covariates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_Toc110945218 \h </w:instrText>
            </w:r>
            <w:r w:rsidR="004B5FBE" w:rsidRPr="00116F45">
              <w:rPr>
                <w:noProof/>
                <w:webHidden/>
              </w:rPr>
            </w:r>
            <w:r w:rsidR="004B5FBE" w:rsidRPr="00116F45">
              <w:rPr>
                <w:noProof/>
                <w:webHidden/>
              </w:rPr>
              <w:fldChar w:fldCharType="separate"/>
            </w:r>
            <w:r w:rsidR="004B5FBE" w:rsidRPr="00116F45">
              <w:rPr>
                <w:noProof/>
                <w:webHidden/>
              </w:rPr>
              <w:t>4</w:t>
            </w:r>
            <w:r w:rsidR="004B5FBE" w:rsidRPr="00116F45">
              <w:rPr>
                <w:noProof/>
                <w:webHidden/>
              </w:rPr>
              <w:fldChar w:fldCharType="end"/>
            </w:r>
          </w:hyperlink>
        </w:p>
        <w:p w14:paraId="585B889B" w14:textId="5234AFC3"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19" w:history="1">
            <w:r w:rsidR="004B5FBE" w:rsidRPr="00116F45">
              <w:rPr>
                <w:rStyle w:val="Hyperlink"/>
                <w:noProof/>
                <w:color w:val="auto"/>
                <w:lang w:val="en-GB"/>
              </w:rPr>
              <w:t>Statistical analyses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_Toc110945219 \h </w:instrText>
            </w:r>
            <w:r w:rsidR="004B5FBE" w:rsidRPr="00116F45">
              <w:rPr>
                <w:noProof/>
                <w:webHidden/>
              </w:rPr>
            </w:r>
            <w:r w:rsidR="004B5FBE" w:rsidRPr="00116F45">
              <w:rPr>
                <w:noProof/>
                <w:webHidden/>
              </w:rPr>
              <w:fldChar w:fldCharType="separate"/>
            </w:r>
            <w:r w:rsidR="004B5FBE" w:rsidRPr="00116F45">
              <w:rPr>
                <w:noProof/>
                <w:webHidden/>
              </w:rPr>
              <w:t>5</w:t>
            </w:r>
            <w:r w:rsidR="004B5FBE" w:rsidRPr="00116F45">
              <w:rPr>
                <w:noProof/>
                <w:webHidden/>
              </w:rPr>
              <w:fldChar w:fldCharType="end"/>
            </w:r>
          </w:hyperlink>
        </w:p>
        <w:p w14:paraId="4A949972" w14:textId="3B5559BF" w:rsidR="004B5FBE" w:rsidRPr="00116F45" w:rsidRDefault="009E39DF" w:rsidP="004B5FBE">
          <w:pPr>
            <w:pStyle w:val="TOC1"/>
            <w:tabs>
              <w:tab w:val="right" w:leader="dot" w:pos="9628"/>
            </w:tabs>
            <w:spacing w:line="240" w:lineRule="auto"/>
            <w:rPr>
              <w:rFonts w:asciiTheme="minorHAnsi" w:eastAsiaTheme="minorEastAsia" w:hAnsiTheme="minorHAnsi"/>
              <w:noProof/>
              <w:sz w:val="22"/>
              <w:lang w:val="en-GB" w:eastAsia="en-GB"/>
            </w:rPr>
          </w:pPr>
          <w:hyperlink w:anchor="_Toc110945220" w:history="1">
            <w:r w:rsidR="004B5FBE" w:rsidRPr="00116F45">
              <w:rPr>
                <w:rStyle w:val="Hyperlink"/>
                <w:noProof/>
                <w:color w:val="auto"/>
                <w:lang w:val="en-US"/>
              </w:rPr>
              <w:t>Results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_Toc110945220 \h </w:instrText>
            </w:r>
            <w:r w:rsidR="004B5FBE" w:rsidRPr="00116F45">
              <w:rPr>
                <w:noProof/>
                <w:webHidden/>
              </w:rPr>
            </w:r>
            <w:r w:rsidR="004B5FBE" w:rsidRPr="00116F45">
              <w:rPr>
                <w:noProof/>
                <w:webHidden/>
              </w:rPr>
              <w:fldChar w:fldCharType="separate"/>
            </w:r>
            <w:r w:rsidR="004B5FBE" w:rsidRPr="00116F45">
              <w:rPr>
                <w:noProof/>
                <w:webHidden/>
              </w:rPr>
              <w:t>8</w:t>
            </w:r>
            <w:r w:rsidR="004B5FBE" w:rsidRPr="00116F45">
              <w:rPr>
                <w:noProof/>
                <w:webHidden/>
              </w:rPr>
              <w:fldChar w:fldCharType="end"/>
            </w:r>
          </w:hyperlink>
        </w:p>
        <w:p w14:paraId="41CF7CE9" w14:textId="1FFCC272" w:rsidR="004B5FBE" w:rsidRPr="00116F45" w:rsidRDefault="009E39DF" w:rsidP="004B5FBE">
          <w:pPr>
            <w:pStyle w:val="TOC1"/>
            <w:tabs>
              <w:tab w:val="right" w:leader="dot" w:pos="9628"/>
            </w:tabs>
            <w:spacing w:line="240" w:lineRule="auto"/>
            <w:rPr>
              <w:rFonts w:asciiTheme="minorHAnsi" w:eastAsiaTheme="minorEastAsia" w:hAnsiTheme="minorHAnsi"/>
              <w:noProof/>
              <w:sz w:val="22"/>
              <w:lang w:val="en-GB" w:eastAsia="en-GB"/>
            </w:rPr>
          </w:pPr>
          <w:hyperlink w:anchor="_Toc110945221" w:history="1">
            <w:r w:rsidR="004B5FBE" w:rsidRPr="00116F45">
              <w:rPr>
                <w:rStyle w:val="Hyperlink"/>
                <w:noProof/>
                <w:color w:val="auto"/>
                <w:lang w:val="en-GB"/>
              </w:rPr>
              <w:t>Discussion</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_Toc110945221 \h </w:instrText>
            </w:r>
            <w:r w:rsidR="004B5FBE" w:rsidRPr="00116F45">
              <w:rPr>
                <w:noProof/>
                <w:webHidden/>
              </w:rPr>
            </w:r>
            <w:r w:rsidR="004B5FBE" w:rsidRPr="00116F45">
              <w:rPr>
                <w:noProof/>
                <w:webHidden/>
              </w:rPr>
              <w:fldChar w:fldCharType="separate"/>
            </w:r>
            <w:r w:rsidR="004B5FBE" w:rsidRPr="00116F45">
              <w:rPr>
                <w:noProof/>
                <w:webHidden/>
              </w:rPr>
              <w:t>8</w:t>
            </w:r>
            <w:r w:rsidR="004B5FBE" w:rsidRPr="00116F45">
              <w:rPr>
                <w:noProof/>
                <w:webHidden/>
              </w:rPr>
              <w:fldChar w:fldCharType="end"/>
            </w:r>
          </w:hyperlink>
        </w:p>
        <w:p w14:paraId="4FF7CFF5" w14:textId="57A11386" w:rsidR="004B5FBE" w:rsidRPr="00116F45" w:rsidRDefault="009E39DF" w:rsidP="004B5FBE">
          <w:pPr>
            <w:pStyle w:val="TOC1"/>
            <w:tabs>
              <w:tab w:val="right" w:leader="dot" w:pos="9628"/>
            </w:tabs>
            <w:spacing w:line="240" w:lineRule="auto"/>
            <w:rPr>
              <w:rFonts w:asciiTheme="minorHAnsi" w:eastAsiaTheme="minorEastAsia" w:hAnsiTheme="minorHAnsi"/>
              <w:noProof/>
              <w:sz w:val="22"/>
              <w:lang w:val="en-GB" w:eastAsia="en-GB"/>
            </w:rPr>
          </w:pPr>
          <w:hyperlink w:anchor="_Toc110945222" w:history="1">
            <w:r w:rsidR="004B5FBE" w:rsidRPr="00116F45">
              <w:rPr>
                <w:rStyle w:val="Hyperlink"/>
                <w:noProof/>
                <w:color w:val="auto"/>
                <w:lang w:val="en-GB"/>
              </w:rPr>
              <w:t>References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_Toc110945222 \h </w:instrText>
            </w:r>
            <w:r w:rsidR="004B5FBE" w:rsidRPr="00116F45">
              <w:rPr>
                <w:noProof/>
                <w:webHidden/>
              </w:rPr>
            </w:r>
            <w:r w:rsidR="004B5FBE" w:rsidRPr="00116F45">
              <w:rPr>
                <w:noProof/>
                <w:webHidden/>
              </w:rPr>
              <w:fldChar w:fldCharType="separate"/>
            </w:r>
            <w:r w:rsidR="004B5FBE" w:rsidRPr="00116F45">
              <w:rPr>
                <w:noProof/>
                <w:webHidden/>
              </w:rPr>
              <w:t>9</w:t>
            </w:r>
            <w:r w:rsidR="004B5FBE" w:rsidRPr="00116F45">
              <w:rPr>
                <w:noProof/>
                <w:webHidden/>
              </w:rPr>
              <w:fldChar w:fldCharType="end"/>
            </w:r>
          </w:hyperlink>
        </w:p>
        <w:p w14:paraId="70F1D79F" w14:textId="41E3DEB8" w:rsidR="004B5FBE" w:rsidRPr="00116F45" w:rsidRDefault="009E39DF" w:rsidP="004B5FBE">
          <w:pPr>
            <w:pStyle w:val="TOC1"/>
            <w:tabs>
              <w:tab w:val="right" w:leader="dot" w:pos="9628"/>
            </w:tabs>
            <w:spacing w:line="240" w:lineRule="auto"/>
            <w:rPr>
              <w:rFonts w:asciiTheme="minorHAnsi" w:eastAsiaTheme="minorEastAsia" w:hAnsiTheme="minorHAnsi"/>
              <w:noProof/>
              <w:sz w:val="22"/>
              <w:lang w:val="en-GB" w:eastAsia="en-GB"/>
            </w:rPr>
          </w:pPr>
          <w:hyperlink w:anchor="_Toc110945223" w:history="1">
            <w:r w:rsidR="004B5FBE" w:rsidRPr="00116F45">
              <w:rPr>
                <w:rStyle w:val="Hyperlink"/>
                <w:noProof/>
                <w:color w:val="auto"/>
                <w:lang w:val="en-US"/>
              </w:rPr>
              <w:t>Supplementary Tables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_Toc110945223 \h </w:instrText>
            </w:r>
            <w:r w:rsidR="004B5FBE" w:rsidRPr="00116F45">
              <w:rPr>
                <w:noProof/>
                <w:webHidden/>
              </w:rPr>
            </w:r>
            <w:r w:rsidR="004B5FBE" w:rsidRPr="00116F45">
              <w:rPr>
                <w:noProof/>
                <w:webHidden/>
              </w:rPr>
              <w:fldChar w:fldCharType="separate"/>
            </w:r>
            <w:r w:rsidR="004B5FBE" w:rsidRPr="00116F45">
              <w:rPr>
                <w:noProof/>
                <w:webHidden/>
              </w:rPr>
              <w:t>11</w:t>
            </w:r>
            <w:r w:rsidR="004B5FBE" w:rsidRPr="00116F45">
              <w:rPr>
                <w:noProof/>
                <w:webHidden/>
              </w:rPr>
              <w:fldChar w:fldCharType="end"/>
            </w:r>
          </w:hyperlink>
        </w:p>
        <w:p w14:paraId="08E9E501" w14:textId="0EED54EF"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24" w:history="1">
            <w:r w:rsidR="004B5FBE" w:rsidRPr="00116F45">
              <w:rPr>
                <w:rStyle w:val="Hyperlink"/>
                <w:noProof/>
                <w:color w:val="auto"/>
                <w:lang w:val="en-US"/>
              </w:rPr>
              <w:t>Supplementary Table 1. Baseline characteristics for individuals included and excluded from the study.</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_Toc110945224 \h </w:instrText>
            </w:r>
            <w:r w:rsidR="004B5FBE" w:rsidRPr="00116F45">
              <w:rPr>
                <w:noProof/>
                <w:webHidden/>
              </w:rPr>
            </w:r>
            <w:r w:rsidR="004B5FBE" w:rsidRPr="00116F45">
              <w:rPr>
                <w:noProof/>
                <w:webHidden/>
              </w:rPr>
              <w:fldChar w:fldCharType="separate"/>
            </w:r>
            <w:r w:rsidR="004B5FBE" w:rsidRPr="00116F45">
              <w:rPr>
                <w:noProof/>
                <w:webHidden/>
              </w:rPr>
              <w:t>11</w:t>
            </w:r>
            <w:r w:rsidR="004B5FBE" w:rsidRPr="00116F45">
              <w:rPr>
                <w:noProof/>
                <w:webHidden/>
              </w:rPr>
              <w:fldChar w:fldCharType="end"/>
            </w:r>
          </w:hyperlink>
        </w:p>
        <w:p w14:paraId="1002FCC1" w14:textId="4C6E8F57"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25" w:history="1">
            <w:r w:rsidR="004B5FBE" w:rsidRPr="00116F45">
              <w:rPr>
                <w:rStyle w:val="Hyperlink"/>
                <w:noProof/>
                <w:color w:val="auto"/>
                <w:lang w:val="en-US"/>
              </w:rPr>
              <w:t>Supplementary Table 2. Food Frequency Questionnaire as a part of the extensive questionnaire in the Copenhagen General Population Study.</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_Toc110945225 \h </w:instrText>
            </w:r>
            <w:r w:rsidR="004B5FBE" w:rsidRPr="00116F45">
              <w:rPr>
                <w:noProof/>
                <w:webHidden/>
              </w:rPr>
            </w:r>
            <w:r w:rsidR="004B5FBE" w:rsidRPr="00116F45">
              <w:rPr>
                <w:noProof/>
                <w:webHidden/>
              </w:rPr>
              <w:fldChar w:fldCharType="separate"/>
            </w:r>
            <w:r w:rsidR="004B5FBE" w:rsidRPr="00116F45">
              <w:rPr>
                <w:noProof/>
                <w:webHidden/>
              </w:rPr>
              <w:t>12</w:t>
            </w:r>
            <w:r w:rsidR="004B5FBE" w:rsidRPr="00116F45">
              <w:rPr>
                <w:noProof/>
                <w:webHidden/>
              </w:rPr>
              <w:fldChar w:fldCharType="end"/>
            </w:r>
          </w:hyperlink>
        </w:p>
        <w:p w14:paraId="5DA74417" w14:textId="1F4DBCF1"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26" w:history="1">
            <w:r w:rsidR="004B5FBE" w:rsidRPr="00116F45">
              <w:rPr>
                <w:rStyle w:val="Hyperlink"/>
                <w:noProof/>
                <w:color w:val="auto"/>
                <w:lang w:val="en-US"/>
              </w:rPr>
              <w:t>Supplementary Table 3. Details of dietary food components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_Toc110945226 \h </w:instrText>
            </w:r>
            <w:r w:rsidR="004B5FBE" w:rsidRPr="00116F45">
              <w:rPr>
                <w:noProof/>
                <w:webHidden/>
              </w:rPr>
            </w:r>
            <w:r w:rsidR="004B5FBE" w:rsidRPr="00116F45">
              <w:rPr>
                <w:noProof/>
                <w:webHidden/>
              </w:rPr>
              <w:fldChar w:fldCharType="separate"/>
            </w:r>
            <w:r w:rsidR="004B5FBE" w:rsidRPr="00116F45">
              <w:rPr>
                <w:noProof/>
                <w:webHidden/>
              </w:rPr>
              <w:t>13</w:t>
            </w:r>
            <w:r w:rsidR="004B5FBE" w:rsidRPr="00116F45">
              <w:rPr>
                <w:noProof/>
                <w:webHidden/>
              </w:rPr>
              <w:fldChar w:fldCharType="end"/>
            </w:r>
          </w:hyperlink>
        </w:p>
        <w:p w14:paraId="74EC073C" w14:textId="77E93899"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27" w:history="1">
            <w:r w:rsidR="004B5FBE" w:rsidRPr="00116F45">
              <w:rPr>
                <w:rStyle w:val="Hyperlink"/>
                <w:noProof/>
                <w:color w:val="auto"/>
                <w:lang w:val="en-GB"/>
              </w:rPr>
              <w:t>Supplementary Table 4. Number of individuals with missing and imputed covariates in the Copenhagen General Population Study.</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_Toc110945227 \h </w:instrText>
            </w:r>
            <w:r w:rsidR="004B5FBE" w:rsidRPr="00116F45">
              <w:rPr>
                <w:noProof/>
                <w:webHidden/>
              </w:rPr>
            </w:r>
            <w:r w:rsidR="004B5FBE" w:rsidRPr="00116F45">
              <w:rPr>
                <w:noProof/>
                <w:webHidden/>
              </w:rPr>
              <w:fldChar w:fldCharType="separate"/>
            </w:r>
            <w:r w:rsidR="004B5FBE" w:rsidRPr="00116F45">
              <w:rPr>
                <w:noProof/>
                <w:webHidden/>
              </w:rPr>
              <w:t>14</w:t>
            </w:r>
            <w:r w:rsidR="004B5FBE" w:rsidRPr="00116F45">
              <w:rPr>
                <w:noProof/>
                <w:webHidden/>
              </w:rPr>
              <w:fldChar w:fldCharType="end"/>
            </w:r>
          </w:hyperlink>
        </w:p>
        <w:p w14:paraId="1DDE83AF" w14:textId="67FDABCC"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28" w:history="1">
            <w:r w:rsidR="004B5FBE" w:rsidRPr="00116F45">
              <w:rPr>
                <w:rStyle w:val="Hyperlink"/>
                <w:noProof/>
                <w:color w:val="auto"/>
                <w:lang w:val="en-US"/>
              </w:rPr>
              <w:t>Supplementary Table 5. Dietary patterns in CGPS and CGPS2 duplicates.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_Toc110945228 \h </w:instrText>
            </w:r>
            <w:r w:rsidR="004B5FBE" w:rsidRPr="00116F45">
              <w:rPr>
                <w:noProof/>
                <w:webHidden/>
              </w:rPr>
            </w:r>
            <w:r w:rsidR="004B5FBE" w:rsidRPr="00116F45">
              <w:rPr>
                <w:noProof/>
                <w:webHidden/>
              </w:rPr>
              <w:fldChar w:fldCharType="separate"/>
            </w:r>
            <w:r w:rsidR="004B5FBE" w:rsidRPr="00116F45">
              <w:rPr>
                <w:noProof/>
                <w:webHidden/>
              </w:rPr>
              <w:t>15</w:t>
            </w:r>
            <w:r w:rsidR="004B5FBE" w:rsidRPr="00116F45">
              <w:rPr>
                <w:noProof/>
                <w:webHidden/>
              </w:rPr>
              <w:fldChar w:fldCharType="end"/>
            </w:r>
          </w:hyperlink>
        </w:p>
        <w:p w14:paraId="7C6E7FDA" w14:textId="71D854B1" w:rsidR="004B5FBE" w:rsidRPr="00116F45" w:rsidRDefault="009E39DF" w:rsidP="004B5FBE">
          <w:pPr>
            <w:pStyle w:val="TOC1"/>
            <w:tabs>
              <w:tab w:val="right" w:leader="dot" w:pos="9628"/>
            </w:tabs>
            <w:spacing w:line="240" w:lineRule="auto"/>
            <w:rPr>
              <w:rFonts w:asciiTheme="minorHAnsi" w:eastAsiaTheme="minorEastAsia" w:hAnsiTheme="minorHAnsi"/>
              <w:noProof/>
              <w:sz w:val="22"/>
              <w:lang w:val="en-GB" w:eastAsia="en-GB"/>
            </w:rPr>
          </w:pPr>
          <w:hyperlink w:anchor="_Toc110945229" w:history="1">
            <w:r w:rsidR="004B5FBE" w:rsidRPr="00116F45">
              <w:rPr>
                <w:rStyle w:val="Hyperlink"/>
                <w:noProof/>
                <w:color w:val="auto"/>
                <w:lang w:val="en-US"/>
              </w:rPr>
              <w:t>Supplementary Figures</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_Toc110945229 \h </w:instrText>
            </w:r>
            <w:r w:rsidR="004B5FBE" w:rsidRPr="00116F45">
              <w:rPr>
                <w:noProof/>
                <w:webHidden/>
              </w:rPr>
            </w:r>
            <w:r w:rsidR="004B5FBE" w:rsidRPr="00116F45">
              <w:rPr>
                <w:noProof/>
                <w:webHidden/>
              </w:rPr>
              <w:fldChar w:fldCharType="separate"/>
            </w:r>
            <w:r w:rsidR="004B5FBE" w:rsidRPr="00116F45">
              <w:rPr>
                <w:noProof/>
                <w:webHidden/>
              </w:rPr>
              <w:t>16</w:t>
            </w:r>
            <w:r w:rsidR="004B5FBE" w:rsidRPr="00116F45">
              <w:rPr>
                <w:noProof/>
                <w:webHidden/>
              </w:rPr>
              <w:fldChar w:fldCharType="end"/>
            </w:r>
          </w:hyperlink>
        </w:p>
        <w:p w14:paraId="362BBFA3" w14:textId="19A2BB08"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30" w:history="1">
            <w:r w:rsidR="004B5FBE" w:rsidRPr="00116F45">
              <w:rPr>
                <w:rStyle w:val="Hyperlink"/>
                <w:noProof/>
                <w:color w:val="auto"/>
                <w:lang w:val="en-US"/>
              </w:rPr>
              <w:t>Supplementary Figure 1. Study design.</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_Toc110945230 \h </w:instrText>
            </w:r>
            <w:r w:rsidR="004B5FBE" w:rsidRPr="00116F45">
              <w:rPr>
                <w:noProof/>
                <w:webHidden/>
              </w:rPr>
            </w:r>
            <w:r w:rsidR="004B5FBE" w:rsidRPr="00116F45">
              <w:rPr>
                <w:noProof/>
                <w:webHidden/>
              </w:rPr>
              <w:fldChar w:fldCharType="separate"/>
            </w:r>
            <w:r w:rsidR="004B5FBE" w:rsidRPr="00116F45">
              <w:rPr>
                <w:noProof/>
                <w:webHidden/>
              </w:rPr>
              <w:t>16</w:t>
            </w:r>
            <w:r w:rsidR="004B5FBE" w:rsidRPr="00116F45">
              <w:rPr>
                <w:noProof/>
                <w:webHidden/>
              </w:rPr>
              <w:fldChar w:fldCharType="end"/>
            </w:r>
          </w:hyperlink>
        </w:p>
        <w:p w14:paraId="4763AA5A" w14:textId="4B226B20"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31" w:history="1">
            <w:r w:rsidR="004B5FBE" w:rsidRPr="00116F45">
              <w:rPr>
                <w:rStyle w:val="Hyperlink"/>
                <w:noProof/>
                <w:color w:val="auto"/>
                <w:lang w:val="en-GB"/>
              </w:rPr>
              <w:t>Supplementary Figure 2. Participant Flow Chart for the Copenhagen General Population Study.</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_Toc110945231 \h </w:instrText>
            </w:r>
            <w:r w:rsidR="004B5FBE" w:rsidRPr="00116F45">
              <w:rPr>
                <w:noProof/>
                <w:webHidden/>
              </w:rPr>
            </w:r>
            <w:r w:rsidR="004B5FBE" w:rsidRPr="00116F45">
              <w:rPr>
                <w:noProof/>
                <w:webHidden/>
              </w:rPr>
              <w:fldChar w:fldCharType="separate"/>
            </w:r>
            <w:r w:rsidR="004B5FBE" w:rsidRPr="00116F45">
              <w:rPr>
                <w:noProof/>
                <w:webHidden/>
              </w:rPr>
              <w:t>17</w:t>
            </w:r>
            <w:r w:rsidR="004B5FBE" w:rsidRPr="00116F45">
              <w:rPr>
                <w:noProof/>
                <w:webHidden/>
              </w:rPr>
              <w:fldChar w:fldCharType="end"/>
            </w:r>
          </w:hyperlink>
        </w:p>
        <w:p w14:paraId="558B2C3D" w14:textId="49A90ACF"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32" w:history="1">
            <w:r w:rsidR="004B5FBE" w:rsidRPr="00116F45">
              <w:rPr>
                <w:rStyle w:val="Hyperlink"/>
                <w:noProof/>
                <w:color w:val="auto"/>
                <w:lang w:val="en-US"/>
              </w:rPr>
              <w:t>Supplementary Figure 3. Risk of non-Alzheimer’s dementia and Alzheimer’s disease according to dietary groups in 93,021 individuals in the Copenhagen General Population Study, excluding individuals with less than two years of follow-up.</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_Toc110945232 \h </w:instrText>
            </w:r>
            <w:r w:rsidR="004B5FBE" w:rsidRPr="00116F45">
              <w:rPr>
                <w:noProof/>
                <w:webHidden/>
              </w:rPr>
            </w:r>
            <w:r w:rsidR="004B5FBE" w:rsidRPr="00116F45">
              <w:rPr>
                <w:noProof/>
                <w:webHidden/>
              </w:rPr>
              <w:fldChar w:fldCharType="separate"/>
            </w:r>
            <w:r w:rsidR="004B5FBE" w:rsidRPr="00116F45">
              <w:rPr>
                <w:noProof/>
                <w:webHidden/>
              </w:rPr>
              <w:t>18</w:t>
            </w:r>
            <w:r w:rsidR="004B5FBE" w:rsidRPr="00116F45">
              <w:rPr>
                <w:noProof/>
                <w:webHidden/>
              </w:rPr>
              <w:fldChar w:fldCharType="end"/>
            </w:r>
          </w:hyperlink>
        </w:p>
        <w:p w14:paraId="572D0F6D" w14:textId="165B57FD"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33" w:history="1">
            <w:r w:rsidR="004B5FBE" w:rsidRPr="00116F45">
              <w:rPr>
                <w:rStyle w:val="Hyperlink"/>
                <w:noProof/>
                <w:color w:val="auto"/>
                <w:lang w:val="en-US"/>
              </w:rPr>
              <w:t xml:space="preserve">Supplementary Figure 4. Risk of non-Alzheimer’s dementia and Alzheimer’s disease according to dietary groups </w:t>
            </w:r>
            <w:r w:rsidR="004B5FBE" w:rsidRPr="00116F45">
              <w:rPr>
                <w:rStyle w:val="Hyperlink"/>
                <w:bCs/>
                <w:noProof/>
                <w:color w:val="auto"/>
                <w:lang w:val="en-US"/>
              </w:rPr>
              <w:t xml:space="preserve">in 94,184 individuals in the Copenhagen General Population Study, </w:t>
            </w:r>
            <w:r w:rsidR="004B5FBE" w:rsidRPr="00116F45">
              <w:rPr>
                <w:rStyle w:val="Hyperlink"/>
                <w:noProof/>
                <w:color w:val="auto"/>
                <w:lang w:val="en-US"/>
              </w:rPr>
              <w:t>adjusting additionally for ischemic heart disease and ischemic cerebrovascular disease.</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_Toc110945233 \h </w:instrText>
            </w:r>
            <w:r w:rsidR="004B5FBE" w:rsidRPr="00116F45">
              <w:rPr>
                <w:noProof/>
                <w:webHidden/>
              </w:rPr>
            </w:r>
            <w:r w:rsidR="004B5FBE" w:rsidRPr="00116F45">
              <w:rPr>
                <w:noProof/>
                <w:webHidden/>
              </w:rPr>
              <w:fldChar w:fldCharType="separate"/>
            </w:r>
            <w:r w:rsidR="004B5FBE" w:rsidRPr="00116F45">
              <w:rPr>
                <w:noProof/>
                <w:webHidden/>
              </w:rPr>
              <w:t>19</w:t>
            </w:r>
            <w:r w:rsidR="004B5FBE" w:rsidRPr="00116F45">
              <w:rPr>
                <w:noProof/>
                <w:webHidden/>
              </w:rPr>
              <w:fldChar w:fldCharType="end"/>
            </w:r>
          </w:hyperlink>
        </w:p>
        <w:p w14:paraId="76B5BEAE" w14:textId="69B2D21D"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34" w:history="1">
            <w:r w:rsidR="004B5FBE" w:rsidRPr="00116F45">
              <w:rPr>
                <w:rStyle w:val="Hyperlink"/>
                <w:noProof/>
                <w:color w:val="auto"/>
                <w:lang w:val="en-US"/>
              </w:rPr>
              <w:t xml:space="preserve">Supplementary Figure 5. Risk of non-Alzheimer’s dementia and Alzheimer’s disease according to dietary groups </w:t>
            </w:r>
            <w:r w:rsidR="004B5FBE" w:rsidRPr="00116F45">
              <w:rPr>
                <w:rStyle w:val="Hyperlink"/>
                <w:bCs/>
                <w:noProof/>
                <w:color w:val="auto"/>
                <w:lang w:val="en-US"/>
              </w:rPr>
              <w:t xml:space="preserve">in 94,184 individuals in the Copenhagen General Population Study; </w:t>
            </w:r>
            <w:r w:rsidR="004B5FBE" w:rsidRPr="00116F45">
              <w:rPr>
                <w:rStyle w:val="Hyperlink"/>
                <w:rFonts w:cs="Times New Roman"/>
                <w:noProof/>
                <w:color w:val="auto"/>
                <w:lang w:val="en-GB"/>
              </w:rPr>
              <w:t>imputed variables based on all covariates and endpoints</w:t>
            </w:r>
            <w:r w:rsidR="004B5FBE" w:rsidRPr="00116F45">
              <w:rPr>
                <w:rStyle w:val="Hyperlink"/>
                <w:noProof/>
                <w:color w:val="auto"/>
                <w:lang w:val="en-US"/>
              </w:rPr>
              <w:t>.</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_Toc110945234 \h </w:instrText>
            </w:r>
            <w:r w:rsidR="004B5FBE" w:rsidRPr="00116F45">
              <w:rPr>
                <w:noProof/>
                <w:webHidden/>
              </w:rPr>
            </w:r>
            <w:r w:rsidR="004B5FBE" w:rsidRPr="00116F45">
              <w:rPr>
                <w:noProof/>
                <w:webHidden/>
              </w:rPr>
              <w:fldChar w:fldCharType="separate"/>
            </w:r>
            <w:r w:rsidR="004B5FBE" w:rsidRPr="00116F45">
              <w:rPr>
                <w:noProof/>
                <w:webHidden/>
              </w:rPr>
              <w:t>20</w:t>
            </w:r>
            <w:r w:rsidR="004B5FBE" w:rsidRPr="00116F45">
              <w:rPr>
                <w:noProof/>
                <w:webHidden/>
              </w:rPr>
              <w:fldChar w:fldCharType="end"/>
            </w:r>
          </w:hyperlink>
        </w:p>
        <w:p w14:paraId="3561239B" w14:textId="2F39F4E9"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35" w:history="1">
            <w:r w:rsidR="004B5FBE" w:rsidRPr="00116F45">
              <w:rPr>
                <w:rStyle w:val="Hyperlink"/>
                <w:noProof/>
                <w:color w:val="auto"/>
                <w:lang w:val="en-US"/>
              </w:rPr>
              <w:t>Supplementary Figure 6. Risk of cardiovascular mortality and all-cause mortality according to dietary groups in 94,184 individuals from the Copenhagen General Population Study - a positive control.</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_Toc110945235 \h </w:instrText>
            </w:r>
            <w:r w:rsidR="004B5FBE" w:rsidRPr="00116F45">
              <w:rPr>
                <w:noProof/>
                <w:webHidden/>
              </w:rPr>
            </w:r>
            <w:r w:rsidR="004B5FBE" w:rsidRPr="00116F45">
              <w:rPr>
                <w:noProof/>
                <w:webHidden/>
              </w:rPr>
              <w:fldChar w:fldCharType="separate"/>
            </w:r>
            <w:r w:rsidR="004B5FBE" w:rsidRPr="00116F45">
              <w:rPr>
                <w:noProof/>
                <w:webHidden/>
              </w:rPr>
              <w:t>21</w:t>
            </w:r>
            <w:r w:rsidR="004B5FBE" w:rsidRPr="00116F45">
              <w:rPr>
                <w:noProof/>
                <w:webHidden/>
              </w:rPr>
              <w:fldChar w:fldCharType="end"/>
            </w:r>
          </w:hyperlink>
        </w:p>
        <w:p w14:paraId="6A9FB7AA" w14:textId="784DDBB9" w:rsidR="004B5FBE" w:rsidRPr="00116F45" w:rsidRDefault="009E39DF" w:rsidP="004B5FBE">
          <w:pPr>
            <w:pStyle w:val="TOC2"/>
            <w:tabs>
              <w:tab w:val="right" w:leader="dot" w:pos="9628"/>
            </w:tabs>
            <w:spacing w:line="240" w:lineRule="auto"/>
            <w:rPr>
              <w:rFonts w:asciiTheme="minorHAnsi" w:eastAsiaTheme="minorEastAsia" w:hAnsiTheme="minorHAnsi"/>
              <w:noProof/>
              <w:sz w:val="22"/>
              <w:lang w:val="en-GB" w:eastAsia="en-GB"/>
            </w:rPr>
          </w:pPr>
          <w:hyperlink w:anchor="_Toc110945236" w:history="1">
            <w:r w:rsidR="004B5FBE" w:rsidRPr="00116F45">
              <w:rPr>
                <w:rStyle w:val="Hyperlink"/>
                <w:noProof/>
                <w:color w:val="auto"/>
                <w:lang w:val="en-US"/>
              </w:rPr>
              <w:t>Supplementary Figure 7. Interaction between level of adherence to dietary guidelines and covariates on risk of non-Alzheimer’s dementia</w:t>
            </w:r>
            <w:r w:rsidR="004B5FBE" w:rsidRPr="00116F45">
              <w:rPr>
                <w:rStyle w:val="Hyperlink"/>
                <w:rFonts w:cs="Times New Roman"/>
                <w:bCs/>
                <w:noProof/>
                <w:color w:val="auto"/>
                <w:lang w:val="en-US"/>
              </w:rPr>
              <w:t xml:space="preserve"> </w:t>
            </w:r>
            <w:r w:rsidR="004B5FBE" w:rsidRPr="00116F45">
              <w:rPr>
                <w:rStyle w:val="Hyperlink"/>
                <w:bCs/>
                <w:noProof/>
                <w:color w:val="auto"/>
                <w:lang w:val="en-US"/>
              </w:rPr>
              <w:t>in 94,184 individuals in the Copenhagen General Population Study</w:t>
            </w:r>
            <w:r w:rsidR="004B5FBE" w:rsidRPr="00116F45">
              <w:rPr>
                <w:rStyle w:val="Hyperlink"/>
                <w:noProof/>
                <w:color w:val="auto"/>
                <w:lang w:val="en-US"/>
              </w:rPr>
              <w:t>.</w:t>
            </w:r>
            <w:r w:rsidR="004B5FBE" w:rsidRPr="00116F45">
              <w:rPr>
                <w:noProof/>
                <w:webHidden/>
              </w:rPr>
              <w:tab/>
            </w:r>
            <w:r w:rsidR="004B5FBE" w:rsidRPr="00116F45">
              <w:rPr>
                <w:noProof/>
                <w:webHidden/>
              </w:rPr>
              <w:fldChar w:fldCharType="begin"/>
            </w:r>
            <w:r w:rsidR="004B5FBE" w:rsidRPr="00116F45">
              <w:rPr>
                <w:noProof/>
                <w:webHidden/>
              </w:rPr>
              <w:instrText xml:space="preserve"> PAGEREF _Toc110945236 \h </w:instrText>
            </w:r>
            <w:r w:rsidR="004B5FBE" w:rsidRPr="00116F45">
              <w:rPr>
                <w:noProof/>
                <w:webHidden/>
              </w:rPr>
            </w:r>
            <w:r w:rsidR="004B5FBE" w:rsidRPr="00116F45">
              <w:rPr>
                <w:noProof/>
                <w:webHidden/>
              </w:rPr>
              <w:fldChar w:fldCharType="separate"/>
            </w:r>
            <w:r w:rsidR="004B5FBE" w:rsidRPr="00116F45">
              <w:rPr>
                <w:noProof/>
                <w:webHidden/>
              </w:rPr>
              <w:t>22</w:t>
            </w:r>
            <w:r w:rsidR="004B5FBE" w:rsidRPr="00116F45">
              <w:rPr>
                <w:noProof/>
                <w:webHidden/>
              </w:rPr>
              <w:fldChar w:fldCharType="end"/>
            </w:r>
          </w:hyperlink>
        </w:p>
        <w:p w14:paraId="27D7E0BB" w14:textId="0C55E41B" w:rsidR="00AB2B30" w:rsidRPr="00116F45" w:rsidRDefault="00AB2B30" w:rsidP="004B5FBE">
          <w:pPr>
            <w:spacing w:line="240" w:lineRule="auto"/>
            <w:rPr>
              <w:rFonts w:cs="Times New Roman"/>
              <w:lang w:val="en-US"/>
            </w:rPr>
          </w:pPr>
          <w:r w:rsidRPr="00116F45">
            <w:rPr>
              <w:rFonts w:cs="Times New Roman"/>
              <w:b/>
              <w:bCs/>
              <w:lang w:val="en-US"/>
            </w:rPr>
            <w:fldChar w:fldCharType="end"/>
          </w:r>
        </w:p>
      </w:sdtContent>
    </w:sdt>
    <w:p w14:paraId="1FD52F84" w14:textId="78FDA0A7" w:rsidR="00AB2B30" w:rsidRPr="00116F45" w:rsidRDefault="00AB2B30">
      <w:pPr>
        <w:rPr>
          <w:rFonts w:cs="Times New Roman"/>
          <w:b/>
          <w:bCs/>
          <w:sz w:val="20"/>
          <w:szCs w:val="20"/>
          <w:lang w:val="en-US"/>
        </w:rPr>
      </w:pPr>
      <w:r w:rsidRPr="00116F45">
        <w:rPr>
          <w:rFonts w:cs="Times New Roman"/>
          <w:b/>
          <w:bCs/>
          <w:sz w:val="20"/>
          <w:szCs w:val="20"/>
          <w:lang w:val="en-US"/>
        </w:rPr>
        <w:br w:type="page"/>
      </w:r>
    </w:p>
    <w:p w14:paraId="33D6ABCF" w14:textId="39E31C51" w:rsidR="00E5295E" w:rsidRPr="00116F45" w:rsidRDefault="00E5295E" w:rsidP="00E5295E">
      <w:pPr>
        <w:pStyle w:val="Heading1"/>
        <w:rPr>
          <w:lang w:val="en-US"/>
        </w:rPr>
      </w:pPr>
      <w:bookmarkStart w:id="0" w:name="_Toc110945215"/>
      <w:r w:rsidRPr="00116F45">
        <w:rPr>
          <w:lang w:val="en-US"/>
        </w:rPr>
        <w:lastRenderedPageBreak/>
        <w:t>Methods</w:t>
      </w:r>
      <w:bookmarkEnd w:id="0"/>
    </w:p>
    <w:p w14:paraId="14AAEADE" w14:textId="77777777" w:rsidR="00E5295E" w:rsidRPr="00116F45" w:rsidRDefault="00E5295E" w:rsidP="00E5295E">
      <w:pPr>
        <w:pStyle w:val="Heading2"/>
        <w:spacing w:line="480" w:lineRule="auto"/>
        <w:rPr>
          <w:lang w:val="en-GB"/>
        </w:rPr>
      </w:pPr>
      <w:bookmarkStart w:id="1" w:name="_Toc110945216"/>
      <w:r w:rsidRPr="00116F45">
        <w:rPr>
          <w:lang w:val="en-GB"/>
        </w:rPr>
        <w:t>Clinical endpoints</w:t>
      </w:r>
      <w:bookmarkEnd w:id="1"/>
    </w:p>
    <w:p w14:paraId="7C00FA58" w14:textId="71D2D972" w:rsidR="00E5295E" w:rsidRPr="00116F45" w:rsidRDefault="009760D1" w:rsidP="00E5295E">
      <w:pPr>
        <w:rPr>
          <w:rFonts w:cs="Times New Roman"/>
          <w:szCs w:val="24"/>
          <w:lang w:val="en-GB" w:eastAsia="da-DK"/>
        </w:rPr>
      </w:pPr>
      <w:r>
        <w:rPr>
          <w:rFonts w:cs="Times New Roman"/>
          <w:szCs w:val="24"/>
          <w:lang w:val="en-GB" w:eastAsia="da-DK"/>
        </w:rPr>
        <w:t>T</w:t>
      </w:r>
      <w:r w:rsidR="00E5295E" w:rsidRPr="00116F45">
        <w:rPr>
          <w:rFonts w:cs="Times New Roman"/>
          <w:szCs w:val="24"/>
          <w:lang w:val="en-GB" w:eastAsia="da-DK"/>
        </w:rPr>
        <w:t>he national Danish Civil Registration System</w:t>
      </w:r>
      <w:r>
        <w:rPr>
          <w:rFonts w:cs="Times New Roman"/>
          <w:szCs w:val="24"/>
          <w:lang w:val="en-GB" w:eastAsia="da-DK"/>
        </w:rPr>
        <w:t xml:space="preserve"> provided information on </w:t>
      </w:r>
      <w:r w:rsidRPr="00116F45">
        <w:rPr>
          <w:rFonts w:cs="Times New Roman"/>
          <w:szCs w:val="24"/>
          <w:lang w:val="en-GB" w:eastAsia="da-DK"/>
        </w:rPr>
        <w:t>births, deaths, emigrations, and immigrations</w:t>
      </w:r>
      <w:r w:rsidR="00E5295E" w:rsidRPr="00116F45">
        <w:rPr>
          <w:rFonts w:cs="Times New Roman"/>
          <w:szCs w:val="24"/>
          <w:lang w:val="en-GB" w:eastAsia="da-DK"/>
        </w:rPr>
        <w:t xml:space="preserve">. </w:t>
      </w:r>
      <w:r>
        <w:rPr>
          <w:rFonts w:cs="Times New Roman"/>
          <w:szCs w:val="24"/>
          <w:lang w:val="en-GB" w:eastAsia="da-DK"/>
        </w:rPr>
        <w:t>Diagnos</w:t>
      </w:r>
      <w:r w:rsidR="00E0695C">
        <w:rPr>
          <w:rFonts w:cs="Times New Roman"/>
          <w:szCs w:val="24"/>
          <w:lang w:val="en-GB" w:eastAsia="da-DK"/>
        </w:rPr>
        <w:t>i</w:t>
      </w:r>
      <w:r>
        <w:rPr>
          <w:rFonts w:cs="Times New Roman"/>
          <w:szCs w:val="24"/>
          <w:lang w:val="en-GB" w:eastAsia="da-DK"/>
        </w:rPr>
        <w:t>s codes were</w:t>
      </w:r>
      <w:r w:rsidR="00E5295E" w:rsidRPr="00116F45">
        <w:rPr>
          <w:rFonts w:cs="Times New Roman"/>
          <w:szCs w:val="24"/>
          <w:lang w:val="en-GB" w:eastAsia="da-DK"/>
        </w:rPr>
        <w:t xml:space="preserve"> drawn from the national Danish Patient Registry and the national Danish Causes of Death Registry. The national Danish Patient Registry </w:t>
      </w:r>
      <w:r w:rsidR="009E39DF">
        <w:rPr>
          <w:rFonts w:cs="Times New Roman"/>
          <w:szCs w:val="24"/>
          <w:lang w:val="en-GB" w:eastAsia="da-DK"/>
        </w:rPr>
        <w:t>contains</w:t>
      </w:r>
      <w:r w:rsidR="00E5295E" w:rsidRPr="00116F45">
        <w:rPr>
          <w:rFonts w:cs="Times New Roman"/>
          <w:szCs w:val="24"/>
          <w:lang w:val="en-GB" w:eastAsia="da-DK"/>
        </w:rPr>
        <w:t xml:space="preserve"> information on </w:t>
      </w:r>
      <w:r w:rsidR="00E0695C">
        <w:rPr>
          <w:rFonts w:cs="Times New Roman"/>
          <w:szCs w:val="24"/>
          <w:lang w:val="en-GB" w:eastAsia="da-DK"/>
        </w:rPr>
        <w:t>every</w:t>
      </w:r>
      <w:r w:rsidR="00E5295E" w:rsidRPr="00116F45">
        <w:rPr>
          <w:rFonts w:cs="Times New Roman"/>
          <w:szCs w:val="24"/>
          <w:lang w:val="en-GB" w:eastAsia="da-DK"/>
        </w:rPr>
        <w:t xml:space="preserve"> patient contac</w:t>
      </w:r>
      <w:r w:rsidR="00E0695C">
        <w:rPr>
          <w:rFonts w:cs="Times New Roman"/>
          <w:szCs w:val="24"/>
          <w:lang w:val="en-GB" w:eastAsia="da-DK"/>
        </w:rPr>
        <w:t>t from</w:t>
      </w:r>
      <w:r w:rsidR="00E5295E" w:rsidRPr="00116F45">
        <w:rPr>
          <w:rFonts w:cs="Times New Roman"/>
          <w:szCs w:val="24"/>
          <w:lang w:val="en-GB" w:eastAsia="da-DK"/>
        </w:rPr>
        <w:t xml:space="preserve"> all clinical hospital departments since 1977, including emergency wards and outpatient clinics </w:t>
      </w:r>
      <w:r w:rsidR="00E0695C">
        <w:rPr>
          <w:rFonts w:cs="Times New Roman"/>
          <w:szCs w:val="24"/>
          <w:lang w:val="en-GB" w:eastAsia="da-DK"/>
        </w:rPr>
        <w:t>since</w:t>
      </w:r>
      <w:r w:rsidR="00E5295E" w:rsidRPr="00116F45">
        <w:rPr>
          <w:rFonts w:cs="Times New Roman"/>
          <w:szCs w:val="24"/>
          <w:lang w:val="en-GB" w:eastAsia="da-DK"/>
        </w:rPr>
        <w:t xml:space="preserve"> 1994. </w:t>
      </w:r>
      <w:r w:rsidR="002C3A87">
        <w:rPr>
          <w:rFonts w:cs="Times New Roman"/>
          <w:szCs w:val="24"/>
          <w:lang w:val="en-GB" w:eastAsia="da-DK"/>
        </w:rPr>
        <w:t>Doctors in h</w:t>
      </w:r>
      <w:r w:rsidR="00E5295E" w:rsidRPr="00116F45">
        <w:rPr>
          <w:rFonts w:cs="Times New Roman"/>
          <w:szCs w:val="24"/>
          <w:lang w:val="en-GB" w:eastAsia="da-DK"/>
        </w:rPr>
        <w:t>ospitals and general practitioners</w:t>
      </w:r>
      <w:r w:rsidR="00E0695C">
        <w:rPr>
          <w:rFonts w:cs="Times New Roman"/>
          <w:szCs w:val="24"/>
          <w:lang w:val="en-GB" w:eastAsia="da-DK"/>
        </w:rPr>
        <w:t xml:space="preserve"> register the causes of every death in Denmark, which are then provided to the </w:t>
      </w:r>
      <w:r w:rsidR="00E0695C" w:rsidRPr="00116F45">
        <w:rPr>
          <w:rFonts w:cs="Times New Roman"/>
          <w:szCs w:val="24"/>
          <w:lang w:val="en-GB" w:eastAsia="da-DK"/>
        </w:rPr>
        <w:t>national Danish Causes of Death Registry</w:t>
      </w:r>
      <w:r w:rsidR="00E5295E" w:rsidRPr="00116F45">
        <w:rPr>
          <w:rFonts w:cs="Times New Roman"/>
          <w:szCs w:val="24"/>
          <w:lang w:val="en-GB" w:eastAsia="da-DK"/>
        </w:rPr>
        <w:t xml:space="preserve">. Information </w:t>
      </w:r>
      <w:r w:rsidR="005323F3">
        <w:rPr>
          <w:rFonts w:cs="Times New Roman"/>
          <w:szCs w:val="24"/>
          <w:lang w:val="en-GB" w:eastAsia="da-DK"/>
        </w:rPr>
        <w:t>regarding</w:t>
      </w:r>
      <w:r w:rsidR="00E5295E" w:rsidRPr="00116F45">
        <w:rPr>
          <w:rFonts w:cs="Times New Roman"/>
          <w:szCs w:val="24"/>
          <w:lang w:val="en-GB" w:eastAsia="da-DK"/>
        </w:rPr>
        <w:t xml:space="preserve"> death from cardiovascular diseases (International Classification of Disease (ICD)-8 codes 390–458 and ICD-10 codes I00–I99) was </w:t>
      </w:r>
      <w:r w:rsidR="00E0695C">
        <w:rPr>
          <w:rFonts w:cs="Times New Roman"/>
          <w:szCs w:val="24"/>
          <w:lang w:val="en-GB" w:eastAsia="da-DK"/>
        </w:rPr>
        <w:t>obtained</w:t>
      </w:r>
      <w:r w:rsidR="00E5295E" w:rsidRPr="00116F45">
        <w:rPr>
          <w:rFonts w:cs="Times New Roman"/>
          <w:szCs w:val="24"/>
          <w:lang w:val="en-GB" w:eastAsia="da-DK"/>
        </w:rPr>
        <w:t xml:space="preserve"> from the Danish Register of Causes of Death censored on 31 December 2016. Information on cardiovascular death was </w:t>
      </w:r>
      <w:r w:rsidR="00E0695C">
        <w:rPr>
          <w:rFonts w:cs="Times New Roman"/>
          <w:szCs w:val="24"/>
          <w:lang w:val="en-GB" w:eastAsia="da-DK"/>
        </w:rPr>
        <w:t>therefore</w:t>
      </w:r>
      <w:r w:rsidR="00E5295E" w:rsidRPr="00116F45">
        <w:rPr>
          <w:rFonts w:cs="Times New Roman"/>
          <w:szCs w:val="24"/>
          <w:lang w:val="en-GB" w:eastAsia="da-DK"/>
        </w:rPr>
        <w:t xml:space="preserve"> not available for people dying </w:t>
      </w:r>
      <w:r w:rsidR="00E0695C">
        <w:rPr>
          <w:rFonts w:cs="Times New Roman"/>
          <w:szCs w:val="24"/>
          <w:lang w:val="en-GB" w:eastAsia="da-DK"/>
        </w:rPr>
        <w:t>after</w:t>
      </w:r>
      <w:r w:rsidR="00E5295E" w:rsidRPr="00116F45">
        <w:rPr>
          <w:rFonts w:cs="Times New Roman"/>
          <w:szCs w:val="24"/>
          <w:lang w:val="en-GB" w:eastAsia="da-DK"/>
        </w:rPr>
        <w:t xml:space="preserve"> 31 December 2016, whereas</w:t>
      </w:r>
      <w:r w:rsidR="00E0695C">
        <w:rPr>
          <w:rFonts w:cs="Times New Roman"/>
          <w:szCs w:val="24"/>
          <w:lang w:val="en-GB" w:eastAsia="da-DK"/>
        </w:rPr>
        <w:t xml:space="preserve"> data on</w:t>
      </w:r>
      <w:r w:rsidR="00E5295E" w:rsidRPr="00116F45">
        <w:rPr>
          <w:rFonts w:cs="Times New Roman"/>
          <w:szCs w:val="24"/>
          <w:lang w:val="en-GB" w:eastAsia="da-DK"/>
        </w:rPr>
        <w:t xml:space="preserve"> all-cause mortality were available up until 13 December 2018. </w:t>
      </w:r>
      <w:r w:rsidR="00E0695C">
        <w:rPr>
          <w:rFonts w:cs="Times New Roman"/>
          <w:szCs w:val="24"/>
          <w:lang w:val="en-GB" w:eastAsia="da-DK"/>
        </w:rPr>
        <w:t>I</w:t>
      </w:r>
      <w:r w:rsidR="00E5295E" w:rsidRPr="00116F45">
        <w:rPr>
          <w:rFonts w:cs="Times New Roman"/>
          <w:szCs w:val="24"/>
          <w:lang w:val="en-GB" w:eastAsia="da-DK"/>
        </w:rPr>
        <w:t>f one of the top three ranked causes of death was cardiovascular</w:t>
      </w:r>
      <w:r w:rsidR="00E0695C">
        <w:rPr>
          <w:rFonts w:cs="Times New Roman"/>
          <w:szCs w:val="24"/>
          <w:lang w:val="en-GB" w:eastAsia="da-DK"/>
        </w:rPr>
        <w:t>, then the cause of death was considered of cardiovascular origin</w:t>
      </w:r>
      <w:r w:rsidR="00E5295E" w:rsidRPr="00116F45">
        <w:rPr>
          <w:rFonts w:cs="Times New Roman"/>
          <w:szCs w:val="24"/>
          <w:lang w:val="en-GB" w:eastAsia="da-DK"/>
        </w:rPr>
        <w:t xml:space="preserve">. </w:t>
      </w:r>
    </w:p>
    <w:p w14:paraId="4C910EE9" w14:textId="039CA936" w:rsidR="00E5295E" w:rsidRPr="00116F45" w:rsidRDefault="00E5295E" w:rsidP="00E5295E">
      <w:pPr>
        <w:ind w:firstLine="1304"/>
        <w:rPr>
          <w:szCs w:val="24"/>
        </w:rPr>
      </w:pPr>
      <w:r w:rsidRPr="00116F45">
        <w:rPr>
          <w:rFonts w:cs="Times New Roman"/>
          <w:szCs w:val="24"/>
          <w:lang w:val="en-GB" w:eastAsia="da-DK"/>
        </w:rPr>
        <w:t>Alzheimer’s disease was ICD-8 code 290</w:t>
      </w:r>
      <w:r w:rsidRPr="00116F45">
        <w:rPr>
          <w:rFonts w:cs="Times New Roman"/>
          <w:szCs w:val="24"/>
          <w:lang w:val="en-GB"/>
        </w:rPr>
        <w:t>.</w:t>
      </w:r>
      <w:r w:rsidRPr="00116F45">
        <w:rPr>
          <w:rFonts w:cs="Times New Roman"/>
          <w:szCs w:val="24"/>
          <w:lang w:val="en-GB" w:eastAsia="da-DK"/>
        </w:rPr>
        <w:t xml:space="preserve">10 and ICD-10 codes F00 and G30. Non-Alzheimer’s dementia </w:t>
      </w:r>
      <w:r w:rsidR="00FD7659">
        <w:rPr>
          <w:rFonts w:cs="Times New Roman"/>
          <w:szCs w:val="24"/>
          <w:lang w:val="en-GB" w:eastAsia="da-DK"/>
        </w:rPr>
        <w:t>was</w:t>
      </w:r>
      <w:r w:rsidRPr="00116F45">
        <w:rPr>
          <w:rFonts w:cs="Times New Roman"/>
          <w:szCs w:val="24"/>
          <w:lang w:val="en-GB" w:eastAsia="da-DK"/>
        </w:rPr>
        <w:t xml:space="preserve"> </w:t>
      </w:r>
      <w:r w:rsidR="00AF2DF0">
        <w:rPr>
          <w:rFonts w:cs="Times New Roman"/>
          <w:szCs w:val="24"/>
          <w:lang w:val="en-GB" w:eastAsia="da-DK"/>
        </w:rPr>
        <w:t xml:space="preserve">defined as </w:t>
      </w:r>
      <w:r w:rsidRPr="00116F45">
        <w:rPr>
          <w:rFonts w:cs="Times New Roman"/>
          <w:szCs w:val="24"/>
          <w:lang w:val="en-GB" w:eastAsia="da-DK"/>
        </w:rPr>
        <w:t>vascular dementia (ICD10 code F01) and unspecified dementia (ICD8 code 290</w:t>
      </w:r>
      <w:r w:rsidRPr="00116F45">
        <w:rPr>
          <w:rFonts w:cs="Times New Roman"/>
          <w:szCs w:val="24"/>
          <w:lang w:val="en-GB"/>
        </w:rPr>
        <w:t>.</w:t>
      </w:r>
      <w:r w:rsidRPr="00116F45">
        <w:rPr>
          <w:rFonts w:cs="Times New Roman"/>
          <w:szCs w:val="24"/>
          <w:lang w:val="en-GB" w:eastAsia="da-DK"/>
        </w:rPr>
        <w:t xml:space="preserve">18 and ICD10 code F03). Specifically, non-Alzheimer’s dementia did not include Lewy Body Dementia (ICD10 code G31.83) or frontotemporal dementia (ICD10 G31.0). The quality of these registry-based dementia diagnoses has previously been validated, </w:t>
      </w:r>
      <w:r w:rsidRPr="00116F45">
        <w:rPr>
          <w:rFonts w:cs="Times New Roman"/>
          <w:szCs w:val="24"/>
          <w:lang w:eastAsia="da-DK"/>
        </w:rPr>
        <w:fldChar w:fldCharType="begin" w:fldLock="1"/>
      </w:r>
      <w:r w:rsidR="005A61CE" w:rsidRPr="00116F45">
        <w:rPr>
          <w:rFonts w:cs="Times New Roman"/>
          <w:szCs w:val="24"/>
          <w:lang w:val="en-GB" w:eastAsia="da-DK"/>
        </w:rPr>
        <w:instrText>ADDIN CSL_CITATION {"citationItems":[{"id":"ITEM-1","itemData":{"DOI":"10.1159/000107084","ISBN":"1420-8008 (Print)\\r1420-8008 (Linking)","ISSN":"14208008","PMID":"17690555","abstract":"BACKGROUND:The validity of dementia diagnoses in the Danish nationwide hospital registers was evaluated to determine the value of these registers in epidemiological research about dementia. METHODS: Two hundred patients were randomly selected from 4,682 patients registered for the first time with a dementia diagnosis in the last 6 months of 2003. The patients' medical journals were reviewed to evaluate if they fulfilled ICD-10 and/or DSM-IV criteria for dementia and specific dementia subtypes. The patients who were still alive in 2006 were invited to an interview. RESULTS: One hundred and ninety-seven journals were available for review and 51 patients were interviewed. A registered diagnosis of dementia was found to be correct in 169 (85.8%) cases. Regarding dementia subtypes, the degree of agreement between the registers and the results of the validating process was low with a kappa of 0.36 (95% CI 0.24-0.48). CONCLUSION: The validity of dementia syndrome in the Danish hospital registers was high and allows for epidemiological studies about dementia. Alzheimer's disease, although underregistered, also had a good validity once the diagnosis was registered. In general, other ICD-10 dementia subtypes in the registers had a low validity and are less suitable for epidemiological research.","author":[{"dropping-particle":"","family":"Phung","given":"T. K T","non-dropping-particle":"","parse-names":false,"suffix":""},{"dropping-particle":"","family":"Andersen","given":"Birgitte B.","non-dropping-particle":"","parse-names":false,"suffix":""},{"dropping-particle":"","family":"Høgh","given":"Peter","non-dropping-particle":"","parse-names":false,"suffix":""},{"dropping-particle":"","family":"Kessing","given":"Lars Vedel","non-dropping-particle":"","parse-names":false,"suffix":""},{"dropping-particle":"","family":"Mortensen","given":"Preben B.","non-dropping-particle":"","parse-names":false,"suffix":""},{"dropping-particle":"","family":"Waldemar","given":"Gunhild","non-dropping-particle":"","parse-names":false,"suffix":""}],"container-title":"Dementia and Geriatric Cognitive Disorders","id":"ITEM-1","issue":"3","issued":{"date-parts":[["2007"]]},"page":"220-228","title":"Validity of dementia diagnoses in the Danish hospital registers","type":"article-journal","volume":"24"},"uris":["http://www.mendeley.com/documents/?uuid=bec29863-cbfe-438b-b737-d658580d6713"]}],"mendeley":{"formattedCitation":"(Phung &lt;i&gt;et al.&lt;/i&gt;, 2007)","plainTextFormattedCitation":"(Phung et al., 2007)","previouslyFormattedCitation":"(Phung &lt;i&gt;et al.&lt;/i&gt;, 2007)"},"properties":{"noteIndex":0},"schema":"https://github.com/citation-style-language/schema/raw/master/csl-citation.json"}</w:instrText>
      </w:r>
      <w:r w:rsidRPr="00116F45">
        <w:rPr>
          <w:rFonts w:cs="Times New Roman"/>
          <w:szCs w:val="24"/>
          <w:lang w:eastAsia="da-DK"/>
        </w:rPr>
        <w:fldChar w:fldCharType="separate"/>
      </w:r>
      <w:r w:rsidR="00604F94" w:rsidRPr="00116F45">
        <w:rPr>
          <w:rFonts w:cs="Times New Roman"/>
          <w:noProof/>
          <w:szCs w:val="24"/>
          <w:lang w:val="en-GB" w:eastAsia="da-DK"/>
        </w:rPr>
        <w:t xml:space="preserve">(Phung </w:t>
      </w:r>
      <w:r w:rsidR="00604F94" w:rsidRPr="00116F45">
        <w:rPr>
          <w:rFonts w:cs="Times New Roman"/>
          <w:i/>
          <w:noProof/>
          <w:szCs w:val="24"/>
          <w:lang w:val="en-GB" w:eastAsia="da-DK"/>
        </w:rPr>
        <w:t>et al.</w:t>
      </w:r>
      <w:r w:rsidR="00604F94" w:rsidRPr="00116F45">
        <w:rPr>
          <w:rFonts w:cs="Times New Roman"/>
          <w:noProof/>
          <w:szCs w:val="24"/>
          <w:lang w:val="en-GB" w:eastAsia="da-DK"/>
        </w:rPr>
        <w:t>, 2007)</w:t>
      </w:r>
      <w:r w:rsidRPr="00116F45">
        <w:rPr>
          <w:rFonts w:cs="Times New Roman"/>
          <w:szCs w:val="24"/>
          <w:lang w:eastAsia="da-DK"/>
        </w:rPr>
        <w:fldChar w:fldCharType="end"/>
      </w:r>
      <w:r w:rsidRPr="00116F45">
        <w:rPr>
          <w:rFonts w:cs="Times New Roman"/>
          <w:szCs w:val="24"/>
          <w:lang w:val="en-GB" w:eastAsia="da-DK"/>
        </w:rPr>
        <w:t xml:space="preserve"> and </w:t>
      </w:r>
      <w:r w:rsidR="00EA1A0E">
        <w:rPr>
          <w:rFonts w:cs="Times New Roman"/>
          <w:szCs w:val="24"/>
          <w:lang w:val="en-GB" w:eastAsia="da-DK"/>
        </w:rPr>
        <w:t>have been</w:t>
      </w:r>
      <w:r w:rsidRPr="00116F45">
        <w:rPr>
          <w:rFonts w:cs="Times New Roman"/>
          <w:szCs w:val="24"/>
          <w:lang w:val="en-GB" w:eastAsia="da-DK"/>
        </w:rPr>
        <w:t xml:space="preserve"> further validated </w:t>
      </w:r>
      <w:r w:rsidR="00AF2DF0">
        <w:rPr>
          <w:rFonts w:cs="Times New Roman"/>
          <w:szCs w:val="24"/>
          <w:lang w:val="en-GB" w:eastAsia="da-DK"/>
        </w:rPr>
        <w:t xml:space="preserve">in the Copenhagen General Population Study </w:t>
      </w:r>
      <w:r w:rsidRPr="00116F45">
        <w:rPr>
          <w:rFonts w:cs="Times New Roman"/>
          <w:szCs w:val="24"/>
          <w:lang w:val="en-GB" w:eastAsia="da-DK"/>
        </w:rPr>
        <w:t xml:space="preserve">by </w:t>
      </w:r>
      <w:r w:rsidR="00AF2DF0">
        <w:rPr>
          <w:rFonts w:cs="Times New Roman"/>
          <w:szCs w:val="24"/>
          <w:lang w:val="en-GB" w:eastAsia="da-DK"/>
        </w:rPr>
        <w:t xml:space="preserve">the presence of the </w:t>
      </w:r>
      <w:r w:rsidR="00EA1A0E">
        <w:rPr>
          <w:rFonts w:cs="Times New Roman"/>
          <w:szCs w:val="24"/>
          <w:lang w:val="en-GB" w:eastAsia="da-DK"/>
        </w:rPr>
        <w:t>well-</w:t>
      </w:r>
      <w:r w:rsidR="00FD7659">
        <w:rPr>
          <w:rFonts w:cs="Times New Roman"/>
          <w:szCs w:val="24"/>
          <w:lang w:val="en-GB" w:eastAsia="da-DK"/>
        </w:rPr>
        <w:t>established</w:t>
      </w:r>
      <w:r w:rsidRPr="00116F45">
        <w:rPr>
          <w:rFonts w:cs="Times New Roman"/>
          <w:szCs w:val="24"/>
          <w:lang w:val="en-GB" w:eastAsia="da-DK"/>
        </w:rPr>
        <w:t xml:space="preserve"> apolipoprotein E (</w:t>
      </w:r>
      <w:r w:rsidRPr="00116F45">
        <w:rPr>
          <w:rFonts w:cs="Times New Roman"/>
          <w:i/>
          <w:iCs/>
          <w:szCs w:val="24"/>
          <w:lang w:val="en-GB" w:eastAsia="da-DK"/>
        </w:rPr>
        <w:t>APOE</w:t>
      </w:r>
      <w:r w:rsidRPr="00116F45">
        <w:rPr>
          <w:rFonts w:cs="Times New Roman"/>
          <w:szCs w:val="24"/>
          <w:lang w:val="en-GB" w:eastAsia="da-DK"/>
        </w:rPr>
        <w:t xml:space="preserve">) </w:t>
      </w:r>
      <w:r w:rsidRPr="00116F45">
        <w:rPr>
          <w:rFonts w:cs="Times New Roman"/>
          <w:szCs w:val="24"/>
          <w:lang w:eastAsia="da-DK"/>
        </w:rPr>
        <w:t>ε</w:t>
      </w:r>
      <w:r w:rsidRPr="00116F45">
        <w:rPr>
          <w:rFonts w:cs="Times New Roman"/>
          <w:szCs w:val="24"/>
          <w:lang w:val="en-GB" w:eastAsia="da-DK"/>
        </w:rPr>
        <w:t xml:space="preserve">4 </w:t>
      </w:r>
      <w:r w:rsidR="00AF2DF0">
        <w:rPr>
          <w:rFonts w:cs="Times New Roman"/>
          <w:szCs w:val="24"/>
          <w:lang w:val="en-GB" w:eastAsia="da-DK"/>
        </w:rPr>
        <w:t xml:space="preserve">Alzheimer’s disease risk </w:t>
      </w:r>
      <w:r w:rsidRPr="00116F45">
        <w:rPr>
          <w:rFonts w:cs="Times New Roman"/>
          <w:szCs w:val="24"/>
          <w:lang w:val="en-GB" w:eastAsia="da-DK"/>
        </w:rPr>
        <w:t>allele</w:t>
      </w:r>
      <w:r w:rsidR="00AF2DF0">
        <w:rPr>
          <w:rFonts w:cs="Times New Roman"/>
          <w:szCs w:val="24"/>
          <w:lang w:val="en-GB" w:eastAsia="da-DK"/>
        </w:rPr>
        <w:t xml:space="preserve"> </w:t>
      </w:r>
      <w:r w:rsidRPr="00116F45">
        <w:rPr>
          <w:rFonts w:cs="Times New Roman"/>
          <w:szCs w:val="24"/>
          <w:lang w:eastAsia="da-DK"/>
        </w:rPr>
        <w:fldChar w:fldCharType="begin" w:fldLock="1"/>
      </w:r>
      <w:r w:rsidR="00AF2DF0">
        <w:rPr>
          <w:rFonts w:cs="Times New Roman"/>
          <w:szCs w:val="24"/>
          <w:lang w:val="en-GB" w:eastAsia="da-DK"/>
        </w:rPr>
        <w:instrText>ADDIN CSL_CITATION {"citationItems":[{"id":"ITEM-1","itemData":{"DOI":"10.1002/ana.24326","ISSN":"15318249","PMID":"26937471","abstract":"Objective: The apolipoprotein E (APOE) e4 allele is a major genetic risk factor for Alzheimer disease and dementia. However, it remains unclear whether plasma levels of apoE confer additional risk. We tested this hypothesis. Methods: Using 75,708 participants from the general population, we tested whether low plasma levels of apoE at study enrollment were associated with increased risk of future Alzheimer disease and all dementia, and whether this association was independent of e2/e3/e4 APOE genotype. Results: Multifactorially adjusted hazard ratios (HRs) for Alzheimer disease and all dementia increased from the highest to the lowest apoE tertile (p for trends&lt;1 3 1026). Multifactorially adjusted HRs for lowest versus highest tertile were 2.68 (95% confidence interval [CI]52.04–3.52) and 1.80 (95% CI51.52–2.13) for Alzheimer disease and all dementia, respectively. After further adjustment for e2/e3/e4 APOE genotype, plasma apoE tertiles remained associated with Alz- heimer disease (p for trend50.007) and all dementia (p for trend50.04). Plasma apoE tertiles did not interact with e2/ e3/e4 APOE genotype on risk of Alzheimer disease (p50.53) or all dementia (p50.79). In a subanalysis, the 2219G&gt;T GT promoter genotype, associated with low plasma apoE levels, remained significantly associated with increased risk of Alzheimer disease after adjustment for e2/e3/e4 APOE genotype (HR51.56, 95% CI51.05–2.30). Interpretation: Low plasma levels of apoE are associated with increased risk of future Alzheimer disease and all dementia in the general population, independent of e2/e3/e4 APOE genotype. This is clinically relevant, because no plasma biomarkers are currently implemented. Hence, plasma levels of apoE may be a new, easily accessible preclini- cal biomarker.","author":[{"dropping-particle":"","family":"Rasmussen","given":"Katrine L.","non-dropping-particle":"","parse-names":false,"suffix":""},{"dropping-particle":"","family":"Tybjærg-Hansen","given":"Anne","non-dropping-particle":"","parse-names":false,"suffix":""},{"dropping-particle":"","family":"Nordestgaard","given":"Børge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G.","non-dropping-particle":"","parse-names":false,"suffix":""},{"dropping-particle":"","family":"Frikke-Schmidt","given":"Ruth","non-dropping-particle":"","parse-names":false,"suffix":""}],"container-title":"Annals of Neurology","id":"ITEM-1","issue":"2","issued":{"date-parts":[["2015"]]},"note":"10.1002/ana.24326","page":"301-311","title":"Plasma levels of apolipoprotein E and risk of dementia in the general population","type":"article-journal","volume":"77"},"uris":["http://www.mendeley.com/documents/?uuid=b052a70d-3beb-49cd-8750-e6a2954e8090"]},{"id":"ITEM-2","itemData":{"DOI":"10.1093/eurheartj/ehaa695","ISSN":"0195-668X","author":[{"dropping-particle":"","family":"Juul Rasmussen","given":"Ida","non-dropping-particle":"","parse-names":false,"suffix":""},{"dropping-particle":"","family":"Rasmussen","given":"Katrine Laura","non-dropping-particle":"","parse-names":false,"suffix":""},{"dropping-particle":"","family":"Nordestgaard","given":"Børge G","non-dropping-particle":"","parse-names":false,"suffix":""},{"dropping-particle":"","family":"Tybjærg-Hansen","given":"Anne","non-dropping-particle":"","parse-names":false,"suffix":""},{"dropping-particle":"","family":"Frikke-Schmidt","given":"Ruth","non-dropping-particle":"","parse-names":false,"suffix":""}],"container-title":"European Heart Journal","id":"ITEM-2","issue":"41","issued":{"date-parts":[["2020"]]},"page":"4024-4033","title":"Impact of cardiovascular risk factors and genetics on 10-year absolute risk of dementia: risk charts for targeted prevention","type":"article-journal","volume":"41"},"uris":["http://www.mendeley.com/documents/?uuid=59e7454f-1aef-46f3-9bd3-fd731cbc740d"]},{"id":"ITEM-3","itemData":{"DOI":"10.1093/eurheartj/ehz402","ISSN":"15229645","PMID":"31236578","abstract":"Aims To determine whether plasma apoE levels and APOE genotype are associated with all-cause and cause-specific mortality. Methods and results Using a prospective cohort design with 105 949 white individuals from the general population, we tested the association between plasma apoE at study enrolment and death during follow-up, and whether this was independent of APOE genotype. We confirmed the well-known association between APOE genotypes and mortality. For all-cause, cardiovascular, and cancer mortality, high levels of apoE were associated with increased risk, while for dementia-associated mortality low levels were associated with increased risk. For the highest vs. the fifth septile of plasma apoE, hazard ratios (HRs) were 1.20 (95% confidence interval 1.12–1.28) for all-cause mortality, 1.28 (1.13–1.44) for cardiovascular mortality, and 1.18 (1.05–1.32) for cancer mortality. Conversely, for the lowest vs. the fifth septile the HR was 1.44 (1.01–2.05) for dementia-associated mortality. Results were similar in analyses restricted to APOE ε33 carriers. Examining genetically determined plasma apoE, a 1 mg/dL increase conferred risk ratios of 0.97 (0.92–1.03) for cardiovascular mortality and 1.01 (0.95–1.06) for cancer mortality, while a 1 mg/dL decrease conferred a risk ratio of 1.70 (1.36–2.12) for dementia-associated mortality. Conclusion High plasma levels of apoE were associated with increased all-cause, cardiovascular, and cancer mortality, however of a non-causal nature, while low levels were causally associated with increased dementia-associated mortality.","author":[{"dropping-particle":"","family":"Rasmussen","given":"Katrine L","non-dropping-particle":"","parse-names":false,"suffix":""},{"dropping-particle":"","family":"Tybjærg-Hansen","given":"Anne","non-dropping-particle":"","parse-names":false,"suffix":""},{"dropping-particle":"","family":"Nordestgaard","given":"Børge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G","non-dropping-particle":"","parse-names":false,"suffix":""},{"dropping-particle":"","family":"Frikke-Schmidt","given":"Ruth","non-dropping-particle":"","parse-names":false,"suffix":""}],"container-title":"European Heart Journal","id":"ITEM-3","issue":"33","issued":{"date-parts":[["2019"]]},"page":"2813-2824","title":"Plasma levels of apolipoprotein E, APOE genotype, and all-cause and cause-specific mortality in 105 949 individuals from a white general population cohort","type":"article-journal","volume":"40"},"uris":["http://www.mendeley.com/documents/?uuid=c0529a0c-002a-37a8-9f1f-c33be6c2cec1"]},{"id":"ITEM-4","itemData":{"DOI":"10.1002/alz.12165","ISSN":"15525279","PMID":"32808727","abstract":"Introduction: The mechanism behind the strong association between the ɛ2/ɛ3/ɛ4 apolipoprotein E gene (APOE) polymorphism and Alzheimer's disease is not well-characterized. Because low plasma levels of apoE associate with risk of dementia, genetic variants altering apoE levels in general may also associate with dementia. Methods: The APOE gene was sequenced in 10,369 individuals, and nine amino acid–changing variants with frequencies ≥2/10,000 were further genotyped in 95,228 individuals. Plasma apoE levels were measured directly. Results: Risk of all dementia and Alzheimer's disease (AD) increased with decreasing genetically determined apoE levels (P = 5 × 10−4 and P = 1 × 10−4 after APOE ɛ2/ɛ3/ɛ4 adjustment). Hazard ratios (95% confidence intervals) for all dementia and AD were 2.76 (1.39 to 5.47) and 4.92 (2.36 to 10.29) for the group with the genetically lowest apoE versus ɛ33. Discussion: We found that genetically low apoE levels increase and genetically high levels decrease risk, beyond ɛ2/ɛ3/ɛ4. This underscores that dementia risk more likely relates to variants affecting levels of apoE.","author":[{"dropping-particle":"","family":"Rasmussen","given":"Katrine L.","non-dropping-particle":"","parse-names":false,"suffix":""},{"dropping-particle":"","family":"Tybjærg-Hansen","given":"Anne","non-dropping-particle":"","parse-names":false,"suffix":""},{"dropping-particle":"","family":"Nordestgaard","given":"Børge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G.","non-dropping-particle":"","parse-names":false,"suffix":""},{"dropping-particle":"","family":"Frikke-Schmidt","given":"Ruth","non-dropping-particle":"","parse-names":false,"suffix":""}],"container-title":"Alzheimer's and Dementia","id":"ITEM-4","issue":"12","issued":{"date-parts":[["2020"]]},"page":"1624-1637","title":"APOE and dementia – resequencing and genotyping in 105,597 individuals","type":"article-journal","volume":"16"},"uris":["http://www.mendeley.com/documents/?uuid=de45a1fc-0de7-4907-bbf6-759f97f9905b"]},{"id":"ITEM-5","itemData":{"DOI":"10.1002/acn3.506","ISSN":"23289503","abstract":"Objective: ATP-binding-cassette transporter A7(ABCA7) is suggested to be involved in lipid transport as well as in phagocytosis of amyloid-β in the brain. We tested the hypothesis that a common genetic variant in ABCA7 is associated with dementia, ischemic heart disease, ischemic cerebrovascular disease, and with lipid levels in the general population, independent of the common apolipoprotein E(APOE) genotype. Methods: For this purpose, we genotyped a common genetic variant in ABCA7, identified in genome-wide-association-studies of Alzheimer's disease, in 104,258 individuals from the Danish general population, and also meta-analyzed our results with publicly available consortia data. Results: Multifactorially adjusted hazard ratios for Alzheimer's disease were 1.07 (95% confidence interval:0.93–1.23) and 1.72 (1.24–2.40) for GA and AA versus GG genotype. Results were similar after APOE genotype adjustment and when only APOE ɛ33 carriers were studied. Including 178,304 individuals, the meta-analyzed odds ratio for Alzheimer's disease per one allele ABCA7 rs4147929 increase was 1.15 (1.12–1.18). ABCA7 genotype was not convincingly associated with vascular dementia, ischemic heart disease, ischemic cerebrovascular disease, or with lipid levels. Including 288,563 individuals, meta-analyzed odds ratios for ischemic heart disease per one allele ABCA7 rs4147929 increase was 1.01 (0.99–1.03). Interpretation: A common genetic variant in ABCA7 was associated with high risk of Alzheimer's disease independent of APOE genotype. The lack of association with vascular dementia, ischemic heart disease, ischemic cerebrovascular disease, and with lipid levels suggests that ABCA7 is not important for atherosclerosis. Thus, our findings support the suggested role of ABCA7 in Alzheimer's disease pathology and phagocytic clearance of amyloid-β in the brain.","author":[{"dropping-particle":"","family":"Kjeldsen","given":"Emilie W.","non-dropping-particle":"","parse-names":false,"suffix":""},{"dropping-particle":"","family":"Tybjaerg-Hansen","given":"Anne","non-dropping-particle":"","parse-names":false,"suffix":""},{"dropping-particle":"","family":"Nordestgaard","given":"Børge G.","non-dropping-particle":"","parse-names":false,"suffix":""},{"dropping-particle":"","family":"Frikke-Schmidt","given":"Ruth","non-dropping-particle":"","parse-names":false,"suffix":""}],"container-title":"Annals of Clinical and Translational Neurology","id":"ITEM-5","issue":"1","issued":{"date-parts":[["2018"]]},"page":"41-51","title":"ABCA7 and risk of dementia and vascular disease in the Danish population","type":"article-journal","volume":"5"},"uris":["http://www.mendeley.com/documents/?uuid=e08901c9-9afe-3e66-b059-42ab2c70533d"]},{"id":"ITEM-6","itemData":{"DOI":"10.1210/jc.2017-00195","ISSN":"0021-972X","PMID":"28609829","abstract":"Context: Recently, data on 2,000,000 people established that low body mass index (BMI) is associated with increased risk of dementia. Whether this observational association reflects a causal effect remains to be clarified. Objective: Wetested the hypothesis that there is a causal association between low BMI and high risk of Alzheimer's disease. Design, Setting, and Participants: Using a Mendelian randomization approach, we studied 95,578 individuals from the Copenhagen General Population Study (CGPS) with up to 36 years of follow-up and consortia data on 303,958 individuals from the Genetic Investigation of Anthropometric Traits (GIANT) and the International Genomics of Alzheimer's Project (IGAP). Main Outcome Measure: Risk of Alzheimer's disease. Results: The causal odds ratio for a 1-kg/m2 genetically determined lower BMI was 0.98 [95% confidence interval (CI), 0.77 to 1.23] for a weighted allele score in the CGPS. Using 32 BMIdecreasing variants from GIANT and IGAP the causal odds ratio for Alzheimer's disease for a 1-standard deviation (SD) lower genetically determined BMI was 1.02 (95% CI, 0.86 to 1.22). Corresponding observational hazard ratios from the CGPS were 1.07 (95% CI, 1.05 to 1.09) and 1.32 (95% CI, 1.20 to 1.46) for a 1-kg/m2 and a 1-SD lower BMI, respectively. Conclusions: Genetic and hence lifelong low BMI is not associated with increased risk of Alzheimer's disease in the general population. These data suggest that low BMI is not a causal risk factor for Alzheimer's disease and that the corresponding observational association likely is explained by reverse causation or confounding.","author":[{"dropping-particle":"","family":"Nordestgaard","given":"Liv Tybjærg","non-dropping-particle":"","parse-names":false,"suffix":""},{"dropping-particle":"","family":"Tybjærg-Hansen","given":"Anne","non-dropping-particle":"","parse-names":false,"suffix":""},{"dropping-particle":"","family":"Nordestgaard","given":"Børge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G.","non-dropping-particle":"","parse-names":false,"suffix":""},{"dropping-particle":"","family":"Frikke-Schmidt","given":"Ruth","non-dropping-particle":"","parse-names":false,"suffix":""}],"container-title":"The Journal of Clinical Endocrinology &amp; Metabolism","id":"ITEM-6","issue":"7","issued":{"date-parts":[["2017","7","1"]]},"page":"2310-2320","title":"Body mass index and risk of Alzheimer’s disease: A Mendelian randomization study of 399,536 individuals","type":"article-journal","volume":"102"},"uris":["http://www.mendeley.com/documents/?uuid=0b622a03-aeb0-4396-942b-fce23e665e43"]}],"mendeley":{"formattedCitation":"(Rasmussen &lt;i&gt;et al.&lt;/i&gt;, 2015, 2019, 2020; Nordestgaard &lt;i&gt;et al.&lt;/i&gt;, 2017; Kjeldsen &lt;i&gt;et al.&lt;/i&gt;, 2018; Juul Rasmussen &lt;i&gt;et al.&lt;/i&gt;, 2020)","plainTextFormattedCitation":"(Rasmussen et al., 2015, 2019, 2020; Nordestgaard et al., 2017; Kjeldsen et al., 2018; Juul Rasmussen et al., 2020)","previouslyFormattedCitation":"(Rasmussen &lt;i&gt;et al.&lt;/i&gt;, 2015, 2019, 2020; Nordestgaard &lt;i&gt;et al.&lt;/i&gt;, 2017; Kjeldsen &lt;i&gt;et al.&lt;/i&gt;, 2018; Juul Rasmussen &lt;i&gt;et al.&lt;/i&gt;, 2020)"},"properties":{"noteIndex":0},"schema":"https://github.com/citation-style-language/schema/raw/master/csl-citation.json"}</w:instrText>
      </w:r>
      <w:r w:rsidRPr="00116F45">
        <w:rPr>
          <w:rFonts w:cs="Times New Roman"/>
          <w:szCs w:val="24"/>
          <w:lang w:eastAsia="da-DK"/>
        </w:rPr>
        <w:fldChar w:fldCharType="separate"/>
      </w:r>
      <w:r w:rsidR="00604F94" w:rsidRPr="00116F45">
        <w:rPr>
          <w:rFonts w:cs="Times New Roman"/>
          <w:noProof/>
          <w:szCs w:val="24"/>
          <w:lang w:eastAsia="da-DK"/>
        </w:rPr>
        <w:t xml:space="preserve">(Rasmussen </w:t>
      </w:r>
      <w:r w:rsidR="00604F94" w:rsidRPr="00116F45">
        <w:rPr>
          <w:rFonts w:cs="Times New Roman"/>
          <w:i/>
          <w:noProof/>
          <w:szCs w:val="24"/>
          <w:lang w:eastAsia="da-DK"/>
        </w:rPr>
        <w:t>et al.</w:t>
      </w:r>
      <w:r w:rsidR="00604F94" w:rsidRPr="00116F45">
        <w:rPr>
          <w:rFonts w:cs="Times New Roman"/>
          <w:noProof/>
          <w:szCs w:val="24"/>
          <w:lang w:eastAsia="da-DK"/>
        </w:rPr>
        <w:t xml:space="preserve">, 2015, 2019, 2020; Nordestgaard </w:t>
      </w:r>
      <w:r w:rsidR="00604F94" w:rsidRPr="00116F45">
        <w:rPr>
          <w:rFonts w:cs="Times New Roman"/>
          <w:i/>
          <w:noProof/>
          <w:szCs w:val="24"/>
          <w:lang w:eastAsia="da-DK"/>
        </w:rPr>
        <w:t>et al.</w:t>
      </w:r>
      <w:r w:rsidR="00604F94" w:rsidRPr="00116F45">
        <w:rPr>
          <w:rFonts w:cs="Times New Roman"/>
          <w:noProof/>
          <w:szCs w:val="24"/>
          <w:lang w:eastAsia="da-DK"/>
        </w:rPr>
        <w:t xml:space="preserve">, 2017; Kjeldsen </w:t>
      </w:r>
      <w:r w:rsidR="00604F94" w:rsidRPr="00116F45">
        <w:rPr>
          <w:rFonts w:cs="Times New Roman"/>
          <w:i/>
          <w:noProof/>
          <w:szCs w:val="24"/>
          <w:lang w:eastAsia="da-DK"/>
        </w:rPr>
        <w:t>et al.</w:t>
      </w:r>
      <w:r w:rsidR="00604F94" w:rsidRPr="00116F45">
        <w:rPr>
          <w:rFonts w:cs="Times New Roman"/>
          <w:noProof/>
          <w:szCs w:val="24"/>
          <w:lang w:eastAsia="da-DK"/>
        </w:rPr>
        <w:t xml:space="preserve">, 2018; Juul Rasmussen </w:t>
      </w:r>
      <w:r w:rsidR="00604F94" w:rsidRPr="00116F45">
        <w:rPr>
          <w:rFonts w:cs="Times New Roman"/>
          <w:i/>
          <w:noProof/>
          <w:szCs w:val="24"/>
          <w:lang w:eastAsia="da-DK"/>
        </w:rPr>
        <w:t>et al.</w:t>
      </w:r>
      <w:r w:rsidR="00604F94" w:rsidRPr="00116F45">
        <w:rPr>
          <w:rFonts w:cs="Times New Roman"/>
          <w:noProof/>
          <w:szCs w:val="24"/>
          <w:lang w:eastAsia="da-DK"/>
        </w:rPr>
        <w:t>, 2020)</w:t>
      </w:r>
      <w:r w:rsidRPr="00116F45">
        <w:rPr>
          <w:rFonts w:cs="Times New Roman"/>
          <w:szCs w:val="24"/>
          <w:lang w:eastAsia="da-DK"/>
        </w:rPr>
        <w:fldChar w:fldCharType="end"/>
      </w:r>
      <w:r w:rsidRPr="00116F45">
        <w:rPr>
          <w:rFonts w:cs="Times New Roman"/>
          <w:szCs w:val="24"/>
          <w:lang w:eastAsia="da-DK"/>
        </w:rPr>
        <w:t>.</w:t>
      </w:r>
      <w:r w:rsidRPr="00116F45">
        <w:rPr>
          <w:szCs w:val="24"/>
        </w:rPr>
        <w:t xml:space="preserve"> </w:t>
      </w:r>
    </w:p>
    <w:p w14:paraId="73F5CDBE" w14:textId="77777777" w:rsidR="00E5295E" w:rsidRPr="00116F45" w:rsidRDefault="00E5295E" w:rsidP="00E5295E">
      <w:pPr>
        <w:pStyle w:val="NoSpacing"/>
        <w:rPr>
          <w:szCs w:val="24"/>
        </w:rPr>
      </w:pPr>
    </w:p>
    <w:p w14:paraId="37E2EEB4" w14:textId="77777777" w:rsidR="00E5295E" w:rsidRPr="00116F45" w:rsidRDefault="00E5295E" w:rsidP="00E5295E">
      <w:pPr>
        <w:pStyle w:val="Heading2"/>
        <w:spacing w:line="480" w:lineRule="auto"/>
        <w:rPr>
          <w:lang w:val="en-GB"/>
        </w:rPr>
      </w:pPr>
      <w:bookmarkStart w:id="2" w:name="_Toc110945217"/>
      <w:r w:rsidRPr="00116F45">
        <w:rPr>
          <w:lang w:val="en-GB"/>
        </w:rPr>
        <w:t>Laboratory analyses and genotyping</w:t>
      </w:r>
      <w:bookmarkEnd w:id="2"/>
    </w:p>
    <w:p w14:paraId="17EC52D3" w14:textId="46A98666" w:rsidR="00E5295E" w:rsidRPr="00116F45" w:rsidRDefault="00E5295E" w:rsidP="00E5295E">
      <w:pPr>
        <w:autoSpaceDE w:val="0"/>
        <w:autoSpaceDN w:val="0"/>
        <w:adjustRightInd w:val="0"/>
        <w:rPr>
          <w:rFonts w:cs="Times New Roman"/>
          <w:szCs w:val="24"/>
        </w:rPr>
      </w:pPr>
      <w:r w:rsidRPr="00116F45">
        <w:rPr>
          <w:rFonts w:cs="Times New Roman"/>
          <w:szCs w:val="24"/>
          <w:lang w:val="en-GB"/>
        </w:rPr>
        <w:t>All blood samples were taken and analysed at baseline when individuals were included in the study. Total cholesterol, high-density lipoprotein (HDL) cholesterol, and triglycerides were measured in the non-fasting state using colorimetric assays (</w:t>
      </w:r>
      <w:proofErr w:type="spellStart"/>
      <w:r w:rsidRPr="00116F45">
        <w:rPr>
          <w:rFonts w:cs="Times New Roman"/>
          <w:szCs w:val="24"/>
          <w:lang w:val="en-GB"/>
        </w:rPr>
        <w:t>Konelab</w:t>
      </w:r>
      <w:proofErr w:type="spellEnd"/>
      <w:r w:rsidRPr="00116F45">
        <w:rPr>
          <w:rFonts w:cs="Times New Roman"/>
          <w:szCs w:val="24"/>
          <w:lang w:val="en-GB"/>
        </w:rPr>
        <w:t xml:space="preserve"> and Roche), and low-density lipoprotein (LDL) cholesterol was calculated using the </w:t>
      </w:r>
      <w:proofErr w:type="spellStart"/>
      <w:r w:rsidRPr="00116F45">
        <w:rPr>
          <w:rFonts w:cs="Times New Roman"/>
          <w:szCs w:val="24"/>
          <w:lang w:val="en-GB"/>
        </w:rPr>
        <w:t>Friedewald</w:t>
      </w:r>
      <w:proofErr w:type="spellEnd"/>
      <w:r w:rsidRPr="00116F45">
        <w:rPr>
          <w:rFonts w:cs="Times New Roman"/>
          <w:szCs w:val="24"/>
          <w:lang w:val="en-GB"/>
        </w:rPr>
        <w:t xml:space="preserve"> equation when triglycerides were below 4 mmol/L (354 mg/dL) or otherwise measured directly (</w:t>
      </w:r>
      <w:proofErr w:type="spellStart"/>
      <w:r w:rsidRPr="00116F45">
        <w:rPr>
          <w:rFonts w:cs="Times New Roman"/>
          <w:szCs w:val="24"/>
          <w:lang w:val="en-GB"/>
        </w:rPr>
        <w:t>Konelab</w:t>
      </w:r>
      <w:proofErr w:type="spellEnd"/>
      <w:r w:rsidRPr="00116F45">
        <w:rPr>
          <w:rFonts w:cs="Times New Roman"/>
          <w:szCs w:val="24"/>
          <w:lang w:val="en-GB"/>
        </w:rPr>
        <w:t xml:space="preserve"> and Roche) </w:t>
      </w:r>
      <w:r w:rsidRPr="00116F45">
        <w:rPr>
          <w:rFonts w:cs="Times New Roman"/>
          <w:szCs w:val="24"/>
        </w:rPr>
        <w:fldChar w:fldCharType="begin" w:fldLock="1"/>
      </w:r>
      <w:r w:rsidR="005A61CE" w:rsidRPr="00116F45">
        <w:rPr>
          <w:rFonts w:cs="Times New Roman"/>
          <w:szCs w:val="24"/>
          <w:lang w:val="en-GB"/>
        </w:rPr>
        <w:instrText>ADDIN CSL_CITATION {"citationItems":[{"id":"ITEM-1","itemData":{"DOI":"10.1093/eurheartj/ehw152","ISSN":"15229645","PMID":"27122601","abstract":"Aims To critically evaluate the clinical implications of the use of non-fasting rather than fasting lipid profiles and to provide guidance for the laboratory reporting of abnormal non-fasting or fasting lipid profiles. Methods and results Extensive observational data, in which random non-fasting lipid profiles have been compared with those determined under fasting conditions, indicate that the maximal mean changes at 1-6 h after habitual meals are not clinically significant [+0.3 mmol/L (26 mg/dL) for triglycerides; -0.2 mmol/L (8 mg/dL) for total cholesterol; -0.2 mmol/L (8 mg/dL) for LDL cholesterol; +0.2 mmol/L (8 mg/dL) for calculated remnant cholesterol; -0.2 mmol/L (8 mg/dL) for calculated non-HDL cholesterol]; concentrations of HDL cholesterol, apolipoprotein A1, apolipoprotein B, and lipoprotein(a) are not affected by fasting/non-fasting status. In addition, non-fasting and fasting concentrations vary similarly over time and are comparable in the prediction of cardiovascular disease. To improve patient compliance with lipid testing, we therefore recommend the routine use of non-fasting lipid profiles, while fasting sampling may be considered when non-fasting triglycerides &gt;5 mmol/L (440 mg/dL). For non-fasting samples, laboratory reports should flag abnormal concentrations as triglycerides ≥2 mmol/L (175 mg/dL), total cholesterol ≥5 mmol/L (190 mg/dL), LDL cholesterol ≥3 mmol/L (115 mg/dL), calculated remnant cholesterol ≥0.9 mmol/L (35 mg/dL), calculated non-HDL cholesterol ≥3.9 mmol/L (150 mg/dL), HDL cholesterol ≤1 mmol/L (40 mg/dL), apolipoprotein A1 ≤1.25 g/L (125 mg/dL), apolipoprotein B ≥1.0 g/L (100 mg/dL), and lipoprotein(a) ≥50 mg/dL (80th percentile); for fasting samples, abnormal concentrations correspond to triglycerides ≥1.7 mmol/L (150 mg/dL). Life-threatening concentrations require separate referral when triglycerides &gt;10 mmol/L (880 mg/dL) for the risk of pancreatitis, LDL cholesterol &gt;13 mmol/L (500 mg/dL) for homozygous familial hypercholesterolaemia, LDL cholesterol &gt;5 mmol/L (190 mg/dL) for heterozygous familial hypercholesterolaemia, and lipoprotein(a) &gt;150 mg/dL (99th percentile) for very high cardiovascular risk. Conclusion We recommend that non-fasting blood samples be routinely used for the assessment of plasma lipid profiles. Laboratory reports should flag abnormal values on the basis of desirable concentration cut-points. Non-fasting and fasting measurements should be complementary but not mutually exclusive.","author":[{"dropping-particle":"","family":"Nordestgaard","given":"Børge G.","non-dropping-particle":"","parse-names":false,"suffix":""},{"dropping-particle":"","family":"Langsted","given":"Anne","non-dropping-particle":"","parse-names":false,"suffix":""},{"dropping-particle":"","family":"Mora","given":"Samia","non-dropping-particle":"","parse-names":false,"suffix":""},{"dropping-particle":"","family":"Kolovou","given":"Genovefa","non-dropping-particle":"","parse-names":false,"suffix":""},{"dropping-particle":"","family":"Baum","given":"Hannsjörg","non-dropping-particle":"","parse-names":false,"suffix":""},{"dropping-particle":"","family":"Bruckert","given":"Eric","non-dropping-particle":"","parse-names":false,"suffix":""},{"dropping-particle":"","family":"Watts","given":"Gerald F.","non-dropping-particle":"","parse-names":false,"suffix":""},{"dropping-particle":"","family":"Sypniewska","given":"Grazyna","non-dropping-particle":"","parse-names":false,"suffix":""},{"dropping-particle":"","family":"Wiklund","given":"Olov","non-dropping-particle":"","parse-names":false,"suffix":""},{"dropping-particle":"","family":"Borén","given":"Jan","non-dropping-particle":"","parse-names":false,"suffix":""},{"dropping-particle":"","family":"Chapman","given":"M. John","non-dropping-particle":"","parse-names":false,"suffix":""},{"dropping-particle":"","family":"Cobbaert","given":"Christa","non-dropping-particle":"","parse-names":false,"suffix":""},{"dropping-particle":"","family":"Descamps","given":"Olivier S.","non-dropping-particle":"","parse-names":false,"suffix":""},{"dropping-particle":"","family":"Eckardstein","given":"Arnold","non-dropping-particle":"Von","parse-names":false,"suffix":""},{"dropping-particle":"","family":"Kamstrup","given":"Pia R.","non-dropping-particle":"","parse-names":false,"suffix":""},{"dropping-particle":"","family":"Pulkki","given":"Kari","non-dropping-particle":"","parse-names":false,"suffix":""},{"dropping-particle":"","family":"Kronenberg","given":"Florian","non-dropping-particle":"","parse-names":false,"suffix":""},{"dropping-particle":"","family":"Remaley","given":"Alan T.","non-dropping-particle":"","parse-names":false,"suffix":""},{"dropping-particle":"","family":"Rifai","given":"Nader","non-dropping-particle":"","parse-names":false,"suffix":""},{"dropping-particle":"","family":"Ros","given":"Emilio","non-dropping-particle":"","parse-names":false,"suffix":""},{"dropping-particle":"","family":"Langlois","given":"Michel","non-dropping-particle":"","parse-names":false,"suffix":""}],"container-title":"European Heart Journal","id":"ITEM-1","issue":"25","issued":{"date-parts":[["2016"]]},"page":"1944-1958","title":"Fasting is not routinely required for determination of a lipid profile: Clinical and laboratory implications including flagging at desirable concentration cut-points - A joint consensus statement from the European Atherosclerosis Society and European Fede","type":"article-journal","volume":"37"},"uris":["http://www.mendeley.com/documents/?uuid=4ce02c0e-b05e-34c9-8876-78e5c5c41fce"]},{"id":"ITEM-2","itemData":{"DOI":"10.1177/107424840501000106","ISBN":"9781424464531","ISSN":"00099147","PMID":"4337382","abstract":"A method for estimating the cholesterol content of the serum low-density lipoprotein fraction (Sf 0-20) is presented. The method involved measurements of fasting plasma total cholesterol, triglyceride, and high-density lipoprotein cholesterol concentrations, none of which requires the use of the preparative ultracentrifuge. Comparison of this suggested procedure with the more direct procedure, in which the ultracentrifuge is used, yielded correlation coefficients of .94 to .99, depending on the patient population compared.","author":[{"dropping-particle":"","family":"Friedewald","given":"W. T.","non-dropping-particle":"","parse-names":false,"suffix":""},{"dropping-particle":"","family":"Levy","given":"R. I.","non-dropping-particle":"","parse-names":false,"suffix":""},{"dropping-particle":"","family":"Fredrickson","given":"D. S.","non-dropping-particle":"","parse-names":false,"suffix":""}],"container-title":"Clinical Chemistry","id":"ITEM-2","issue":"6","issued":{"date-parts":[["1972"]]},"page":"499-502","title":"Estimation of the concentration of low-density lipoprotein cholesterol in plasma, without use of the preparative ultracentrifuge.","type":"article-journal","volume":"18"},"uris":["http://www.mendeley.com/documents/?uuid=73708af8-67e6-4ddd-8c6d-38a8bb8ff86e"]}],"mendeley":{"formattedCitation":"(Friedewald, Levy and Fredrickson, 1972; Nordestgaard &lt;i&gt;et al.&lt;/i&gt;, 2016)","plainTextFormattedCitation":"(Friedewald, Levy and Fredrickson, 1972; Nordestgaard et al., 2016)","previouslyFormattedCitation":"(Friedewald, Levy and Fredrickson, 1972; Nordestgaard &lt;i&gt;et al.&lt;/i&gt;, 2016)"},"properties":{"noteIndex":0},"schema":"https://github.com/citation-style-language/schema/raw/master/csl-citation.json"}</w:instrText>
      </w:r>
      <w:r w:rsidRPr="00116F45">
        <w:rPr>
          <w:rFonts w:cs="Times New Roman"/>
          <w:szCs w:val="24"/>
        </w:rPr>
        <w:fldChar w:fldCharType="separate"/>
      </w:r>
      <w:r w:rsidR="00604F94" w:rsidRPr="00116F45">
        <w:rPr>
          <w:rFonts w:cs="Times New Roman"/>
          <w:noProof/>
          <w:szCs w:val="24"/>
          <w:lang w:val="en-GB"/>
        </w:rPr>
        <w:t xml:space="preserve">(Friedewald, Levy and Fredrickson, 1972; Nordestgaard </w:t>
      </w:r>
      <w:r w:rsidR="00604F94" w:rsidRPr="00116F45">
        <w:rPr>
          <w:rFonts w:cs="Times New Roman"/>
          <w:i/>
          <w:noProof/>
          <w:szCs w:val="24"/>
          <w:lang w:val="en-GB"/>
        </w:rPr>
        <w:t>et al.</w:t>
      </w:r>
      <w:r w:rsidR="00604F94" w:rsidRPr="00116F45">
        <w:rPr>
          <w:rFonts w:cs="Times New Roman"/>
          <w:noProof/>
          <w:szCs w:val="24"/>
          <w:lang w:val="en-GB"/>
        </w:rPr>
        <w:t>, 2016)</w:t>
      </w:r>
      <w:r w:rsidRPr="00116F45">
        <w:rPr>
          <w:rFonts w:cs="Times New Roman"/>
          <w:szCs w:val="24"/>
        </w:rPr>
        <w:fldChar w:fldCharType="end"/>
      </w:r>
      <w:r w:rsidRPr="00116F45">
        <w:rPr>
          <w:rFonts w:cs="Times New Roman"/>
          <w:szCs w:val="24"/>
          <w:lang w:val="en-GB"/>
        </w:rPr>
        <w:t xml:space="preserve">. In individuals using lipid-lowering therapy, values for total cholesterol, LDL cholesterol, and triglycerides were multiplied by 1.16 (=1/(1-0.14)), 1.23 (=1/1-0.19) and 1.12 (=1/(1-0.11)), respectively, corresponding to average reductions of 14%, 19% and 11% using common statin treatment regimens </w:t>
      </w:r>
      <w:r w:rsidRPr="00116F45">
        <w:rPr>
          <w:rFonts w:cs="Times New Roman"/>
          <w:szCs w:val="24"/>
        </w:rPr>
        <w:fldChar w:fldCharType="begin" w:fldLock="1"/>
      </w:r>
      <w:r w:rsidR="00AF2DF0">
        <w:rPr>
          <w:rFonts w:cs="Times New Roman"/>
          <w:szCs w:val="24"/>
          <w:lang w:val="en-GB"/>
        </w:rPr>
        <w:instrText>ADDIN CSL_CITATION {"citationItems":[{"id":"ITEM-1","itemData":{"DOI":"10.1016/S0140-6736(02)09327-3","ISSN":"01406736","PMID":"12114036","abstract":"Background: Throughout the usual LDL cholesterol range in Western populations, lower blood concentrations are associated with lower cardiovascular disease risk. In such populations, therefore, reducing LDL cholesterol may reduce the development of vascular disease, largely irrespective of initial cholesterol concentrations. Methods: 20 536 UK adults (aged 40-80 years) with coronary disease, other occlusive arterial disease, or diabetes were randomly allocated to receive 40 mg simvastatin daily (average compliance: 85%) or matching placebo (average non-study statin use: 17%). Analyses are of the first occurrence of particular events, and compare all simvastatin-allocated versus all placebo-allocated participants. These \"intention-to-treat\" comparisons assess the effects of about two-thirds (85% minus 17%) taking a statin during the scheduled 5-year treatment period, which yielded an average difference in LDL cholesterol of 1.0 mmol/L (about two-thirds of the effect of actual use of 40 mg simvastatin daily). Primary outcomes were mortality (for overall analyses) and fatal or non-fatal vascular events (for subcategory analyses), with subsidiary assessments of cancer and of other major morbidity. Findings: All-cause mortality was significantly reduced (1328 [12.9%] deaths among 10 269 allocated simvastatin versus 1507 [14.7%] among 10 267 allocated placebo; p=0.0003), due to a highly significant 18% (SE 5) proportional reduction in the coronary death rate (587 [5.7%] vs 707 [6.9%]; p=0.0005), a marginally significant reduction in other vascular deaths (194 [1.9%] vs 230 [2.2%]; p=0.07), and a non-significant reduction in non-vascular deaths (547 [5.3%] vs 570 [5.6%]; p=0.4). There were highly significant reductions of about one-quarter in the first event rate for non-fatal myocardial infarction or coronary death (898 [8.7%] vs 1212 [11.8%]; p&lt;0.0001), for non-fatal or fatal stroke (444 [4.3%] vs 585 [5.7%]; p&lt;0.0001), and for coronary or non-coronary revascularisation (939 [9.1%] vs 1205 [11.7%]; p&lt;0.0001). For the first occurrence of any of these major vascular events, there was a definite 24% (SE 3; 95% CI 19-28) reduction in the event rate (2033 [19.8%] vs 2585 [25.2%] affected individuals; p&lt;0.0001). During the first year the reduction in major vascular events was not significant, but subsequently it was highly significant during each separate year. The proportional reduction in the event rate was similar (and significant) in each subcategory of partici…","author":[{"dropping-particle":"","family":"Collins","given":"Rory","non-dropping-particle":"","parse-names":false,"suffix":""},{"dropping-particle":"","family":"Armitage","given":"Jane","non-dropping-particle":"","parse-names":false,"suffix":""},{"dropping-particle":"","family":"Parish","given":"Sarah","non-dropping-particle":"","parse-names":false,"suffix":""},{"dropping-particle":"","family":"Sleight","given":"Peter","non-dropping-particle":"","parse-names":false,"suffix":""},{"dropping-particle":"","family":"Peto","given":"Richard","non-dropping-particle":"","parse-names":false,"suffix":""}],"container-title":"The Lancet","id":"ITEM-1","issue":"9326","issued":{"date-parts":[["2002"]]},"page":"7-22","publisher":"Elsevier Limited","title":"MRC/BHF Heart Protection Study of cholesterol lowering with simvastatin in 20 536 high-risk individuals: A randomised placebo-controlled trial","type":"article-journal","volume":"360"},"uris":["http://www.mendeley.com/documents/?uuid=5745056c-cbeb-4185-bb66-7e1df15c3cc3"]},{"id":"ITEM-2","itemData":{"DOI":"10.1016/j.lanepe.2022.100419","ISSN":"26667762","author":[{"dropping-particle":"","family":"Kjeldsen","given":"Emilie W","non-dropping-particle":"","parse-names":false,"suffix":""},{"dropping-particle":"","family":"Thomassen","given":"Jesper Q","non-dropping-particle":"","parse-names":false,"suffix":""},{"dropping-particle":"","family":"Rasmussen","given":"Katrine L","non-dropping-particle":"","parse-names":false,"suffix":""},{"dropping-particle":"","family":"Nordestgaard","given":"Børge G","non-dropping-particle":"","parse-names":false,"suffix":""},{"dropping-particle":"","family":"Tybjærg-Hansen","given":"Anne","non-dropping-particle":"","parse-names":false,"suffix":""},{"dropping-particle":"","family":"Frikke-Schmidt","given":"Ruth","non-dropping-particle":"","parse-names":false,"suffix":""}],"container-title":"The Lancet Regional Health - Europe","id":"ITEM-2","issued":{"date-parts":[["2022","8"]]},"page":"100419","publisher":"Elsevier Ltd","title":"Impact of diet on ten-year absolute cardiovascular risk in a prospective cohort of 94 321 individuals: A tool for implementation of healthy diets","type":"article-journal","volume":"19"},"uris":["http://www.mendeley.com/documents/?uuid=0d919b4f-9294-4ad8-a410-0da472ab3f85"]}],"mendeley":{"formattedCitation":"(Collins &lt;i&gt;et al.&lt;/i&gt;, 2002; Kjeldsen &lt;i&gt;et al.&lt;/i&gt;, 2022)","plainTextFormattedCitation":"(Collins et al., 2002; Kjeldsen et al., 2022)","previouslyFormattedCitation":"(Collins &lt;i&gt;et al.&lt;/i&gt;, 2002)"},"properties":{"noteIndex":0},"schema":"https://github.com/citation-style-language/schema/raw/master/csl-citation.json"}</w:instrText>
      </w:r>
      <w:r w:rsidRPr="00116F45">
        <w:rPr>
          <w:rFonts w:cs="Times New Roman"/>
          <w:szCs w:val="24"/>
        </w:rPr>
        <w:fldChar w:fldCharType="separate"/>
      </w:r>
      <w:r w:rsidR="00AF2DF0" w:rsidRPr="00AF2DF0">
        <w:rPr>
          <w:rFonts w:cs="Times New Roman"/>
          <w:noProof/>
          <w:szCs w:val="24"/>
          <w:lang w:val="en-GB"/>
        </w:rPr>
        <w:t xml:space="preserve">(Collins </w:t>
      </w:r>
      <w:r w:rsidR="00AF2DF0" w:rsidRPr="00AF2DF0">
        <w:rPr>
          <w:rFonts w:cs="Times New Roman"/>
          <w:i/>
          <w:noProof/>
          <w:szCs w:val="24"/>
          <w:lang w:val="en-GB"/>
        </w:rPr>
        <w:t>et al.</w:t>
      </w:r>
      <w:r w:rsidR="00AF2DF0" w:rsidRPr="00AF2DF0">
        <w:rPr>
          <w:rFonts w:cs="Times New Roman"/>
          <w:noProof/>
          <w:szCs w:val="24"/>
          <w:lang w:val="en-GB"/>
        </w:rPr>
        <w:t xml:space="preserve">, 2002; Kjeldsen </w:t>
      </w:r>
      <w:r w:rsidR="00AF2DF0" w:rsidRPr="00AF2DF0">
        <w:rPr>
          <w:rFonts w:cs="Times New Roman"/>
          <w:i/>
          <w:noProof/>
          <w:szCs w:val="24"/>
          <w:lang w:val="en-GB"/>
        </w:rPr>
        <w:t>et al.</w:t>
      </w:r>
      <w:r w:rsidR="00AF2DF0" w:rsidRPr="00AF2DF0">
        <w:rPr>
          <w:rFonts w:cs="Times New Roman"/>
          <w:noProof/>
          <w:szCs w:val="24"/>
          <w:lang w:val="en-GB"/>
        </w:rPr>
        <w:t>, 2022)</w:t>
      </w:r>
      <w:r w:rsidRPr="00116F45">
        <w:rPr>
          <w:rFonts w:cs="Times New Roman"/>
          <w:szCs w:val="24"/>
        </w:rPr>
        <w:fldChar w:fldCharType="end"/>
      </w:r>
      <w:r w:rsidRPr="00116F45">
        <w:rPr>
          <w:rFonts w:cs="Times New Roman"/>
          <w:szCs w:val="24"/>
          <w:lang w:val="en-GB"/>
        </w:rPr>
        <w:t xml:space="preserve">. Non-HDL cholesterol was total cholesterol minus HDL cholesterol. </w:t>
      </w:r>
      <w:r w:rsidRPr="00116F45">
        <w:rPr>
          <w:rFonts w:cs="Times New Roman"/>
          <w:i/>
          <w:iCs/>
          <w:szCs w:val="24"/>
          <w:lang w:val="en-GB"/>
        </w:rPr>
        <w:t>APOE</w:t>
      </w:r>
      <w:r w:rsidRPr="00116F45">
        <w:rPr>
          <w:rFonts w:cs="Times New Roman"/>
          <w:szCs w:val="24"/>
          <w:lang w:val="en-GB"/>
        </w:rPr>
        <w:t xml:space="preserve"> genotype was determined as previously described and was categorized as </w:t>
      </w:r>
      <w:r w:rsidRPr="00116F45">
        <w:rPr>
          <w:rFonts w:cs="Times New Roman"/>
          <w:szCs w:val="24"/>
        </w:rPr>
        <w:t>ε</w:t>
      </w:r>
      <w:r w:rsidRPr="00116F45">
        <w:rPr>
          <w:rFonts w:cs="Times New Roman"/>
          <w:szCs w:val="24"/>
          <w:lang w:val="en-GB"/>
        </w:rPr>
        <w:t xml:space="preserve">22, </w:t>
      </w:r>
      <w:r w:rsidRPr="00116F45">
        <w:rPr>
          <w:rFonts w:cs="Times New Roman"/>
          <w:szCs w:val="24"/>
        </w:rPr>
        <w:t>ε</w:t>
      </w:r>
      <w:r w:rsidRPr="00116F45">
        <w:rPr>
          <w:rFonts w:cs="Times New Roman"/>
          <w:szCs w:val="24"/>
          <w:lang w:val="en-GB"/>
        </w:rPr>
        <w:t xml:space="preserve">32, </w:t>
      </w:r>
      <w:r w:rsidRPr="00116F45">
        <w:rPr>
          <w:rFonts w:cs="Times New Roman"/>
          <w:szCs w:val="24"/>
        </w:rPr>
        <w:t>ε</w:t>
      </w:r>
      <w:r w:rsidRPr="00116F45">
        <w:rPr>
          <w:rFonts w:cs="Times New Roman"/>
          <w:szCs w:val="24"/>
          <w:lang w:val="en-GB"/>
        </w:rPr>
        <w:t xml:space="preserve">42, </w:t>
      </w:r>
      <w:r w:rsidRPr="00116F45">
        <w:rPr>
          <w:rFonts w:cs="Times New Roman"/>
          <w:szCs w:val="24"/>
        </w:rPr>
        <w:t>ε</w:t>
      </w:r>
      <w:r w:rsidRPr="00116F45">
        <w:rPr>
          <w:rFonts w:cs="Times New Roman"/>
          <w:szCs w:val="24"/>
          <w:lang w:val="en-GB"/>
        </w:rPr>
        <w:t xml:space="preserve">33, </w:t>
      </w:r>
      <w:r w:rsidRPr="00116F45">
        <w:rPr>
          <w:rFonts w:cs="Times New Roman"/>
          <w:szCs w:val="24"/>
        </w:rPr>
        <w:t>ε</w:t>
      </w:r>
      <w:r w:rsidRPr="00116F45">
        <w:rPr>
          <w:rFonts w:cs="Times New Roman"/>
          <w:szCs w:val="24"/>
          <w:lang w:val="en-GB"/>
        </w:rPr>
        <w:t xml:space="preserve">43, and </w:t>
      </w:r>
      <w:r w:rsidRPr="00116F45">
        <w:rPr>
          <w:rFonts w:cs="Times New Roman"/>
          <w:szCs w:val="24"/>
        </w:rPr>
        <w:t>ε</w:t>
      </w:r>
      <w:r w:rsidRPr="00116F45">
        <w:rPr>
          <w:rFonts w:cs="Times New Roman"/>
          <w:szCs w:val="24"/>
          <w:lang w:val="en-GB"/>
        </w:rPr>
        <w:t xml:space="preserve">44 </w:t>
      </w:r>
      <w:r w:rsidRPr="00116F45">
        <w:rPr>
          <w:rFonts w:cs="Times New Roman"/>
          <w:szCs w:val="24"/>
        </w:rPr>
        <w:fldChar w:fldCharType="begin" w:fldLock="1"/>
      </w:r>
      <w:r w:rsidR="00AF2DF0">
        <w:rPr>
          <w:rFonts w:cs="Times New Roman"/>
          <w:szCs w:val="24"/>
          <w:lang w:val="en-GB"/>
        </w:rPr>
        <w:instrText>ADDIN CSL_CITATION {"citationItems":[{"id":"ITEM-1","itemData":{"DOI":"10.1093/eurheartj/ehaa695","ISSN":"0195-668X","author":[{"dropping-particle":"","family":"Juul Rasmussen","given":"Ida","non-dropping-particle":"","parse-names":false,"suffix":""},{"dropping-particle":"","family":"Rasmussen","given":"Katrine Laura","non-dropping-particle":"","parse-names":false,"suffix":""},{"dropping-particle":"","family":"Nordestgaard","given":"Børge G","non-dropping-particle":"","parse-names":false,"suffix":""},{"dropping-particle":"","family":"Tybjærg-Hansen","given":"Anne","non-dropping-particle":"","parse-names":false,"suffix":""},{"dropping-particle":"","family":"Frikke-Schmidt","given":"Ruth","non-dropping-particle":"","parse-names":false,"suffix":""}],"container-title":"European Heart Journal","id":"ITEM-1","issue":"41","issued":{"date-parts":[["2020"]]},"page":"4024-4033","title":"Impact of cardiovascular risk factors and genetics on 10-year absolute risk of dementia: risk charts for targeted prevention","type":"article-journal","volume":"41"},"uris":["http://www.mendeley.com/documents/?uuid=59e7454f-1aef-46f3-9bd3-fd731cbc740d"]},{"id":"ITEM-2","itemData":{"DOI":"10.1093/eurheartj/ehz402","ISSN":"15229645","PMID":"31236578","abstract":"Aims To determine whether plasma apoE levels and APOE genotype are associated with all-cause and cause-specific mortality. Methods and results Using a prospective cohort design with 105 949 white individuals from the general population, we tested the association between plasma apoE at study enrolment and death during follow-up, and whether this was independent of APOE genotype. We confirmed the well-known association between APOE genotypes and mortality. For all-cause, cardiovascular, and cancer mortality, high levels of apoE were associated with increased risk, while for dementia-associated mortality low levels were associated with increased risk. For the highest vs. the fifth septile of plasma apoE, hazard ratios (HRs) were 1.20 (95% confidence interval 1.12–1.28) for all-cause mortality, 1.28 (1.13–1.44) for cardiovascular mortality, and 1.18 (1.05–1.32) for cancer mortality. Conversely, for the lowest vs. the fifth septile the HR was 1.44 (1.01–2.05) for dementia-associated mortality. Results were similar in analyses restricted to APOE ε33 carriers. Examining genetically determined plasma apoE, a 1 mg/dL increase conferred risk ratios of 0.97 (0.92–1.03) for cardiovascular mortality and 1.01 (0.95–1.06) for cancer mortality, while a 1 mg/dL decrease conferred a risk ratio of 1.70 (1.36–2.12) for dementia-associated mortality. Conclusion High plasma levels of apoE were associated with increased all-cause, cardiovascular, and cancer mortality, however of a non-causal nature, while low levels were causally associated with increased dementia-associated mortality.","author":[{"dropping-particle":"","family":"Rasmussen","given":"Katrine L","non-dropping-particle":"","parse-names":false,"suffix":""},{"dropping-particle":"","family":"Tybjærg-Hansen","given":"Anne","non-dropping-particle":"","parse-names":false,"suffix":""},{"dropping-particle":"","family":"Nordestgaard","given":"Børge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G","non-dropping-particle":"","parse-names":false,"suffix":""},{"dropping-particle":"","family":"Frikke-Schmidt","given":"Ruth","non-dropping-particle":"","parse-names":false,"suffix":""}],"container-title":"European Heart Journal","id":"ITEM-2","issue":"33","issued":{"date-parts":[["2019"]]},"page":"2813-2824","title":"Plasma levels of apolipoprotein E, APOE genotype, and all-cause and cause-specific mortality in 105 949 individuals from a white general population cohort","type":"article-journal","volume":"40"},"uris":["http://www.mendeley.com/documents/?uuid=c0529a0c-002a-37a8-9f1f-c33be6c2cec1"]},{"id":"ITEM-3","itemData":{"DOI":"10.1002/alz.12165","ISSN":"15525279","PMID":"32808727","abstract":"Introduction: The mechanism behind the strong association between the ɛ2/ɛ3/ɛ4 apolipoprotein E gene (APOE) polymorphism and Alzheimer's disease is not well-characterized. Because low plasma levels of apoE associate with risk of dementia, genetic variants altering apoE levels in general may also associate with dementia. Methods: The APOE gene was sequenced in 10,369 individuals, and nine amino acid–changing variants with frequencies ≥2/10,000 were further genotyped in 95,228 individuals. Plasma apoE levels were measured directly. Results: Risk of all dementia and Alzheimer's disease (AD) increased with decreasing genetically determined apoE levels (P = 5 × 10−4 and P = 1 × 10−4 after APOE ɛ2/ɛ3/ɛ4 adjustment). Hazard ratios (95% confidence intervals) for all dementia and AD were 2.76 (1.39 to 5.47) and 4.92 (2.36 to 10.29) for the group with the genetically lowest apoE versus ɛ33. Discussion: We found that genetically low apoE levels increase and genetically high levels decrease risk, beyond ɛ2/ɛ3/ɛ4. This underscores that dementia risk more likely relates to variants affecting levels of apoE.","author":[{"dropping-particle":"","family":"Rasmussen","given":"Katrine L.","non-dropping-particle":"","parse-names":false,"suffix":""},{"dropping-particle":"","family":"Tybjærg-Hansen","given":"Anne","non-dropping-particle":"","parse-names":false,"suffix":""},{"dropping-particle":"","family":"Nordestgaard","given":"Børge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G.","non-dropping-particle":"","parse-names":false,"suffix":""},{"dropping-particle":"","family":"Frikke-Schmidt","given":"Ruth","non-dropping-particle":"","parse-names":false,"suffix":""}],"container-title":"Alzheimer's and Dementia","id":"ITEM-3","issue":"12","issued":{"date-parts":[["2020"]]},"page":"1624-1637","title":"APOE and dementia – resequencing and genotyping in 105,597 individuals","type":"article-journal","volume":"16"},"uris":["http://www.mendeley.com/documents/?uuid=de45a1fc-0de7-4907-bbf6-759f97f9905b"]},{"id":"ITEM-4","itemData":{"DOI":"10.1002/ana.24326","ISSN":"15318249","PMID":"26937471","abstract":"Objective: The apolipoprotein E (APOE) e4 allele is a major genetic risk factor for Alzheimer disease and dementia. However, it remains unclear whether plasma levels of apoE confer additional risk. We tested this hypothesis. Methods: Using 75,708 participants from the general population, we tested whether low plasma levels of apoE at study enrollment were associated with increased risk of future Alzheimer disease and all dementia, and whether this association was independent of e2/e3/e4 APOE genotype. Results: Multifactorially adjusted hazard ratios (HRs) for Alzheimer disease and all dementia increased from the highest to the lowest apoE tertile (p for trends&lt;1 3 1026). Multifactorially adjusted HRs for lowest versus highest tertile were 2.68 (95% confidence interval [CI]52.04–3.52) and 1.80 (95% CI51.52–2.13) for Alzheimer disease and all dementia, respectively. After further adjustment for e2/e3/e4 APOE genotype, plasma apoE tertiles remained associated with Alz- heimer disease (p for trend50.007) and all dementia (p for trend50.04). Plasma apoE tertiles did not interact with e2/ e3/e4 APOE genotype on risk of Alzheimer disease (p50.53) or all dementia (p50.79). In a subanalysis, the 2219G&gt;T GT promoter genotype, associated with low plasma apoE levels, remained significantly associated with increased risk of Alzheimer disease after adjustment for e2/e3/e4 APOE genotype (HR51.56, 95% CI51.05–2.30). Interpretation: Low plasma levels of apoE are associated with increased risk of future Alzheimer disease and all dementia in the general population, independent of e2/e3/e4 APOE genotype. This is clinically relevant, because no plasma biomarkers are currently implemented. Hence, plasma levels of apoE may be a new, easily accessible preclini- cal biomarker.","author":[{"dropping-particle":"","family":"Rasmussen","given":"Katrine L.","non-dropping-particle":"","parse-names":false,"suffix":""},{"dropping-particle":"","family":"Tybjærg-Hansen","given":"Anne","non-dropping-particle":"","parse-names":false,"suffix":""},{"dropping-particle":"","family":"Nordestgaard","given":"Børge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G.","non-dropping-particle":"","parse-names":false,"suffix":""},{"dropping-particle":"","family":"Frikke-Schmidt","given":"Ruth","non-dropping-particle":"","parse-names":false,"suffix":""}],"container-title":"Annals of Neurology","id":"ITEM-4","issue":"2","issued":{"date-parts":[["2015"]]},"note":"10.1002/ana.24326","page":"301-311","title":"Plasma levels of apolipoprotein E and risk of dementia in the general population","type":"article-journal","volume":"77"},"uris":["http://www.mendeley.com/documents/?uuid=b052a70d-3beb-49cd-8750-e6a2954e8090"]},{"id":"ITEM-5","itemData":{"DOI":"10.1002/acn3.506","ISSN":"23289503","abstract":"Objective: ATP-binding-cassette transporter A7(ABCA7) is suggested to be involved in lipid transport as well as in phagocytosis of amyloid-β in the brain. We tested the hypothesis that a common genetic variant in ABCA7 is associated with dementia, ischemic heart disease, ischemic cerebrovascular disease, and with lipid levels in the general population, independent of the common apolipoprotein E(APOE) genotype. Methods: For this purpose, we genotyped a common genetic variant in ABCA7, identified in genome-wide-association-studies of Alzheimer's disease, in 104,258 individuals from the Danish general population, and also meta-analyzed our results with publicly available consortia data. Results: Multifactorially adjusted hazard ratios for Alzheimer's disease were 1.07 (95% confidence interval:0.93–1.23) and 1.72 (1.24–2.40) for GA and AA versus GG genotype. Results were similar after APOE genotype adjustment and when only APOE ɛ33 carriers were studied. Including 178,304 individuals, the meta-analyzed odds ratio for Alzheimer's disease per one allele ABCA7 rs4147929 increase was 1.15 (1.12–1.18). ABCA7 genotype was not convincingly associated with vascular dementia, ischemic heart disease, ischemic cerebrovascular disease, or with lipid levels. Including 288,563 individuals, meta-analyzed odds ratios for ischemic heart disease per one allele ABCA7 rs4147929 increase was 1.01 (0.99–1.03). Interpretation: A common genetic variant in ABCA7 was associated with high risk of Alzheimer's disease independent of APOE genotype. The lack of association with vascular dementia, ischemic heart disease, ischemic cerebrovascular disease, and with lipid levels suggests that ABCA7 is not important for atherosclerosis. Thus, our findings support the suggested role of ABCA7 in Alzheimer's disease pathology and phagocytic clearance of amyloid-β in the brain.","author":[{"dropping-particle":"","family":"Kjeldsen","given":"Emilie W.","non-dropping-particle":"","parse-names":false,"suffix":""},{"dropping-particle":"","family":"Tybjaerg-Hansen","given":"Anne","non-dropping-particle":"","parse-names":false,"suffix":""},{"dropping-particle":"","family":"Nordestgaard","given":"Børge G.","non-dropping-particle":"","parse-names":false,"suffix":""},{"dropping-particle":"","family":"Frikke-Schmidt","given":"Ruth","non-dropping-particle":"","parse-names":false,"suffix":""}],"container-title":"Annals of Clinical and Translational Neurology","id":"ITEM-5","issue":"1","issued":{"date-parts":[["2018"]]},"page":"41-51","title":"ABCA7 and risk of dementia and vascular disease in the Danish population","type":"article-journal","volume":"5"},"uris":["http://www.mendeley.com/documents/?uuid=e08901c9-9afe-3e66-b059-42ab2c70533d"]},{"id":"ITEM-6","itemData":{"DOI":"10.1210/jc.2017-00195","ISSN":"0021-972X","PMID":"28609829","abstract":"Context: Recently, data on 2,000,000 people established that low body mass index (BMI) is associated with increased risk of dementia. Whether this observational association reflects a causal effect remains to be clarified. Objective: Wetested the hypothesis that there is a causal association between low BMI and high risk of Alzheimer's disease. Design, Setting, and Participants: Using a Mendelian randomization approach, we studied 95,578 individuals from the Copenhagen General Population Study (CGPS) with up to 36 years of follow-up and consortia data on 303,958 individuals from the Genetic Investigation of Anthropometric Traits (GIANT) and the International Genomics of Alzheimer's Project (IGAP). Main Outcome Measure: Risk of Alzheimer's disease. Results: The causal odds ratio for a 1-kg/m2 genetically determined lower BMI was 0.98 [95% confidence interval (CI), 0.77 to 1.23] for a weighted allele score in the CGPS. Using 32 BMIdecreasing variants from GIANT and IGAP the causal odds ratio for Alzheimer's disease for a 1-standard deviation (SD) lower genetically determined BMI was 1.02 (95% CI, 0.86 to 1.22). Corresponding observational hazard ratios from the CGPS were 1.07 (95% CI, 1.05 to 1.09) and 1.32 (95% CI, 1.20 to 1.46) for a 1-kg/m2 and a 1-SD lower BMI, respectively. Conclusions: Genetic and hence lifelong low BMI is not associated with increased risk of Alzheimer's disease in the general population. These data suggest that low BMI is not a causal risk factor for Alzheimer's disease and that the corresponding observational association likely is explained by reverse causation or confounding.","author":[{"dropping-particle":"","family":"Nordestgaard","given":"Liv Tybjærg","non-dropping-particle":"","parse-names":false,"suffix":""},{"dropping-particle":"","family":"Tybjærg-Hansen","given":"Anne","non-dropping-particle":"","parse-names":false,"suffix":""},{"dropping-particle":"","family":"Nordestgaard","given":"Børge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G.","non-dropping-particle":"","parse-names":false,"suffix":""},{"dropping-particle":"","family":"Frikke-Schmidt","given":"Ruth","non-dropping-particle":"","parse-names":false,"suffix":""}],"container-title":"The Journal of Clinical Endocrinology &amp; Metabolism","id":"ITEM-6","issue":"7","issued":{"date-parts":[["2017","7","1"]]},"page":"2310-2320","title":"Body mass index and risk of Alzheimer’s disease: A Mendelian randomization study of 399,536 individuals","type":"article-journal","volume":"102"},"uris":["http://www.mendeley.com/documents/?uuid=0b622a03-aeb0-4396-942b-fce23e665e43"]}],"mendeley":{"formattedCitation":"(Rasmussen &lt;i&gt;et al.&lt;/i&gt;, 2015, 2019, 2020; Nordestgaard &lt;i&gt;et al.&lt;/i&gt;, 2017; Kjeldsen &lt;i&gt;et al.&lt;/i&gt;, 2018; Juul Rasmussen &lt;i&gt;et al.&lt;/i&gt;, 2020)","plainTextFormattedCitation":"(Rasmussen et al., 2015, 2019, 2020; Nordestgaard et al., 2017; Kjeldsen et al., 2018; Juul Rasmussen et al., 2020)","previouslyFormattedCitation":"(Rasmussen &lt;i&gt;et al.&lt;/i&gt;, 2015, 2019, 2020; Nordestgaard &lt;i&gt;et al.&lt;/i&gt;, 2017; Kjeldsen &lt;i&gt;et al.&lt;/i&gt;, 2018; Juul Rasmussen &lt;i&gt;et al.&lt;/i&gt;, 2020)"},"properties":{"noteIndex":0},"schema":"https://github.com/citation-style-language/schema/raw/master/csl-citation.json"}</w:instrText>
      </w:r>
      <w:r w:rsidRPr="00116F45">
        <w:rPr>
          <w:rFonts w:cs="Times New Roman"/>
          <w:szCs w:val="24"/>
        </w:rPr>
        <w:fldChar w:fldCharType="separate"/>
      </w:r>
      <w:r w:rsidR="00604F94" w:rsidRPr="00116F45">
        <w:rPr>
          <w:rFonts w:cs="Times New Roman"/>
          <w:noProof/>
          <w:szCs w:val="24"/>
        </w:rPr>
        <w:t xml:space="preserve">(Rasmussen </w:t>
      </w:r>
      <w:r w:rsidR="00604F94" w:rsidRPr="00116F45">
        <w:rPr>
          <w:rFonts w:cs="Times New Roman"/>
          <w:i/>
          <w:noProof/>
          <w:szCs w:val="24"/>
        </w:rPr>
        <w:t>et al.</w:t>
      </w:r>
      <w:r w:rsidR="00604F94" w:rsidRPr="00116F45">
        <w:rPr>
          <w:rFonts w:cs="Times New Roman"/>
          <w:noProof/>
          <w:szCs w:val="24"/>
        </w:rPr>
        <w:t xml:space="preserve">, 2015, 2019, 2020; Nordestgaard </w:t>
      </w:r>
      <w:r w:rsidR="00604F94" w:rsidRPr="00116F45">
        <w:rPr>
          <w:rFonts w:cs="Times New Roman"/>
          <w:i/>
          <w:noProof/>
          <w:szCs w:val="24"/>
        </w:rPr>
        <w:t>et al.</w:t>
      </w:r>
      <w:r w:rsidR="00604F94" w:rsidRPr="00116F45">
        <w:rPr>
          <w:rFonts w:cs="Times New Roman"/>
          <w:noProof/>
          <w:szCs w:val="24"/>
        </w:rPr>
        <w:t xml:space="preserve">, 2017; Kjeldsen </w:t>
      </w:r>
      <w:r w:rsidR="00604F94" w:rsidRPr="00116F45">
        <w:rPr>
          <w:rFonts w:cs="Times New Roman"/>
          <w:i/>
          <w:noProof/>
          <w:szCs w:val="24"/>
        </w:rPr>
        <w:t>et al.</w:t>
      </w:r>
      <w:r w:rsidR="00604F94" w:rsidRPr="00116F45">
        <w:rPr>
          <w:rFonts w:cs="Times New Roman"/>
          <w:noProof/>
          <w:szCs w:val="24"/>
        </w:rPr>
        <w:t xml:space="preserve">, 2018; Juul Rasmussen </w:t>
      </w:r>
      <w:r w:rsidR="00604F94" w:rsidRPr="00116F45">
        <w:rPr>
          <w:rFonts w:cs="Times New Roman"/>
          <w:i/>
          <w:noProof/>
          <w:szCs w:val="24"/>
        </w:rPr>
        <w:t>et al.</w:t>
      </w:r>
      <w:r w:rsidR="00604F94" w:rsidRPr="00116F45">
        <w:rPr>
          <w:rFonts w:cs="Times New Roman"/>
          <w:noProof/>
          <w:szCs w:val="24"/>
        </w:rPr>
        <w:t>, 2020)</w:t>
      </w:r>
      <w:r w:rsidRPr="00116F45">
        <w:rPr>
          <w:rFonts w:cs="Times New Roman"/>
          <w:szCs w:val="24"/>
        </w:rPr>
        <w:fldChar w:fldCharType="end"/>
      </w:r>
      <w:bookmarkStart w:id="3" w:name="_Hlk75427378"/>
      <w:r w:rsidRPr="00116F45">
        <w:rPr>
          <w:rFonts w:cs="Times New Roman"/>
          <w:szCs w:val="24"/>
        </w:rPr>
        <w:t xml:space="preserve">. </w:t>
      </w:r>
    </w:p>
    <w:bookmarkEnd w:id="3"/>
    <w:p w14:paraId="60321D8D" w14:textId="77777777" w:rsidR="00E5295E" w:rsidRPr="00116F45" w:rsidRDefault="00E5295E" w:rsidP="00E5295E">
      <w:pPr>
        <w:pStyle w:val="NoSpacing"/>
        <w:rPr>
          <w:b w:val="0"/>
          <w:bCs/>
          <w:szCs w:val="24"/>
        </w:rPr>
      </w:pPr>
    </w:p>
    <w:p w14:paraId="7DA48D33" w14:textId="77777777" w:rsidR="00E5295E" w:rsidRPr="00116F45" w:rsidRDefault="00E5295E" w:rsidP="00E5295E">
      <w:pPr>
        <w:pStyle w:val="Heading2"/>
        <w:spacing w:line="480" w:lineRule="auto"/>
        <w:rPr>
          <w:lang w:val="en-GB"/>
        </w:rPr>
      </w:pPr>
      <w:bookmarkStart w:id="4" w:name="_Toc110945218"/>
      <w:r w:rsidRPr="00116F45">
        <w:rPr>
          <w:lang w:val="en-GB"/>
        </w:rPr>
        <w:t>Covariates</w:t>
      </w:r>
      <w:bookmarkEnd w:id="4"/>
      <w:r w:rsidRPr="00116F45">
        <w:rPr>
          <w:lang w:val="en-GB"/>
        </w:rPr>
        <w:t xml:space="preserve"> </w:t>
      </w:r>
    </w:p>
    <w:p w14:paraId="2CC9DBB5" w14:textId="77777777" w:rsidR="00E5295E" w:rsidRPr="00116F45" w:rsidRDefault="00E5295E" w:rsidP="00E5295E">
      <w:pPr>
        <w:pStyle w:val="ListParagraph"/>
        <w:spacing w:after="0" w:line="480" w:lineRule="auto"/>
        <w:ind w:left="0"/>
        <w:rPr>
          <w:szCs w:val="24"/>
          <w:lang w:val="en-GB"/>
        </w:rPr>
      </w:pPr>
      <w:r w:rsidRPr="00116F45">
        <w:rPr>
          <w:szCs w:val="24"/>
          <w:lang w:val="en-GB"/>
        </w:rPr>
        <w:t>Covariates were assessed at baseline. Household income, education, smoking, alcohol consumption, physical activity, and use of lipid-lowering therapy were all self-reported and categorical. Low household income was defined as &lt;400,000 DKK/year (&lt;53,800€/year). Smoking was cumulative in pack-years either as a continuous covariate or as a categorical covariate (0 pack-years, &gt;0-</w:t>
      </w:r>
      <w:r w:rsidRPr="00116F45">
        <w:rPr>
          <w:rFonts w:cs="Times New Roman"/>
          <w:szCs w:val="24"/>
          <w:lang w:val="en-GB"/>
        </w:rPr>
        <w:t>≤</w:t>
      </w:r>
      <w:r w:rsidRPr="00116F45">
        <w:rPr>
          <w:szCs w:val="24"/>
          <w:lang w:val="en-GB"/>
        </w:rPr>
        <w:t>10 pack-years, &gt;10-</w:t>
      </w:r>
      <w:r w:rsidRPr="00116F45">
        <w:rPr>
          <w:rFonts w:cs="Times New Roman"/>
          <w:szCs w:val="24"/>
          <w:lang w:val="en-GB"/>
        </w:rPr>
        <w:t>≤</w:t>
      </w:r>
      <w:r w:rsidRPr="00116F45">
        <w:rPr>
          <w:szCs w:val="24"/>
          <w:lang w:val="en-GB"/>
        </w:rPr>
        <w:t xml:space="preserve">20 pack-years or &gt;20 pack-years). High alcohol consumption was &gt;14/21 units of alcohol per week for women/men (1unit alcohol~12 g). Physical inactivity was ≤4 hours weekly of light physical exercise in leisure time. Lipid-lowering therapy was mainly statins (yes/no). </w:t>
      </w:r>
      <w:r w:rsidRPr="00116F45">
        <w:rPr>
          <w:rFonts w:cs="Times New Roman"/>
          <w:szCs w:val="24"/>
          <w:lang w:val="en-GB"/>
        </w:rPr>
        <w:t xml:space="preserve">Diabetes mellitus was self-reported disease, registered disease and/or hospitalization due to diabetes before study entry (ICD-8 code 249, 250; ICD-10 code E10-11, E13-14), medication prescribed for diabetes, and/or non-fasting plasma glucose levels of more than 11 mmol/L (&gt;198mg/dl). </w:t>
      </w:r>
      <w:r w:rsidRPr="00116F45">
        <w:rPr>
          <w:szCs w:val="24"/>
          <w:lang w:val="en-GB"/>
        </w:rPr>
        <w:t>Hypertension was systolic blood pressure ≥140 mm Hg, diastolic blood pressure ≥90 mm Hg, and/or self-reported use of antihypertensive medication. Systolic blood pressure was measured at examination and body mass index was calculated from measured weight in kilograms divided by measured height in meters squared, and both were treated as continuous covariates. These covariates were chosen as they are either associated with the exposure or the outcome. The cut-offs were primarily chosen based on recommendations from Danish health authorities or chosen to maintain evenly sized groups. Dichotomisation was preferred to sustain maximum power.</w:t>
      </w:r>
    </w:p>
    <w:p w14:paraId="56FE8419" w14:textId="77777777" w:rsidR="00E5295E" w:rsidRPr="00116F45" w:rsidRDefault="00E5295E" w:rsidP="00E5295E">
      <w:pPr>
        <w:pStyle w:val="ListParagraph"/>
        <w:spacing w:after="0" w:line="480" w:lineRule="auto"/>
        <w:ind w:left="0"/>
        <w:rPr>
          <w:szCs w:val="24"/>
          <w:lang w:val="en-GB"/>
        </w:rPr>
      </w:pPr>
    </w:p>
    <w:p w14:paraId="7D1E88A6" w14:textId="77777777" w:rsidR="00E5295E" w:rsidRPr="00116F45" w:rsidRDefault="00E5295E" w:rsidP="00E5295E">
      <w:pPr>
        <w:pStyle w:val="Heading2"/>
        <w:spacing w:line="480" w:lineRule="auto"/>
        <w:rPr>
          <w:lang w:val="en-GB"/>
        </w:rPr>
      </w:pPr>
      <w:bookmarkStart w:id="5" w:name="_Toc110945219"/>
      <w:r w:rsidRPr="00116F45">
        <w:rPr>
          <w:lang w:val="en-GB"/>
        </w:rPr>
        <w:t>Statistical analyses</w:t>
      </w:r>
      <w:bookmarkEnd w:id="5"/>
    </w:p>
    <w:p w14:paraId="176D32C8" w14:textId="510451B8" w:rsidR="00E5295E" w:rsidRPr="00116F45" w:rsidRDefault="00E5295E" w:rsidP="00E5295E">
      <w:pPr>
        <w:rPr>
          <w:rFonts w:cs="Times New Roman"/>
          <w:szCs w:val="24"/>
          <w:lang w:val="en-GB"/>
        </w:rPr>
      </w:pPr>
      <w:r w:rsidRPr="00116F45">
        <w:rPr>
          <w:rFonts w:cs="Times New Roman"/>
          <w:szCs w:val="24"/>
          <w:lang w:val="en-GB"/>
        </w:rPr>
        <w:t xml:space="preserve">We used Stata/SE version </w:t>
      </w:r>
      <w:r w:rsidR="00985D6B" w:rsidRPr="00116F45">
        <w:rPr>
          <w:rFonts w:cs="Times New Roman"/>
          <w:szCs w:val="24"/>
          <w:lang w:val="en-GB"/>
        </w:rPr>
        <w:t>17</w:t>
      </w:r>
      <w:r w:rsidRPr="00116F45">
        <w:rPr>
          <w:rFonts w:cs="Times New Roman"/>
          <w:szCs w:val="24"/>
          <w:lang w:val="en-GB"/>
        </w:rPr>
        <w:t>.</w:t>
      </w:r>
      <w:bookmarkStart w:id="6" w:name="_Hlk55293231"/>
      <w:r w:rsidR="00985D6B" w:rsidRPr="00116F45">
        <w:rPr>
          <w:rFonts w:cs="Times New Roman"/>
          <w:szCs w:val="24"/>
          <w:lang w:val="en-GB"/>
        </w:rPr>
        <w:t>0</w:t>
      </w:r>
      <w:r w:rsidRPr="00116F45">
        <w:rPr>
          <w:rFonts w:cs="Times New Roman"/>
          <w:szCs w:val="24"/>
          <w:lang w:val="en-GB"/>
        </w:rPr>
        <w:t xml:space="preserve"> (Stata Corp, College Station, TX). </w:t>
      </w:r>
      <w:bookmarkEnd w:id="6"/>
      <w:r w:rsidRPr="00116F45">
        <w:rPr>
          <w:rFonts w:cs="Times New Roman"/>
          <w:szCs w:val="24"/>
          <w:lang w:val="en-GB"/>
        </w:rPr>
        <w:t>Probability values &lt;0.001 are given as powers of 10. We used the command “</w:t>
      </w:r>
      <w:proofErr w:type="spellStart"/>
      <w:r w:rsidRPr="00116F45">
        <w:rPr>
          <w:rFonts w:cs="Times New Roman"/>
          <w:szCs w:val="24"/>
          <w:lang w:val="en-GB"/>
        </w:rPr>
        <w:t>stpower</w:t>
      </w:r>
      <w:proofErr w:type="spellEnd"/>
      <w:r w:rsidRPr="00116F45">
        <w:rPr>
          <w:rFonts w:cs="Times New Roman"/>
          <w:szCs w:val="24"/>
          <w:lang w:val="en-GB"/>
        </w:rPr>
        <w:t xml:space="preserve"> </w:t>
      </w:r>
      <w:proofErr w:type="spellStart"/>
      <w:r w:rsidRPr="00116F45">
        <w:rPr>
          <w:rFonts w:cs="Times New Roman"/>
          <w:szCs w:val="24"/>
          <w:lang w:val="en-GB"/>
        </w:rPr>
        <w:t>logrank</w:t>
      </w:r>
      <w:proofErr w:type="spellEnd"/>
      <w:r w:rsidRPr="00116F45">
        <w:rPr>
          <w:rFonts w:cs="Times New Roman"/>
          <w:szCs w:val="24"/>
          <w:lang w:val="en-GB"/>
        </w:rPr>
        <w:t xml:space="preserve">” in Stata to calculate power; we had 80% statistical power at a two-sided P&lt;0.05 to detect a hazard ratio of 1.37 for non-Alzheimer’s dementia and 1.22 for Alzheimer’s disease per increase in group of </w:t>
      </w:r>
      <w:proofErr w:type="gramStart"/>
      <w:r w:rsidRPr="00116F45">
        <w:rPr>
          <w:rFonts w:cs="Times New Roman"/>
          <w:szCs w:val="24"/>
          <w:lang w:val="en-GB"/>
        </w:rPr>
        <w:t>adherence</w:t>
      </w:r>
      <w:proofErr w:type="gramEnd"/>
      <w:r w:rsidRPr="00116F45">
        <w:rPr>
          <w:rFonts w:cs="Times New Roman"/>
          <w:szCs w:val="24"/>
          <w:lang w:val="en-GB"/>
        </w:rPr>
        <w:t xml:space="preserve"> to dietary guidelines. These calculations were based on the number of dementia cases, median follow-up time, and frequency of individuals in each exposure group. Kruskal-Wallis test or </w:t>
      </w:r>
      <w:proofErr w:type="spellStart"/>
      <w:r w:rsidRPr="00116F45">
        <w:rPr>
          <w:rFonts w:cs="Times New Roman"/>
          <w:szCs w:val="24"/>
          <w:lang w:val="en-GB"/>
        </w:rPr>
        <w:t>Cuzick’s</w:t>
      </w:r>
      <w:proofErr w:type="spellEnd"/>
      <w:r w:rsidRPr="00116F45">
        <w:rPr>
          <w:rFonts w:cs="Times New Roman"/>
          <w:szCs w:val="24"/>
          <w:lang w:val="en-GB"/>
        </w:rPr>
        <w:t xml:space="preserve"> test for trend were used to compare continuous covariates. Missing data on covariates (&lt;1.28%) were imputed from age and sex using multinomial logistic regression for categorical variables and linear regression for continuous variables (Supplementary Table 4).</w:t>
      </w:r>
      <w:r w:rsidR="009C2082" w:rsidRPr="00116F45">
        <w:rPr>
          <w:rFonts w:cs="Times New Roman"/>
          <w:szCs w:val="24"/>
          <w:lang w:val="en-GB"/>
        </w:rPr>
        <w:t xml:space="preserve"> Ten datasets were created, and results were synthesized from one extracted dataset.</w:t>
      </w:r>
      <w:r w:rsidRPr="00116F45">
        <w:rPr>
          <w:rFonts w:cs="Times New Roman"/>
          <w:szCs w:val="24"/>
          <w:lang w:val="en-GB"/>
        </w:rPr>
        <w:t xml:space="preserve"> Imputation on all covariates and endpoints was used in a sensitivity analysis. The multiple imputed dataset (from age and sex) was used for the primary analyses, however, if only individuals with complete data were included, results were similar. No genotypes or endpoints were imputed. </w:t>
      </w:r>
    </w:p>
    <w:p w14:paraId="5341DA7A" w14:textId="5653B352" w:rsidR="00E5295E" w:rsidRPr="00116F45" w:rsidRDefault="00E5295E" w:rsidP="00E5295E">
      <w:pPr>
        <w:ind w:firstLine="1304"/>
        <w:rPr>
          <w:rFonts w:cs="Times New Roman"/>
          <w:szCs w:val="24"/>
          <w:lang w:val="en-GB"/>
        </w:rPr>
      </w:pPr>
      <w:bookmarkStart w:id="7" w:name="_Hlk75427861"/>
      <w:r w:rsidRPr="00116F45">
        <w:rPr>
          <w:rFonts w:cs="Times New Roman"/>
          <w:szCs w:val="24"/>
          <w:lang w:val="en-GB"/>
        </w:rPr>
        <w:t xml:space="preserve">The associations of dietary groups with non-Alzheimer’s dementia, Alzheimer’s disease, cardiovascular mortality, and all-cause mortality were examined using cause-specific Cox proportional hazards regression with age as underlying timescale (age adjustment) with delayed entry (left truncation at study examination), and with censoring at event, emigration, death, or end of follow-up. Model adjustments were done in three steps: a simple model including adjustment for age and sex; a second model adjusting for age, sex, household income, education, pack-years, alcohol consumption, physical activity, body mass index, diabetes, hypertension, lipid-lowering therapy, LDL cholesterol, HDL cholesterol, and triglycerides; and a third model adjusting for the second model plus </w:t>
      </w:r>
      <w:r w:rsidRPr="00116F45">
        <w:rPr>
          <w:rFonts w:cs="Times New Roman"/>
          <w:szCs w:val="24"/>
        </w:rPr>
        <w:t>ε</w:t>
      </w:r>
      <w:r w:rsidRPr="00116F45">
        <w:rPr>
          <w:rFonts w:cs="Times New Roman"/>
          <w:szCs w:val="24"/>
          <w:lang w:val="en-GB"/>
        </w:rPr>
        <w:t>2/</w:t>
      </w:r>
      <w:r w:rsidRPr="00116F45">
        <w:rPr>
          <w:rFonts w:cs="Times New Roman"/>
          <w:szCs w:val="24"/>
        </w:rPr>
        <w:t>ε</w:t>
      </w:r>
      <w:r w:rsidRPr="00116F45">
        <w:rPr>
          <w:rFonts w:cs="Times New Roman"/>
          <w:szCs w:val="24"/>
          <w:lang w:val="en-GB"/>
        </w:rPr>
        <w:t>3/</w:t>
      </w:r>
      <w:r w:rsidRPr="00116F45">
        <w:rPr>
          <w:rFonts w:cs="Times New Roman"/>
          <w:szCs w:val="24"/>
        </w:rPr>
        <w:t>ε</w:t>
      </w:r>
      <w:r w:rsidRPr="00116F45">
        <w:rPr>
          <w:rFonts w:cs="Times New Roman"/>
          <w:szCs w:val="24"/>
          <w:lang w:val="en-GB"/>
        </w:rPr>
        <w:t xml:space="preserve">4 </w:t>
      </w:r>
      <w:r w:rsidRPr="00116F45">
        <w:rPr>
          <w:rFonts w:cs="Times New Roman"/>
          <w:i/>
          <w:iCs/>
          <w:szCs w:val="24"/>
          <w:lang w:val="en-GB"/>
        </w:rPr>
        <w:t>APOE</w:t>
      </w:r>
      <w:r w:rsidRPr="00116F45">
        <w:rPr>
          <w:rFonts w:cs="Times New Roman"/>
          <w:szCs w:val="24"/>
          <w:lang w:val="en-GB"/>
        </w:rPr>
        <w:t xml:space="preserve"> genotype. To test whether reverse causation affected our results, we excluded individuals with less than two years of follow-up in sensitivity analysis. Furthermore, we also conducted sensitivity analyses adjusting for ischemic heart disease and ischemic cerebrovascular disease as well as an analysis using imputed variables based on all covariates and endpoints. </w:t>
      </w:r>
    </w:p>
    <w:p w14:paraId="20676086" w14:textId="77777777" w:rsidR="00E5295E" w:rsidRPr="00116F45" w:rsidRDefault="00E5295E" w:rsidP="00E5295E">
      <w:pPr>
        <w:ind w:firstLine="1304"/>
        <w:rPr>
          <w:rFonts w:cs="Times New Roman"/>
          <w:szCs w:val="24"/>
          <w:lang w:val="en-GB"/>
        </w:rPr>
      </w:pPr>
      <w:r w:rsidRPr="00116F45">
        <w:rPr>
          <w:rFonts w:cs="Times New Roman"/>
          <w:szCs w:val="24"/>
          <w:lang w:val="en-GB"/>
        </w:rPr>
        <w:t xml:space="preserve">There was no suspicion of nonproportionality, influence of outliers, or non-linearity of continuous covariates when checking cox proportional hazards assumptions. The analyses included checking for proportionality of hazards, linearity of effects, and absence of influential observations by plotting </w:t>
      </w:r>
      <w:bookmarkStart w:id="8" w:name="_Hlk110509318"/>
      <w:r w:rsidRPr="00116F45">
        <w:rPr>
          <w:rFonts w:cs="Times New Roman"/>
          <w:szCs w:val="24"/>
          <w:lang w:val="en-GB"/>
        </w:rPr>
        <w:t xml:space="preserve">–ln(-ln[survival]) versus </w:t>
      </w:r>
      <w:proofErr w:type="gramStart"/>
      <w:r w:rsidRPr="00116F45">
        <w:rPr>
          <w:rFonts w:cs="Times New Roman"/>
          <w:szCs w:val="24"/>
          <w:lang w:val="en-GB"/>
        </w:rPr>
        <w:t>ln(</w:t>
      </w:r>
      <w:proofErr w:type="gramEnd"/>
      <w:r w:rsidRPr="00116F45">
        <w:rPr>
          <w:rFonts w:cs="Times New Roman"/>
          <w:szCs w:val="24"/>
          <w:lang w:val="en-GB"/>
        </w:rPr>
        <w:t>analysis time)</w:t>
      </w:r>
      <w:bookmarkEnd w:id="8"/>
      <w:r w:rsidRPr="00116F45">
        <w:rPr>
          <w:rFonts w:cs="Times New Roman"/>
          <w:szCs w:val="24"/>
          <w:lang w:val="en-GB"/>
        </w:rPr>
        <w:t xml:space="preserve">, by Martingale residuals, and by deviance residuals, respectively. </w:t>
      </w:r>
    </w:p>
    <w:p w14:paraId="58C229CA" w14:textId="33828C99" w:rsidR="00604F94" w:rsidRPr="00116F45" w:rsidRDefault="00E5295E" w:rsidP="00080A00">
      <w:pPr>
        <w:ind w:firstLine="1304"/>
        <w:rPr>
          <w:rFonts w:cs="Times New Roman"/>
          <w:szCs w:val="24"/>
          <w:lang w:val="en-GB"/>
        </w:rPr>
      </w:pPr>
      <w:r w:rsidRPr="00116F45">
        <w:rPr>
          <w:rFonts w:cs="Times New Roman"/>
          <w:szCs w:val="24"/>
          <w:lang w:val="en-GB"/>
        </w:rPr>
        <w:t>To examine interactions between diet groups and each covariate on risk of non-Alzheimer’s dementia, we categorized each covariate into two groups.</w:t>
      </w:r>
      <w:r w:rsidR="00080A00">
        <w:rPr>
          <w:rFonts w:cs="Times New Roman"/>
          <w:szCs w:val="24"/>
          <w:lang w:val="en-GB"/>
        </w:rPr>
        <w:t xml:space="preserve"> We tested for i</w:t>
      </w:r>
      <w:r w:rsidRPr="00116F45">
        <w:rPr>
          <w:rFonts w:cs="Times New Roman"/>
          <w:szCs w:val="24"/>
          <w:lang w:val="en-GB"/>
        </w:rPr>
        <w:t xml:space="preserve">nteractions </w:t>
      </w:r>
      <w:r w:rsidR="00080A00">
        <w:rPr>
          <w:rFonts w:cs="Times New Roman"/>
          <w:szCs w:val="24"/>
          <w:lang w:val="en-GB"/>
        </w:rPr>
        <w:t>by using</w:t>
      </w:r>
      <w:r w:rsidRPr="00116F45">
        <w:rPr>
          <w:rFonts w:cs="Times New Roman"/>
          <w:szCs w:val="24"/>
          <w:lang w:val="en-GB"/>
        </w:rPr>
        <w:t xml:space="preserve"> an interaction term (diet group x covariate in two groups) in a model adjusted for age, sex, income, and education. P-values for interactions were by likelihood-ratio test comparing the model with and without the interaction term. Hazard ratios (HRs) per one unit increase in non-adherence to dietary guidelines were calculated using Cox proportional hazards regression models and </w:t>
      </w:r>
      <w:r w:rsidR="0090093E">
        <w:rPr>
          <w:rFonts w:cs="Times New Roman"/>
          <w:szCs w:val="24"/>
          <w:lang w:val="en-GB"/>
        </w:rPr>
        <w:t>shown</w:t>
      </w:r>
      <w:r w:rsidRPr="00116F45">
        <w:rPr>
          <w:rFonts w:cs="Times New Roman"/>
          <w:szCs w:val="24"/>
          <w:lang w:val="en-GB"/>
        </w:rPr>
        <w:t xml:space="preserve"> for each group of the potentially interacting covariate.</w:t>
      </w:r>
      <w:bookmarkEnd w:id="7"/>
    </w:p>
    <w:p w14:paraId="08225E5C" w14:textId="77777777" w:rsidR="00604F94" w:rsidRPr="00116F45" w:rsidRDefault="00604F94">
      <w:pPr>
        <w:spacing w:after="160" w:line="259" w:lineRule="auto"/>
        <w:rPr>
          <w:rFonts w:cs="Times New Roman"/>
          <w:szCs w:val="24"/>
          <w:lang w:val="en-GB"/>
        </w:rPr>
      </w:pPr>
      <w:r w:rsidRPr="00116F45">
        <w:rPr>
          <w:rFonts w:cs="Times New Roman"/>
          <w:szCs w:val="24"/>
          <w:lang w:val="en-GB"/>
        </w:rPr>
        <w:br w:type="page"/>
      </w:r>
    </w:p>
    <w:p w14:paraId="279B116D" w14:textId="34085909" w:rsidR="00E5295E" w:rsidRPr="00116F45" w:rsidRDefault="00604F94" w:rsidP="00604F94">
      <w:pPr>
        <w:pStyle w:val="Heading1"/>
        <w:rPr>
          <w:lang w:val="en-US"/>
        </w:rPr>
      </w:pPr>
      <w:bookmarkStart w:id="9" w:name="_Toc110945220"/>
      <w:r w:rsidRPr="00116F45">
        <w:rPr>
          <w:lang w:val="en-US"/>
        </w:rPr>
        <w:t>Results</w:t>
      </w:r>
      <w:bookmarkEnd w:id="9"/>
    </w:p>
    <w:p w14:paraId="25BD5BA6" w14:textId="030EEDD6" w:rsidR="00604F94" w:rsidRPr="00116F45" w:rsidRDefault="00604F94" w:rsidP="00604F94">
      <w:pPr>
        <w:rPr>
          <w:bCs/>
          <w:lang w:val="en-GB"/>
        </w:rPr>
      </w:pPr>
      <w:r w:rsidRPr="00116F45">
        <w:rPr>
          <w:lang w:val="en-GB"/>
        </w:rPr>
        <w:t xml:space="preserve">Two thousand eighty-six individuals developed any type of dementia including 701 non-Alzheimer’s dementia cases and 1,385 Alzheimer’s disease cases. </w:t>
      </w:r>
      <w:r w:rsidRPr="00116F45">
        <w:rPr>
          <w:bCs/>
          <w:lang w:val="en-GB"/>
        </w:rPr>
        <w:t>Follow-up time began at study inclusion and ended at occurrence of event, death (n=9,159), emigration (n=388) or on 13 December 2018. Median follow-up time was 9</w:t>
      </w:r>
      <w:r w:rsidRPr="00116F45">
        <w:rPr>
          <w:lang w:val="en-GB"/>
        </w:rPr>
        <w:t>.</w:t>
      </w:r>
      <w:r w:rsidRPr="00116F45">
        <w:rPr>
          <w:bCs/>
          <w:lang w:val="en-GB"/>
        </w:rPr>
        <w:t xml:space="preserve">0 years (range = &lt;1–15 years) for any dementia. No individuals were lost to follow-up because of the complete Danish registries. </w:t>
      </w:r>
    </w:p>
    <w:p w14:paraId="618101AB" w14:textId="039D0962" w:rsidR="00604F94" w:rsidRPr="00116F45" w:rsidRDefault="00604F94" w:rsidP="00604F94">
      <w:pPr>
        <w:rPr>
          <w:bCs/>
          <w:lang w:val="en-GB"/>
        </w:rPr>
      </w:pPr>
    </w:p>
    <w:p w14:paraId="3A7DA6BB" w14:textId="0C2A2885" w:rsidR="005A61CE" w:rsidRPr="00116F45" w:rsidRDefault="005A61CE" w:rsidP="005A61CE">
      <w:pPr>
        <w:pStyle w:val="Heading1"/>
        <w:rPr>
          <w:lang w:val="en-GB"/>
        </w:rPr>
      </w:pPr>
      <w:bookmarkStart w:id="10" w:name="_Toc110945221"/>
      <w:r w:rsidRPr="00116F45">
        <w:rPr>
          <w:lang w:val="en-GB"/>
        </w:rPr>
        <w:t>Discussion</w:t>
      </w:r>
      <w:bookmarkEnd w:id="10"/>
    </w:p>
    <w:p w14:paraId="2F5931BC" w14:textId="7C5B7536" w:rsidR="005A61CE" w:rsidRPr="00116F45" w:rsidRDefault="005A61CE" w:rsidP="005A61CE">
      <w:pPr>
        <w:rPr>
          <w:szCs w:val="24"/>
          <w:lang w:val="en-GB"/>
        </w:rPr>
      </w:pPr>
      <w:r w:rsidRPr="00116F45">
        <w:rPr>
          <w:rFonts w:cs="Times New Roman"/>
          <w:szCs w:val="24"/>
          <w:lang w:val="en-GB"/>
        </w:rPr>
        <w:t xml:space="preserve">Strengths of the present study </w:t>
      </w:r>
      <w:r w:rsidR="0090093E">
        <w:rPr>
          <w:rFonts w:cs="Times New Roman"/>
          <w:szCs w:val="24"/>
          <w:lang w:val="en-GB"/>
        </w:rPr>
        <w:t>encompass</w:t>
      </w:r>
      <w:r w:rsidRPr="00116F45">
        <w:rPr>
          <w:rFonts w:cs="Times New Roman"/>
          <w:szCs w:val="24"/>
          <w:lang w:val="en-GB"/>
        </w:rPr>
        <w:t xml:space="preserve"> the large </w:t>
      </w:r>
      <w:r w:rsidR="0090093E">
        <w:rPr>
          <w:rFonts w:cs="Times New Roman"/>
          <w:szCs w:val="24"/>
          <w:lang w:val="en-GB"/>
        </w:rPr>
        <w:t>cohort</w:t>
      </w:r>
      <w:r w:rsidRPr="00116F45">
        <w:rPr>
          <w:rFonts w:cs="Times New Roman"/>
          <w:szCs w:val="24"/>
          <w:lang w:val="en-GB"/>
        </w:rPr>
        <w:t xml:space="preserve"> size and prospective design </w:t>
      </w:r>
      <w:r w:rsidR="0090093E">
        <w:rPr>
          <w:rFonts w:cs="Times New Roman"/>
          <w:szCs w:val="24"/>
          <w:lang w:val="en-GB"/>
        </w:rPr>
        <w:t>where</w:t>
      </w:r>
      <w:r w:rsidRPr="00116F45">
        <w:rPr>
          <w:rFonts w:cs="Times New Roman"/>
          <w:szCs w:val="24"/>
          <w:lang w:val="en-GB"/>
        </w:rPr>
        <w:t xml:space="preserve"> dietary assessment and biochemi</w:t>
      </w:r>
      <w:r w:rsidR="0090093E">
        <w:rPr>
          <w:rFonts w:cs="Times New Roman"/>
          <w:szCs w:val="24"/>
          <w:lang w:val="en-GB"/>
        </w:rPr>
        <w:t>cal analyses</w:t>
      </w:r>
      <w:r w:rsidRPr="00116F45">
        <w:rPr>
          <w:rFonts w:cs="Times New Roman"/>
          <w:szCs w:val="24"/>
          <w:lang w:val="en-GB"/>
        </w:rPr>
        <w:t xml:space="preserve"> </w:t>
      </w:r>
      <w:r w:rsidR="0090093E">
        <w:rPr>
          <w:rFonts w:cs="Times New Roman"/>
          <w:szCs w:val="24"/>
          <w:lang w:val="en-GB"/>
        </w:rPr>
        <w:t>precede</w:t>
      </w:r>
      <w:r w:rsidRPr="00116F45">
        <w:rPr>
          <w:rFonts w:cs="Times New Roman"/>
          <w:szCs w:val="24"/>
          <w:lang w:val="en-GB"/>
        </w:rPr>
        <w:t xml:space="preserve"> a clinical diagnosis of dementia. Further, the Danish registries ensure</w:t>
      </w:r>
      <w:r w:rsidR="00854F47">
        <w:rPr>
          <w:rFonts w:cs="Times New Roman"/>
          <w:szCs w:val="24"/>
          <w:lang w:val="en-GB"/>
        </w:rPr>
        <w:t>s</w:t>
      </w:r>
      <w:r w:rsidR="008770B6">
        <w:rPr>
          <w:rFonts w:cs="Times New Roman"/>
          <w:szCs w:val="24"/>
          <w:lang w:val="en-GB"/>
        </w:rPr>
        <w:t xml:space="preserve"> no losses to</w:t>
      </w:r>
      <w:r w:rsidRPr="00116F45">
        <w:rPr>
          <w:rFonts w:cs="Times New Roman"/>
          <w:szCs w:val="24"/>
          <w:lang w:val="en-GB"/>
        </w:rPr>
        <w:t xml:space="preserve"> follow-up and </w:t>
      </w:r>
      <w:r w:rsidR="008770B6">
        <w:rPr>
          <w:rFonts w:cs="Times New Roman"/>
          <w:szCs w:val="24"/>
          <w:lang w:val="en-GB"/>
        </w:rPr>
        <w:t>full</w:t>
      </w:r>
      <w:r w:rsidRPr="00116F45">
        <w:rPr>
          <w:rFonts w:cs="Times New Roman"/>
          <w:szCs w:val="24"/>
          <w:lang w:val="en-GB"/>
        </w:rPr>
        <w:t xml:space="preserve"> information on death</w:t>
      </w:r>
      <w:r w:rsidR="008770B6">
        <w:rPr>
          <w:rFonts w:cs="Times New Roman"/>
          <w:szCs w:val="24"/>
          <w:lang w:val="en-GB"/>
        </w:rPr>
        <w:t>s</w:t>
      </w:r>
      <w:r w:rsidRPr="00116F45">
        <w:rPr>
          <w:rFonts w:cs="Times New Roman"/>
          <w:szCs w:val="24"/>
          <w:lang w:val="en-GB"/>
        </w:rPr>
        <w:t xml:space="preserve"> and emigration</w:t>
      </w:r>
      <w:r w:rsidR="008770B6">
        <w:rPr>
          <w:rFonts w:cs="Times New Roman"/>
          <w:szCs w:val="24"/>
          <w:lang w:val="en-GB"/>
        </w:rPr>
        <w:t>s</w:t>
      </w:r>
      <w:r w:rsidRPr="00116F45">
        <w:rPr>
          <w:rFonts w:cs="Times New Roman"/>
          <w:szCs w:val="24"/>
          <w:lang w:val="en-GB"/>
        </w:rPr>
        <w:t xml:space="preserve">. Additionally, the </w:t>
      </w:r>
      <w:r w:rsidRPr="00116F45">
        <w:rPr>
          <w:szCs w:val="24"/>
          <w:lang w:val="en-GB"/>
        </w:rPr>
        <w:t xml:space="preserve">food frequency questionnaire has previously been validated, </w:t>
      </w:r>
      <w:r w:rsidRPr="00116F45">
        <w:rPr>
          <w:szCs w:val="24"/>
        </w:rPr>
        <w:fldChar w:fldCharType="begin" w:fldLock="1"/>
      </w:r>
      <w:r w:rsidRPr="00116F45">
        <w:rPr>
          <w:szCs w:val="24"/>
          <w:lang w:val="en-GB"/>
        </w:rPr>
        <w:instrText>ADDIN CSL_CITATION {"citationItems":[{"id":"ITEM-1","itemData":{"DOI":"10.1177/2047487320937491","ISBN":"427.09427.11","ISSN":"20474881","PMID":"32646303","abstract":"Aims: The relevance of adherence to established dietary guidelines is repeatedly challenged. We hypothesised that non-adherence to established dietary guidelines is associated with an excess risk of cardiovascular, non-cardiovascular and all-cause mortality. Methods: We studied 100,191 white adult Danes aged 20-100 years recruited in 2003-2015 and followed up until December 2018. During follow-up equalling 865,600 person-years, 9273 individuals died. Participants' diets were assessed at baseline by a food frequency questionnaire focusing on key foods defining a healthy diet according to Danish dietary guidelines. Individuals were divided into five categories ranging from very high to very low adherence to dietary guidelines and studied with Cox and Fine-Gray regression models. At study inclusion, we collected demographic and lifestyle characteristics by questionnaire, made a physical examination and took a blood sample. Results: Cardiovascular, non-cardiovascular and all-cause mortality increased gradually with increasing non-adherence to dietary guidelines. Cardiovascular mortality was 30% higher (95% confidence interval 7-57%), non-cardiovascular mortality 54% higher (32-79%) and all-cause mortality 43% higher (29-59%) in individuals with very low adherence to dietary guidelines compared with those with very high adherence after adjustments for age, sex, education, income, smoking, leisure time physical activity and alcohol intake. Mortality risk estimates were similar in all strata of adjusted variables. Conclusion: Non-adherence to Danish food-based dietary guidelines is associated with up to 43% increased all-cause mortality in a dose-response manner. The mortality excess was seen for both cardiovascular and non-cardiovascular causes. The public has good reasons to have confidence in and to adhere to established dietary guidelines.","author":[{"dropping-particle":"","family":"Ewers","given":"Bettina","non-dropping-particle":"","parse-names":false,"suffix":""},{"dropping-particle":"","family":"Marott","given":"Jacob L.","non-dropping-particle":"","parse-names":false,"suffix":""},{"dropping-particle":"","family":"Schnohr","given":"Peter","non-dropping-particle":"","parse-names":false,"suffix":""},{"dropping-particle":"","family":"Nordestgaard","given":"Borge G.","non-dropping-particle":"","parse-names":false,"suffix":""},{"dropping-particle":"","family":"Marckmann","given":"Peter","non-dropping-particle":"","parse-names":false,"suffix":""}],"container-title":"European Journal of Preventive Cardiology","id":"ITEM-1","issue":"11","issued":{"date-parts":[["2021"]]},"page":"1259-1268","title":"Non-adherence to established dietary guidelines associated with increased mortality: The Copenhagen General Population Study","type":"article-journal","volume":"28"},"uris":["http://www.mendeley.com/documents/?uuid=fa6423ae-b43c-3d76-aaf9-b6a2db5df6b0"]}],"mendeley":{"formattedCitation":"(Ewers &lt;i&gt;et al.&lt;/i&gt;, 2021)","plainTextFormattedCitation":"(Ewers et al., 2021)","previouslyFormattedCitation":"(Ewers &lt;i&gt;et al.&lt;/i&gt;, 2021)"},"properties":{"noteIndex":0},"schema":"https://github.com/citation-style-language/schema/raw/master/csl-citation.json"}</w:instrText>
      </w:r>
      <w:r w:rsidRPr="00116F45">
        <w:rPr>
          <w:szCs w:val="24"/>
        </w:rPr>
        <w:fldChar w:fldCharType="separate"/>
      </w:r>
      <w:r w:rsidRPr="00116F45">
        <w:rPr>
          <w:noProof/>
          <w:szCs w:val="24"/>
          <w:lang w:val="en-GB"/>
        </w:rPr>
        <w:t xml:space="preserve">(Ewers </w:t>
      </w:r>
      <w:r w:rsidRPr="00116F45">
        <w:rPr>
          <w:i/>
          <w:noProof/>
          <w:szCs w:val="24"/>
          <w:lang w:val="en-GB"/>
        </w:rPr>
        <w:t>et al.</w:t>
      </w:r>
      <w:r w:rsidRPr="00116F45">
        <w:rPr>
          <w:noProof/>
          <w:szCs w:val="24"/>
          <w:lang w:val="en-GB"/>
        </w:rPr>
        <w:t>, 2021)</w:t>
      </w:r>
      <w:r w:rsidRPr="00116F45">
        <w:rPr>
          <w:szCs w:val="24"/>
        </w:rPr>
        <w:fldChar w:fldCharType="end"/>
      </w:r>
      <w:r w:rsidRPr="00116F45">
        <w:rPr>
          <w:szCs w:val="24"/>
          <w:lang w:val="en-GB"/>
        </w:rPr>
        <w:t xml:space="preserve"> and we now repeat and confirm this on updated endpoints and in larger dietary categories underscoring the robustness of the dietary exposure instrument.</w:t>
      </w:r>
      <w:r w:rsidRPr="00116F45">
        <w:rPr>
          <w:rFonts w:cs="Times New Roman"/>
          <w:szCs w:val="24"/>
          <w:lang w:val="en-GB"/>
        </w:rPr>
        <w:t xml:space="preserve"> This enables us to use it as a powerful instrument similar to standardized diets such as the Mediterranean diet, the DASH, or the MIND </w:t>
      </w:r>
      <w:r w:rsidRPr="00116F45">
        <w:rPr>
          <w:rFonts w:cs="Times New Roman"/>
          <w:bCs/>
          <w:szCs w:val="24"/>
        </w:rPr>
        <w:fldChar w:fldCharType="begin" w:fldLock="1"/>
      </w:r>
      <w:r w:rsidRPr="00116F45">
        <w:rPr>
          <w:rFonts w:cs="Times New Roman"/>
          <w:bCs/>
          <w:szCs w:val="24"/>
          <w:lang w:val="en-GB"/>
        </w:rPr>
        <w:instrText>ADDIN CSL_CITATION {"citationItems":[{"id":"ITEM-1","itemData":{"DOI":"10.1016/j.phrs.2018.03.012","ISSN":"10961186","PMID":"29555333","abstract":"Ample epidemiological evidence suggests a strong correlation among diet, lifestyle factors and the onset and consolidation of dementia and Alzheimer's disease (AD). It has been demonstrated that AD, diabetes, obesity, insulin resistance, and cardiovascular disease are strongly interconnected pathologies. Preventive strategies and nutritional interventions seem to be promising approaches to delay neurocognitive decline and reduce the risk of AD and other non-psychiatric co-morbidities. In this regard, healthy dietary patterns, characterized by high intake of plant-based foods, probiotics, antioxidants, soy beans, nuts, and omega-3 polyunsaturated fatty acids, and a low intake of saturated fats, animal-derived proteins, and refined sugars, have been shown to decrease the risk of neurocognitive impairments and eventually the onset of AD. Here we review the role of some nutrients and, in particular, of healthy dietary patterns, such as the Mediterranean diet and other emerging healthy diets, DASH (Dietary Approach to Stop Hypertension) and MIND (Mediterranean-DASH dietIntervention for Neurodegenerative Delay), for the maintenance of cognitive performance, focusing specifically on human studies. The beneficial effects associated with overall diet composition, rather than single nutrient supplementations, for the prevention or the delay of AD and dementia are discussed.","author":[{"dropping-particle":"","family":"Pistollato","given":"Francesca","non-dropping-particle":"","parse-names":false,"suffix":""},{"dropping-particle":"","family":"Iglesias","given":"Ruben Calderón","non-dropping-particle":"","parse-names":false,"suffix":""},{"dropping-particle":"","family":"Ruiz","given":"Roberto","non-dropping-particle":"","parse-names":false,"suffix":""},{"dropping-particle":"","family":"Aparicio","given":"Silvia","non-dropping-particle":"","parse-names":false,"suffix":""},{"dropping-particle":"","family":"Crespo","given":"Jorge","non-dropping-particle":"","parse-names":false,"suffix":""},{"dropping-particle":"","family":"Lopez","given":"Luis Dzul","non-dropping-particle":"","parse-names":false,"suffix":""},{"dropping-particle":"","family":"Manna","given":"Piera Pia","non-dropping-particle":"","parse-names":false,"suffix":""},{"dropping-particle":"","family":"Giampieri","given":"Francesca","non-dropping-particle":"","parse-names":false,"suffix":""},{"dropping-particle":"","family":"Battino","given":"Maurizio","non-dropping-particle":"","parse-names":false,"suffix":""}],"container-title":"Pharmacological Research","id":"ITEM-1","issued":{"date-parts":[["2018"]]},"page":"32-43","publisher":"Elsevier","title":"Nutritional patterns associated with the maintenance of neurocognitive functions and the risk of dementia and Alzheimer's disease: A focus on human studies","type":"article-journal","volume":"131"},"uris":["http://www.mendeley.com/documents/?uuid=2a157c46-3890-41a7-85cf-5462c649fe5e"]}],"mendeley":{"formattedCitation":"(Pistollato &lt;i&gt;et al.&lt;/i&gt;, 2018)","plainTextFormattedCitation":"(Pistollato et al., 2018)","previouslyFormattedCitation":"(Pistollato &lt;i&gt;et al.&lt;/i&gt;, 2018)"},"properties":{"noteIndex":0},"schema":"https://github.com/citation-style-language/schema/raw/master/csl-citation.json"}</w:instrText>
      </w:r>
      <w:r w:rsidRPr="00116F45">
        <w:rPr>
          <w:rFonts w:cs="Times New Roman"/>
          <w:bCs/>
          <w:szCs w:val="24"/>
        </w:rPr>
        <w:fldChar w:fldCharType="separate"/>
      </w:r>
      <w:r w:rsidRPr="00116F45">
        <w:rPr>
          <w:rFonts w:cs="Times New Roman"/>
          <w:bCs/>
          <w:noProof/>
          <w:szCs w:val="24"/>
          <w:lang w:val="en-GB"/>
        </w:rPr>
        <w:t xml:space="preserve">(Pistollato </w:t>
      </w:r>
      <w:r w:rsidRPr="00116F45">
        <w:rPr>
          <w:rFonts w:cs="Times New Roman"/>
          <w:bCs/>
          <w:i/>
          <w:noProof/>
          <w:szCs w:val="24"/>
          <w:lang w:val="en-GB"/>
        </w:rPr>
        <w:t>et al.</w:t>
      </w:r>
      <w:r w:rsidRPr="00116F45">
        <w:rPr>
          <w:rFonts w:cs="Times New Roman"/>
          <w:bCs/>
          <w:noProof/>
          <w:szCs w:val="24"/>
          <w:lang w:val="en-GB"/>
        </w:rPr>
        <w:t>, 2018)</w:t>
      </w:r>
      <w:r w:rsidRPr="00116F45">
        <w:rPr>
          <w:rFonts w:cs="Times New Roman"/>
          <w:bCs/>
          <w:szCs w:val="24"/>
        </w:rPr>
        <w:fldChar w:fldCharType="end"/>
      </w:r>
      <w:r w:rsidRPr="00116F45">
        <w:rPr>
          <w:rFonts w:cs="Times New Roman"/>
          <w:bCs/>
          <w:szCs w:val="24"/>
          <w:lang w:val="en-GB"/>
        </w:rPr>
        <w:t>.</w:t>
      </w:r>
      <w:r w:rsidRPr="00116F45">
        <w:rPr>
          <w:rFonts w:cs="Times New Roman"/>
          <w:szCs w:val="24"/>
          <w:lang w:val="en-GB"/>
        </w:rPr>
        <w:t xml:space="preserve"> Our approach focused on very similar dietary aspects as these regimes. The dietary assessment in our study was simple and focused only on the most important issues of food-based dietary guidelines ensuring feasibility. </w:t>
      </w:r>
      <w:r w:rsidRPr="00116F45">
        <w:rPr>
          <w:szCs w:val="24"/>
          <w:lang w:val="en-GB"/>
        </w:rPr>
        <w:t xml:space="preserve">Finally, the core clinical criteria for Alzheimer’s disease have provided solid diagnostic accuracy in most patients, </w:t>
      </w:r>
      <w:r w:rsidRPr="00116F45">
        <w:rPr>
          <w:szCs w:val="24"/>
        </w:rPr>
        <w:fldChar w:fldCharType="begin" w:fldLock="1"/>
      </w:r>
      <w:r w:rsidRPr="00116F45">
        <w:rPr>
          <w:szCs w:val="24"/>
          <w:lang w:val="en-GB"/>
        </w:rPr>
        <w:instrText>ADDIN CSL_CITATION {"citationItems":[{"id":"ITEM-1","itemData":{"DOI":"10.1016/j.jalz.2011.03.005.The","ISBN":"1552-5279 (Electronic)\\n1552-5260 (Linking)","ISSN":"1552-5279","PMID":"21514250","abstract":"The National Institute on Aging and the Alzheimer’s Association charged a workgroup with the task of revising the 1984 criteria for Alzheimer’s disease (AD) dementia. The workgroup sought to ensure that the revised criteria would be flexible enough to be used by both general healthcare providers without access to neuropsychological testing, advanced imaging, and cerebrospinal fluid measures, and specialized investigators involved in research or in clinical trial studies who would have these tools available. We present criteria for all-cause dementia and for AD dementia. We retained the general framework of probable AD dementia from the 1984 criteria. On the basis of the past 27 years of experience, we made several changes in the clinical criteria for the diagnosis. We also retained the term possible AD dementia, but redefined it in a manner more focused than before. Bio-marker evidence was also integrated into the diagnostic formulations for probable and possible AD dementia for use in research settings. The core clinical criteria for AD dementia will continue to be the cornerstone of the diagnosis in clinical practice, but biomarker evidence is expected to enhance the pathophysiological specificity of the diagnosis of AD dementia. Much work lies ahead for validating the biomarker diagnosis of AD dementia.","author":[{"dropping-particle":"","family":"McKhann","given":"G","non-dropping-particle":"","parse-names":false,"suffix":""},{"dropping-particle":"","family":"Knopman","given":"David S","non-dropping-particle":"","parse-names":false,"suffix":""},{"dropping-particle":"","family":"Chertkow","given":"H","non-dropping-particle":"","parse-names":false,"suffix":""},{"dropping-particle":"","family":"Hymann","given":"B","non-dropping-particle":"","parse-names":false,"suffix":""},{"dropping-particle":"","family":"Jack","given":"Clifford R","non-dropping-particle":"","parse-names":false,"suffix":""},{"dropping-particle":"","family":"Kawas","given":"C","non-dropping-particle":"","parse-names":false,"suffix":""},{"dropping-particle":"","family":"Klunk","given":"W","non-dropping-particle":"","parse-names":false,"suffix":""},{"dropping-particle":"","family":"Koroshetz","given":"W","non-dropping-particle":"","parse-names":false,"suffix":""},{"dropping-particle":"","family":"Manly","given":"Jennifer","non-dropping-particle":"","parse-names":false,"suffix":""},{"dropping-particle":"","family":"Mayeux","given":"Richard","non-dropping-particle":"","parse-names":false,"suffix":""},{"dropping-particle":"","family":"Mohs","given":"R","non-dropping-particle":"","parse-names":false,"suffix":""},{"dropping-particle":"","family":"Morris","given":"J","non-dropping-particle":"","parse-names":false,"suffix":""},{"dropping-particle":"","family":"Rossor","given":"M","non-dropping-particle":"","parse-names":false,"suffix":""},{"dropping-particle":"","family":"Scheltens","given":"P","non-dropping-particle":"","parse-names":false,"suffix":""},{"dropping-particle":"","family":"Carrillo","given":"M","non-dropping-particle":"","parse-names":false,"suffix":""},{"dropping-particle":"","family":"Weintrub","given":"S","non-dropping-particle":"","parse-names":false,"suffix":""},{"dropping-particle":"","family":"Phelphs","given":"C","non-dropping-particle":"","parse-names":false,"suffix":""}],"container-title":"Alzheimer's &amp; Dementia","id":"ITEM-1","issue":"3","issued":{"date-parts":[["2011"]]},"page":"263-269","title":"The diagnosis of dementia due to Alzheimer’s disease: Recommendations from the National Institute on Aging-Alzheimer’s Association workgroups on diagnostic guidelines for Alzheimer’s disease","type":"article-journal","volume":"7"},"uris":["http://www.mendeley.com/documents/?uuid=397d546e-3d9e-4efd-83a7-1f51cec13c21"]}],"mendeley":{"formattedCitation":"(McKhann &lt;i&gt;et al.&lt;/i&gt;, 2011)","plainTextFormattedCitation":"(McKhann et al., 2011)","previouslyFormattedCitation":"(McKhann &lt;i&gt;et al.&lt;/i&gt;, 2011)"},"properties":{"noteIndex":0},"schema":"https://github.com/citation-style-language/schema/raw/master/csl-citation.json"}</w:instrText>
      </w:r>
      <w:r w:rsidRPr="00116F45">
        <w:rPr>
          <w:szCs w:val="24"/>
        </w:rPr>
        <w:fldChar w:fldCharType="separate"/>
      </w:r>
      <w:r w:rsidRPr="00116F45">
        <w:rPr>
          <w:noProof/>
          <w:szCs w:val="24"/>
          <w:lang w:val="en-GB"/>
        </w:rPr>
        <w:t xml:space="preserve">(McKhann </w:t>
      </w:r>
      <w:r w:rsidRPr="00116F45">
        <w:rPr>
          <w:i/>
          <w:noProof/>
          <w:szCs w:val="24"/>
          <w:lang w:val="en-GB"/>
        </w:rPr>
        <w:t>et al.</w:t>
      </w:r>
      <w:r w:rsidRPr="00116F45">
        <w:rPr>
          <w:noProof/>
          <w:szCs w:val="24"/>
          <w:lang w:val="en-GB"/>
        </w:rPr>
        <w:t>, 2011)</w:t>
      </w:r>
      <w:r w:rsidRPr="00116F45">
        <w:rPr>
          <w:szCs w:val="24"/>
        </w:rPr>
        <w:fldChar w:fldCharType="end"/>
      </w:r>
      <w:r w:rsidRPr="00116F45">
        <w:rPr>
          <w:szCs w:val="24"/>
          <w:lang w:val="en-GB"/>
        </w:rPr>
        <w:t xml:space="preserve"> and the quality of dementia diagnoses from the Danish registries have previously been validated </w:t>
      </w:r>
      <w:r w:rsidRPr="00116F45">
        <w:rPr>
          <w:szCs w:val="24"/>
        </w:rPr>
        <w:fldChar w:fldCharType="begin" w:fldLock="1"/>
      </w:r>
      <w:r w:rsidRPr="00116F45">
        <w:rPr>
          <w:szCs w:val="24"/>
          <w:lang w:val="en-GB"/>
        </w:rPr>
        <w:instrText>ADDIN CSL_CITATION {"citationItems":[{"id":"ITEM-1","itemData":{"DOI":"10.1159/000107084","ISBN":"1420-8008 (Print)\\r1420-8008 (Linking)","ISSN":"14208008","PMID":"17690555","abstract":"BACKGROUND:The validity of dementia diagnoses in the Danish nationwide hospital registers was evaluated to determine the value of these registers in epidemiological research about dementia. METHODS: Two hundred patients were randomly selected from 4,682 patients registered for the first time with a dementia diagnosis in the last 6 months of 2003. The patients' medical journals were reviewed to evaluate if they fulfilled ICD-10 and/or DSM-IV criteria for dementia and specific dementia subtypes. The patients who were still alive in 2006 were invited to an interview. RESULTS: One hundred and ninety-seven journals were available for review and 51 patients were interviewed. A registered diagnosis of dementia was found to be correct in 169 (85.8%) cases. Regarding dementia subtypes, the degree of agreement between the registers and the results of the validating process was low with a kappa of 0.36 (95% CI 0.24-0.48). CONCLUSION: The validity of dementia syndrome in the Danish hospital registers was high and allows for epidemiological studies about dementia. Alzheimer's disease, although underregistered, also had a good validity once the diagnosis was registered. In general, other ICD-10 dementia subtypes in the registers had a low validity and are less suitable for epidemiological research.","author":[{"dropping-particle":"","family":"Phung","given":"T. K T","non-dropping-particle":"","parse-names":false,"suffix":""},{"dropping-particle":"","family":"Andersen","given":"Birgitte B.","non-dropping-particle":"","parse-names":false,"suffix":""},{"dropping-particle":"","family":"Høgh","given":"Peter","non-dropping-particle":"","parse-names":false,"suffix":""},{"dropping-particle":"","family":"Kessing","given":"Lars Vedel","non-dropping-particle":"","parse-names":false,"suffix":""},{"dropping-particle":"","family":"Mortensen","given":"Preben B.","non-dropping-particle":"","parse-names":false,"suffix":""},{"dropping-particle":"","family":"Waldemar","given":"Gunhild","non-dropping-particle":"","parse-names":false,"suffix":""}],"container-title":"Dementia and Geriatric Cognitive Disorders","id":"ITEM-1","issue":"3","issued":{"date-parts":[["2007"]]},"page":"220-228","title":"Validity of dementia diagnoses in the Danish hospital registers","type":"article-journal","volume":"24"},"uris":["http://www.mendeley.com/documents/?uuid=bec29863-cbfe-438b-b737-d658580d6713"]}],"mendeley":{"formattedCitation":"(Phung &lt;i&gt;et al.&lt;/i&gt;, 2007)","plainTextFormattedCitation":"(Phung et al., 2007)","previouslyFormattedCitation":"(Phung &lt;i&gt;et al.&lt;/i&gt;, 2007)"},"properties":{"noteIndex":0},"schema":"https://github.com/citation-style-language/schema/raw/master/csl-citation.json"}</w:instrText>
      </w:r>
      <w:r w:rsidRPr="00116F45">
        <w:rPr>
          <w:szCs w:val="24"/>
        </w:rPr>
        <w:fldChar w:fldCharType="separate"/>
      </w:r>
      <w:r w:rsidRPr="00116F45">
        <w:rPr>
          <w:noProof/>
          <w:szCs w:val="24"/>
          <w:lang w:val="en-GB"/>
        </w:rPr>
        <w:t xml:space="preserve">(Phung </w:t>
      </w:r>
      <w:r w:rsidRPr="00116F45">
        <w:rPr>
          <w:i/>
          <w:noProof/>
          <w:szCs w:val="24"/>
          <w:lang w:val="en-GB"/>
        </w:rPr>
        <w:t>et al.</w:t>
      </w:r>
      <w:r w:rsidRPr="00116F45">
        <w:rPr>
          <w:noProof/>
          <w:szCs w:val="24"/>
          <w:lang w:val="en-GB"/>
        </w:rPr>
        <w:t>, 2007)</w:t>
      </w:r>
      <w:r w:rsidRPr="00116F45">
        <w:rPr>
          <w:szCs w:val="24"/>
        </w:rPr>
        <w:fldChar w:fldCharType="end"/>
      </w:r>
      <w:r w:rsidR="00170D28">
        <w:rPr>
          <w:szCs w:val="24"/>
        </w:rPr>
        <w:t>,</w:t>
      </w:r>
      <w:r w:rsidRPr="00116F45">
        <w:rPr>
          <w:szCs w:val="24"/>
          <w:lang w:val="en-GB"/>
        </w:rPr>
        <w:t xml:space="preserve"> with further validation in our study cohort by the presence of the recognised association with the </w:t>
      </w:r>
      <w:r w:rsidRPr="00116F45">
        <w:rPr>
          <w:i/>
          <w:szCs w:val="24"/>
          <w:lang w:val="en-GB"/>
        </w:rPr>
        <w:t>APOE</w:t>
      </w:r>
      <w:r w:rsidRPr="00116F45">
        <w:rPr>
          <w:szCs w:val="24"/>
          <w:lang w:val="en-GB"/>
        </w:rPr>
        <w:t xml:space="preserve"> ɛ4 allele </w:t>
      </w:r>
      <w:r w:rsidRPr="00116F45">
        <w:rPr>
          <w:szCs w:val="24"/>
        </w:rPr>
        <w:fldChar w:fldCharType="begin" w:fldLock="1"/>
      </w:r>
      <w:r w:rsidRPr="00116F45">
        <w:rPr>
          <w:szCs w:val="24"/>
          <w:lang w:val="en-GB"/>
        </w:rPr>
        <w:instrText>ADDIN CSL_CITATION {"citationItems":[{"id":"ITEM-1","itemData":{"DOI":"10.1002/ana.24326","ISSN":"15318249","PMID":"26937471","abstract":"Objective: The apolipoprotein E (APOE) e4 allele is a major genetic risk factor for Alzheimer disease and dementia. However, it remains unclear whether plasma levels of apoE confer additional risk. We tested this hypothesis. Methods: Using 75,708 participants from the general population, we tested whether low plasma levels of apoE at study enrollment were associated with increased risk of future Alzheimer disease and all dementia, and whether this association was independent of e2/e3/e4 APOE genotype. Results: Multifactorially adjusted hazard ratios (HRs) for Alzheimer disease and all dementia increased from the highest to the lowest apoE tertile (p for trends&lt;1 3 1026). Multifactorially adjusted HRs for lowest versus highest tertile were 2.68 (95% confidence interval [CI]52.04–3.52) and 1.80 (95% CI51.52–2.13) for Alzheimer disease and all dementia, respectively. After further adjustment for e2/e3/e4 APOE genotype, plasma apoE tertiles remained associated with Alz- heimer disease (p for trend50.007) and all dementia (p for trend50.04). Plasma apoE tertiles did not interact with e2/ e3/e4 APOE genotype on risk of Alzheimer disease (p50.53) or all dementia (p50.79). In a subanalysis, the 2219G&gt;T GT promoter genotype, associated with low plasma apoE levels, remained significantly associated with increased risk of Alzheimer disease after adjustment for e2/e3/e4 APOE genotype (HR51.56, 95% CI51.05–2.30). Interpretation: Low plasma levels of apoE are associated with increased risk of future Alzheimer disease and all dementia in the general population, independent of e2/e3/e4 APOE genotype. This is clinically relevant, because no plasma biomarkers are currently implemented. Hence, plasma levels of apoE may be a new, easily accessible preclini- cal biomarker.","author":[{"dropping-particle":"","family":"Rasmussen","given":"Katrine L.","non-dropping-particle":"","parse-names":false,"suffix":""},{"dropping-particle":"","family":"Tybjærg-Hansen","given":"Anne","non-dropping-particle":"","parse-names":false,"suffix":""},{"dropping-particle":"","family":"Nordestgaard","given":"Børge G.","non-dropping-particle":"","parse-names":false,"suffix":""},{"dropping-particle":"","family":"Frikke-Schmidt","given":"Ruth","non-dropping-particle":"","parse-names":false,"suffix":""}],"container-title":"Annals of Neurology","id":"ITEM-1","issue":"2","issued":{"date-parts":[["2015"]]},"note":"10.1002/ana.24326","page":"301-311","title":"Plasma levels of apolipoprotein E and risk of dementia in the general population","type":"article-journal","volume":"77"},"uris":["http://www.mendeley.com/documents/?uuid=b052a70d-3beb-49cd-8750-e6a2954e8090"]}],"mendeley":{"formattedCitation":"(Rasmussen &lt;i&gt;et al.&lt;/i&gt;, 2015)","plainTextFormattedCitation":"(Rasmussen et al., 2015)","previouslyFormattedCitation":"(Rasmussen &lt;i&gt;et al.&lt;/i&gt;, 2015)"},"properties":{"noteIndex":0},"schema":"https://github.com/citation-style-language/schema/raw/master/csl-citation.json"}</w:instrText>
      </w:r>
      <w:r w:rsidRPr="00116F45">
        <w:rPr>
          <w:szCs w:val="24"/>
        </w:rPr>
        <w:fldChar w:fldCharType="separate"/>
      </w:r>
      <w:r w:rsidRPr="00116F45">
        <w:rPr>
          <w:noProof/>
          <w:szCs w:val="24"/>
          <w:lang w:val="en-GB"/>
        </w:rPr>
        <w:t xml:space="preserve">(Rasmussen </w:t>
      </w:r>
      <w:r w:rsidRPr="00116F45">
        <w:rPr>
          <w:i/>
          <w:noProof/>
          <w:szCs w:val="24"/>
          <w:lang w:val="en-GB"/>
        </w:rPr>
        <w:t>et al.</w:t>
      </w:r>
      <w:r w:rsidRPr="00116F45">
        <w:rPr>
          <w:noProof/>
          <w:szCs w:val="24"/>
          <w:lang w:val="en-GB"/>
        </w:rPr>
        <w:t>, 2015)</w:t>
      </w:r>
      <w:r w:rsidRPr="00116F45">
        <w:rPr>
          <w:szCs w:val="24"/>
        </w:rPr>
        <w:fldChar w:fldCharType="end"/>
      </w:r>
      <w:r w:rsidRPr="00116F45">
        <w:rPr>
          <w:szCs w:val="24"/>
          <w:lang w:val="en-GB"/>
        </w:rPr>
        <w:t>.</w:t>
      </w:r>
    </w:p>
    <w:p w14:paraId="5A8A6E0F" w14:textId="77777777" w:rsidR="008770B6" w:rsidRDefault="008770B6">
      <w:pPr>
        <w:spacing w:after="160" w:line="259" w:lineRule="auto"/>
        <w:rPr>
          <w:rFonts w:eastAsiaTheme="majorEastAsia" w:cstheme="majorBidi"/>
          <w:b/>
          <w:sz w:val="28"/>
          <w:szCs w:val="32"/>
          <w:lang w:val="en-GB"/>
        </w:rPr>
      </w:pPr>
      <w:bookmarkStart w:id="11" w:name="_Toc110945222"/>
      <w:r>
        <w:rPr>
          <w:lang w:val="en-GB"/>
        </w:rPr>
        <w:br w:type="page"/>
      </w:r>
    </w:p>
    <w:p w14:paraId="4D212DD6" w14:textId="572FA99A" w:rsidR="00604F94" w:rsidRPr="00116F45" w:rsidRDefault="00604F94" w:rsidP="00604F94">
      <w:pPr>
        <w:pStyle w:val="Heading1"/>
        <w:rPr>
          <w:lang w:val="en-GB"/>
        </w:rPr>
      </w:pPr>
      <w:r w:rsidRPr="00116F45">
        <w:rPr>
          <w:lang w:val="en-GB"/>
        </w:rPr>
        <w:t>References</w:t>
      </w:r>
      <w:bookmarkEnd w:id="11"/>
    </w:p>
    <w:p w14:paraId="4E98D4B8" w14:textId="470EBE69" w:rsidR="00AF2DF0" w:rsidRPr="00AF2DF0" w:rsidRDefault="00604F94" w:rsidP="00AF2DF0">
      <w:pPr>
        <w:widowControl w:val="0"/>
        <w:autoSpaceDE w:val="0"/>
        <w:autoSpaceDN w:val="0"/>
        <w:adjustRightInd w:val="0"/>
        <w:rPr>
          <w:rFonts w:cs="Times New Roman"/>
          <w:noProof/>
          <w:szCs w:val="24"/>
          <w:lang w:val="en-GB"/>
        </w:rPr>
      </w:pPr>
      <w:r w:rsidRPr="00116F45">
        <w:rPr>
          <w:lang w:val="en-GB"/>
        </w:rPr>
        <w:fldChar w:fldCharType="begin" w:fldLock="1"/>
      </w:r>
      <w:r w:rsidRPr="00116F45">
        <w:rPr>
          <w:lang w:val="en-GB"/>
        </w:rPr>
        <w:instrText xml:space="preserve">ADDIN Mendeley Bibliography CSL_BIBLIOGRAPHY </w:instrText>
      </w:r>
      <w:r w:rsidRPr="00116F45">
        <w:rPr>
          <w:lang w:val="en-GB"/>
        </w:rPr>
        <w:fldChar w:fldCharType="separate"/>
      </w:r>
      <w:r w:rsidR="00AF2DF0" w:rsidRPr="00AF2DF0">
        <w:rPr>
          <w:rFonts w:cs="Times New Roman"/>
          <w:b/>
          <w:bCs/>
          <w:noProof/>
          <w:szCs w:val="24"/>
          <w:lang w:val="en-GB"/>
        </w:rPr>
        <w:t>Collins R</w:t>
      </w:r>
      <w:r w:rsidR="00AF2DF0" w:rsidRPr="00AF2DF0">
        <w:rPr>
          <w:rFonts w:cs="Times New Roman"/>
          <w:noProof/>
          <w:szCs w:val="24"/>
          <w:lang w:val="en-GB"/>
        </w:rPr>
        <w:t xml:space="preserve">, </w:t>
      </w:r>
      <w:r w:rsidR="00AF2DF0" w:rsidRPr="00AF2DF0">
        <w:rPr>
          <w:rFonts w:cs="Times New Roman"/>
          <w:b/>
          <w:bCs/>
          <w:noProof/>
          <w:szCs w:val="24"/>
          <w:lang w:val="en-GB"/>
        </w:rPr>
        <w:t>Armitage J</w:t>
      </w:r>
      <w:r w:rsidR="00AF2DF0" w:rsidRPr="00AF2DF0">
        <w:rPr>
          <w:rFonts w:cs="Times New Roman"/>
          <w:noProof/>
          <w:szCs w:val="24"/>
          <w:lang w:val="en-GB"/>
        </w:rPr>
        <w:t xml:space="preserve">, </w:t>
      </w:r>
      <w:r w:rsidR="00AF2DF0" w:rsidRPr="00AF2DF0">
        <w:rPr>
          <w:rFonts w:cs="Times New Roman"/>
          <w:b/>
          <w:bCs/>
          <w:noProof/>
          <w:szCs w:val="24"/>
          <w:lang w:val="en-GB"/>
        </w:rPr>
        <w:t>Parish S</w:t>
      </w:r>
      <w:r w:rsidR="00AF2DF0" w:rsidRPr="00AF2DF0">
        <w:rPr>
          <w:rFonts w:cs="Times New Roman"/>
          <w:noProof/>
          <w:szCs w:val="24"/>
          <w:lang w:val="en-GB"/>
        </w:rPr>
        <w:t xml:space="preserve">, </w:t>
      </w:r>
      <w:r w:rsidR="00AF2DF0" w:rsidRPr="00AF2DF0">
        <w:rPr>
          <w:rFonts w:cs="Times New Roman"/>
          <w:b/>
          <w:bCs/>
          <w:noProof/>
          <w:szCs w:val="24"/>
          <w:lang w:val="en-GB"/>
        </w:rPr>
        <w:t>Sleight P</w:t>
      </w:r>
      <w:r w:rsidR="00AF2DF0" w:rsidRPr="00AF2DF0">
        <w:rPr>
          <w:rFonts w:cs="Times New Roman"/>
          <w:noProof/>
          <w:szCs w:val="24"/>
          <w:lang w:val="en-GB"/>
        </w:rPr>
        <w:t xml:space="preserve"> and </w:t>
      </w:r>
      <w:r w:rsidR="00AF2DF0" w:rsidRPr="00AF2DF0">
        <w:rPr>
          <w:rFonts w:cs="Times New Roman"/>
          <w:b/>
          <w:bCs/>
          <w:noProof/>
          <w:szCs w:val="24"/>
          <w:lang w:val="en-GB"/>
        </w:rPr>
        <w:t>Peto R</w:t>
      </w:r>
      <w:r w:rsidR="00AF2DF0" w:rsidRPr="00AF2DF0">
        <w:rPr>
          <w:rFonts w:cs="Times New Roman"/>
          <w:noProof/>
          <w:szCs w:val="24"/>
          <w:lang w:val="en-GB"/>
        </w:rPr>
        <w:t xml:space="preserve"> (2002) MRC/BHF Heart Protection Study of cholesterol lowering with simvastatin in 20 536 high-risk individuals: A randomised placebo-controlled trial, </w:t>
      </w:r>
      <w:r w:rsidR="00AF2DF0" w:rsidRPr="00AF2DF0">
        <w:rPr>
          <w:rFonts w:cs="Times New Roman"/>
          <w:i/>
          <w:iCs/>
          <w:noProof/>
          <w:szCs w:val="24"/>
          <w:lang w:val="en-GB"/>
        </w:rPr>
        <w:t>The Lancet</w:t>
      </w:r>
      <w:r w:rsidR="00AF2DF0" w:rsidRPr="00AF2DF0">
        <w:rPr>
          <w:rFonts w:cs="Times New Roman"/>
          <w:noProof/>
          <w:szCs w:val="24"/>
          <w:lang w:val="en-GB"/>
        </w:rPr>
        <w:t xml:space="preserve"> </w:t>
      </w:r>
      <w:r w:rsidR="00AF2DF0" w:rsidRPr="00AF2DF0">
        <w:rPr>
          <w:rFonts w:cs="Times New Roman"/>
          <w:b/>
          <w:bCs/>
          <w:noProof/>
          <w:szCs w:val="24"/>
          <w:lang w:val="en-GB"/>
        </w:rPr>
        <w:t>360</w:t>
      </w:r>
      <w:r w:rsidR="00AF2DF0" w:rsidRPr="00AF2DF0">
        <w:rPr>
          <w:rFonts w:cs="Times New Roman"/>
          <w:noProof/>
          <w:szCs w:val="24"/>
          <w:lang w:val="en-GB"/>
        </w:rPr>
        <w:t>, 7–22.</w:t>
      </w:r>
    </w:p>
    <w:p w14:paraId="58256957"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Ewers B</w:t>
      </w:r>
      <w:r w:rsidRPr="00AF2DF0">
        <w:rPr>
          <w:rFonts w:cs="Times New Roman"/>
          <w:noProof/>
          <w:szCs w:val="24"/>
        </w:rPr>
        <w:t xml:space="preserve">, </w:t>
      </w:r>
      <w:r w:rsidRPr="00AF2DF0">
        <w:rPr>
          <w:rFonts w:cs="Times New Roman"/>
          <w:b/>
          <w:bCs/>
          <w:noProof/>
          <w:szCs w:val="24"/>
        </w:rPr>
        <w:t>Marott JL</w:t>
      </w:r>
      <w:r w:rsidRPr="00AF2DF0">
        <w:rPr>
          <w:rFonts w:cs="Times New Roman"/>
          <w:noProof/>
          <w:szCs w:val="24"/>
        </w:rPr>
        <w:t xml:space="preserve">, </w:t>
      </w:r>
      <w:r w:rsidRPr="00AF2DF0">
        <w:rPr>
          <w:rFonts w:cs="Times New Roman"/>
          <w:b/>
          <w:bCs/>
          <w:noProof/>
          <w:szCs w:val="24"/>
        </w:rPr>
        <w:t>Schnohr P</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and </w:t>
      </w:r>
      <w:r w:rsidRPr="00AF2DF0">
        <w:rPr>
          <w:rFonts w:cs="Times New Roman"/>
          <w:b/>
          <w:bCs/>
          <w:noProof/>
          <w:szCs w:val="24"/>
        </w:rPr>
        <w:t>Marckmann P</w:t>
      </w:r>
      <w:r w:rsidRPr="00AF2DF0">
        <w:rPr>
          <w:rFonts w:cs="Times New Roman"/>
          <w:noProof/>
          <w:szCs w:val="24"/>
        </w:rPr>
        <w:t xml:space="preserve"> (2021) Non-adherence to established dietary guidelines associated with increased mortality: The Copenhagen General Population Study, </w:t>
      </w:r>
      <w:r w:rsidRPr="00AF2DF0">
        <w:rPr>
          <w:rFonts w:cs="Times New Roman"/>
          <w:i/>
          <w:iCs/>
          <w:noProof/>
          <w:szCs w:val="24"/>
        </w:rPr>
        <w:t>European Journal of Preventive Cardiology</w:t>
      </w:r>
      <w:r w:rsidRPr="00AF2DF0">
        <w:rPr>
          <w:rFonts w:cs="Times New Roman"/>
          <w:noProof/>
          <w:szCs w:val="24"/>
        </w:rPr>
        <w:t xml:space="preserve"> </w:t>
      </w:r>
      <w:r w:rsidRPr="00AF2DF0">
        <w:rPr>
          <w:rFonts w:cs="Times New Roman"/>
          <w:b/>
          <w:bCs/>
          <w:noProof/>
          <w:szCs w:val="24"/>
        </w:rPr>
        <w:t>28</w:t>
      </w:r>
      <w:r w:rsidRPr="00AF2DF0">
        <w:rPr>
          <w:rFonts w:cs="Times New Roman"/>
          <w:noProof/>
          <w:szCs w:val="24"/>
        </w:rPr>
        <w:t>, 1259–1268.</w:t>
      </w:r>
    </w:p>
    <w:p w14:paraId="2E4707EC"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Friedewald WT</w:t>
      </w:r>
      <w:r w:rsidRPr="00AF2DF0">
        <w:rPr>
          <w:rFonts w:cs="Times New Roman"/>
          <w:noProof/>
          <w:szCs w:val="24"/>
        </w:rPr>
        <w:t xml:space="preserve">, </w:t>
      </w:r>
      <w:r w:rsidRPr="00AF2DF0">
        <w:rPr>
          <w:rFonts w:cs="Times New Roman"/>
          <w:b/>
          <w:bCs/>
          <w:noProof/>
          <w:szCs w:val="24"/>
        </w:rPr>
        <w:t>Levy RI</w:t>
      </w:r>
      <w:r w:rsidRPr="00AF2DF0">
        <w:rPr>
          <w:rFonts w:cs="Times New Roman"/>
          <w:noProof/>
          <w:szCs w:val="24"/>
        </w:rPr>
        <w:t xml:space="preserve"> and </w:t>
      </w:r>
      <w:r w:rsidRPr="00AF2DF0">
        <w:rPr>
          <w:rFonts w:cs="Times New Roman"/>
          <w:b/>
          <w:bCs/>
          <w:noProof/>
          <w:szCs w:val="24"/>
        </w:rPr>
        <w:t>Fredrickson DS</w:t>
      </w:r>
      <w:r w:rsidRPr="00AF2DF0">
        <w:rPr>
          <w:rFonts w:cs="Times New Roman"/>
          <w:noProof/>
          <w:szCs w:val="24"/>
        </w:rPr>
        <w:t xml:space="preserve"> (1972) Estimation of the concentration of low-density lipoprotein cholesterol in plasma, without use of the preparative ultracentrifuge., </w:t>
      </w:r>
      <w:r w:rsidRPr="00AF2DF0">
        <w:rPr>
          <w:rFonts w:cs="Times New Roman"/>
          <w:i/>
          <w:iCs/>
          <w:noProof/>
          <w:szCs w:val="24"/>
        </w:rPr>
        <w:t>Clinical Chemistry</w:t>
      </w:r>
      <w:r w:rsidRPr="00AF2DF0">
        <w:rPr>
          <w:rFonts w:cs="Times New Roman"/>
          <w:noProof/>
          <w:szCs w:val="24"/>
        </w:rPr>
        <w:t xml:space="preserve"> </w:t>
      </w:r>
      <w:r w:rsidRPr="00AF2DF0">
        <w:rPr>
          <w:rFonts w:cs="Times New Roman"/>
          <w:b/>
          <w:bCs/>
          <w:noProof/>
          <w:szCs w:val="24"/>
        </w:rPr>
        <w:t>18</w:t>
      </w:r>
      <w:r w:rsidRPr="00AF2DF0">
        <w:rPr>
          <w:rFonts w:cs="Times New Roman"/>
          <w:noProof/>
          <w:szCs w:val="24"/>
        </w:rPr>
        <w:t>, 499–502.</w:t>
      </w:r>
    </w:p>
    <w:p w14:paraId="7607AFFD"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Juul Rasmussen I</w:t>
      </w:r>
      <w:r w:rsidRPr="00AF2DF0">
        <w:rPr>
          <w:rFonts w:cs="Times New Roman"/>
          <w:noProof/>
          <w:szCs w:val="24"/>
        </w:rPr>
        <w:t xml:space="preserve">, </w:t>
      </w:r>
      <w:r w:rsidRPr="00AF2DF0">
        <w:rPr>
          <w:rFonts w:cs="Times New Roman"/>
          <w:b/>
          <w:bCs/>
          <w:noProof/>
          <w:szCs w:val="24"/>
        </w:rPr>
        <w:t>Rasmussen KL</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w:t>
      </w:r>
      <w:r w:rsidRPr="00AF2DF0">
        <w:rPr>
          <w:rFonts w:cs="Times New Roman"/>
          <w:b/>
          <w:bCs/>
          <w:noProof/>
          <w:szCs w:val="24"/>
        </w:rPr>
        <w:t>Tybjærg-Hansen A</w:t>
      </w:r>
      <w:r w:rsidRPr="00AF2DF0">
        <w:rPr>
          <w:rFonts w:cs="Times New Roman"/>
          <w:noProof/>
          <w:szCs w:val="24"/>
        </w:rPr>
        <w:t xml:space="preserve"> and </w:t>
      </w:r>
      <w:r w:rsidRPr="00AF2DF0">
        <w:rPr>
          <w:rFonts w:cs="Times New Roman"/>
          <w:b/>
          <w:bCs/>
          <w:noProof/>
          <w:szCs w:val="24"/>
        </w:rPr>
        <w:t>Frikke-Schmidt R</w:t>
      </w:r>
      <w:r w:rsidRPr="00AF2DF0">
        <w:rPr>
          <w:rFonts w:cs="Times New Roman"/>
          <w:noProof/>
          <w:szCs w:val="24"/>
        </w:rPr>
        <w:t xml:space="preserve"> (2020) Impact of cardiovascular risk factors and genetics on 10-year absolute risk of dementia: risk charts for targeted prevention, </w:t>
      </w:r>
      <w:r w:rsidRPr="00AF2DF0">
        <w:rPr>
          <w:rFonts w:cs="Times New Roman"/>
          <w:i/>
          <w:iCs/>
          <w:noProof/>
          <w:szCs w:val="24"/>
        </w:rPr>
        <w:t>European Heart Journal</w:t>
      </w:r>
      <w:r w:rsidRPr="00AF2DF0">
        <w:rPr>
          <w:rFonts w:cs="Times New Roman"/>
          <w:noProof/>
          <w:szCs w:val="24"/>
        </w:rPr>
        <w:t xml:space="preserve"> </w:t>
      </w:r>
      <w:r w:rsidRPr="00AF2DF0">
        <w:rPr>
          <w:rFonts w:cs="Times New Roman"/>
          <w:b/>
          <w:bCs/>
          <w:noProof/>
          <w:szCs w:val="24"/>
        </w:rPr>
        <w:t>41</w:t>
      </w:r>
      <w:r w:rsidRPr="00AF2DF0">
        <w:rPr>
          <w:rFonts w:cs="Times New Roman"/>
          <w:noProof/>
          <w:szCs w:val="24"/>
        </w:rPr>
        <w:t>, 4024–4033.</w:t>
      </w:r>
    </w:p>
    <w:p w14:paraId="1FF77326"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Kjeldsen EW</w:t>
      </w:r>
      <w:r w:rsidRPr="00AF2DF0">
        <w:rPr>
          <w:rFonts w:cs="Times New Roman"/>
          <w:noProof/>
          <w:szCs w:val="24"/>
        </w:rPr>
        <w:t xml:space="preserve">, </w:t>
      </w:r>
      <w:r w:rsidRPr="00AF2DF0">
        <w:rPr>
          <w:rFonts w:cs="Times New Roman"/>
          <w:b/>
          <w:bCs/>
          <w:noProof/>
          <w:szCs w:val="24"/>
        </w:rPr>
        <w:t>Thomassen JQ</w:t>
      </w:r>
      <w:r w:rsidRPr="00AF2DF0">
        <w:rPr>
          <w:rFonts w:cs="Times New Roman"/>
          <w:noProof/>
          <w:szCs w:val="24"/>
        </w:rPr>
        <w:t xml:space="preserve">, </w:t>
      </w:r>
      <w:r w:rsidRPr="00AF2DF0">
        <w:rPr>
          <w:rFonts w:cs="Times New Roman"/>
          <w:b/>
          <w:bCs/>
          <w:noProof/>
          <w:szCs w:val="24"/>
        </w:rPr>
        <w:t>Rasmussen KL</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w:t>
      </w:r>
      <w:r w:rsidRPr="00AF2DF0">
        <w:rPr>
          <w:rFonts w:cs="Times New Roman"/>
          <w:b/>
          <w:bCs/>
          <w:noProof/>
          <w:szCs w:val="24"/>
        </w:rPr>
        <w:t>Tybjærg-Hansen A</w:t>
      </w:r>
      <w:r w:rsidRPr="00AF2DF0">
        <w:rPr>
          <w:rFonts w:cs="Times New Roman"/>
          <w:noProof/>
          <w:szCs w:val="24"/>
        </w:rPr>
        <w:t xml:space="preserve"> and </w:t>
      </w:r>
      <w:r w:rsidRPr="00AF2DF0">
        <w:rPr>
          <w:rFonts w:cs="Times New Roman"/>
          <w:b/>
          <w:bCs/>
          <w:noProof/>
          <w:szCs w:val="24"/>
        </w:rPr>
        <w:t>Frikke-Schmidt R</w:t>
      </w:r>
      <w:r w:rsidRPr="00AF2DF0">
        <w:rPr>
          <w:rFonts w:cs="Times New Roman"/>
          <w:noProof/>
          <w:szCs w:val="24"/>
        </w:rPr>
        <w:t xml:space="preserve"> (2022) Impact of diet on ten-year absolute cardiovascular risk in a prospective cohort of 94 321 individuals: A tool for implementation of healthy diets, </w:t>
      </w:r>
      <w:r w:rsidRPr="00AF2DF0">
        <w:rPr>
          <w:rFonts w:cs="Times New Roman"/>
          <w:i/>
          <w:iCs/>
          <w:noProof/>
          <w:szCs w:val="24"/>
        </w:rPr>
        <w:t>The Lancet Regional Health - Europe</w:t>
      </w:r>
      <w:r w:rsidRPr="00AF2DF0">
        <w:rPr>
          <w:rFonts w:cs="Times New Roman"/>
          <w:noProof/>
          <w:szCs w:val="24"/>
        </w:rPr>
        <w:t xml:space="preserve"> </w:t>
      </w:r>
      <w:r w:rsidRPr="00AF2DF0">
        <w:rPr>
          <w:rFonts w:cs="Times New Roman"/>
          <w:b/>
          <w:bCs/>
          <w:noProof/>
          <w:szCs w:val="24"/>
        </w:rPr>
        <w:t>19</w:t>
      </w:r>
      <w:r w:rsidRPr="00AF2DF0">
        <w:rPr>
          <w:rFonts w:cs="Times New Roman"/>
          <w:noProof/>
          <w:szCs w:val="24"/>
        </w:rPr>
        <w:t>, 100419.</w:t>
      </w:r>
    </w:p>
    <w:p w14:paraId="7309448E"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Kjeldsen EW</w:t>
      </w:r>
      <w:r w:rsidRPr="00AF2DF0">
        <w:rPr>
          <w:rFonts w:cs="Times New Roman"/>
          <w:noProof/>
          <w:szCs w:val="24"/>
        </w:rPr>
        <w:t xml:space="preserve">, </w:t>
      </w:r>
      <w:r w:rsidRPr="00AF2DF0">
        <w:rPr>
          <w:rFonts w:cs="Times New Roman"/>
          <w:b/>
          <w:bCs/>
          <w:noProof/>
          <w:szCs w:val="24"/>
        </w:rPr>
        <w:t>Tybjaerg-Hansen A</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and </w:t>
      </w:r>
      <w:r w:rsidRPr="00AF2DF0">
        <w:rPr>
          <w:rFonts w:cs="Times New Roman"/>
          <w:b/>
          <w:bCs/>
          <w:noProof/>
          <w:szCs w:val="24"/>
        </w:rPr>
        <w:t>Frikke-Schmidt R</w:t>
      </w:r>
      <w:r w:rsidRPr="00AF2DF0">
        <w:rPr>
          <w:rFonts w:cs="Times New Roman"/>
          <w:noProof/>
          <w:szCs w:val="24"/>
        </w:rPr>
        <w:t xml:space="preserve"> (2018) ABCA7 and risk of dementia and vascular disease in the Danish population, </w:t>
      </w:r>
      <w:r w:rsidRPr="00AF2DF0">
        <w:rPr>
          <w:rFonts w:cs="Times New Roman"/>
          <w:i/>
          <w:iCs/>
          <w:noProof/>
          <w:szCs w:val="24"/>
        </w:rPr>
        <w:t>Annals of Clinical and Translational Neurology</w:t>
      </w:r>
      <w:r w:rsidRPr="00AF2DF0">
        <w:rPr>
          <w:rFonts w:cs="Times New Roman"/>
          <w:noProof/>
          <w:szCs w:val="24"/>
        </w:rPr>
        <w:t xml:space="preserve"> </w:t>
      </w:r>
      <w:r w:rsidRPr="00AF2DF0">
        <w:rPr>
          <w:rFonts w:cs="Times New Roman"/>
          <w:b/>
          <w:bCs/>
          <w:noProof/>
          <w:szCs w:val="24"/>
        </w:rPr>
        <w:t>5</w:t>
      </w:r>
      <w:r w:rsidRPr="00AF2DF0">
        <w:rPr>
          <w:rFonts w:cs="Times New Roman"/>
          <w:noProof/>
          <w:szCs w:val="24"/>
        </w:rPr>
        <w:t>, 41–51.</w:t>
      </w:r>
    </w:p>
    <w:p w14:paraId="4597EDED"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McKhann G</w:t>
      </w:r>
      <w:r w:rsidRPr="00AF2DF0">
        <w:rPr>
          <w:rFonts w:cs="Times New Roman"/>
          <w:noProof/>
          <w:szCs w:val="24"/>
        </w:rPr>
        <w:t xml:space="preserve">, </w:t>
      </w:r>
      <w:r w:rsidRPr="00AF2DF0">
        <w:rPr>
          <w:rFonts w:cs="Times New Roman"/>
          <w:b/>
          <w:bCs/>
          <w:noProof/>
          <w:szCs w:val="24"/>
        </w:rPr>
        <w:t>Knopman DS</w:t>
      </w:r>
      <w:r w:rsidRPr="00AF2DF0">
        <w:rPr>
          <w:rFonts w:cs="Times New Roman"/>
          <w:noProof/>
          <w:szCs w:val="24"/>
        </w:rPr>
        <w:t xml:space="preserve">, </w:t>
      </w:r>
      <w:r w:rsidRPr="00AF2DF0">
        <w:rPr>
          <w:rFonts w:cs="Times New Roman"/>
          <w:b/>
          <w:bCs/>
          <w:noProof/>
          <w:szCs w:val="24"/>
        </w:rPr>
        <w:t>Chertkow H</w:t>
      </w:r>
      <w:r w:rsidRPr="00AF2DF0">
        <w:rPr>
          <w:rFonts w:cs="Times New Roman"/>
          <w:noProof/>
          <w:szCs w:val="24"/>
        </w:rPr>
        <w:t xml:space="preserve">, </w:t>
      </w:r>
      <w:r w:rsidRPr="00AF2DF0">
        <w:rPr>
          <w:rFonts w:cs="Times New Roman"/>
          <w:b/>
          <w:bCs/>
          <w:noProof/>
          <w:szCs w:val="24"/>
        </w:rPr>
        <w:t>Hymann B</w:t>
      </w:r>
      <w:r w:rsidRPr="00AF2DF0">
        <w:rPr>
          <w:rFonts w:cs="Times New Roman"/>
          <w:noProof/>
          <w:szCs w:val="24"/>
        </w:rPr>
        <w:t xml:space="preserve">, </w:t>
      </w:r>
      <w:r w:rsidRPr="00AF2DF0">
        <w:rPr>
          <w:rFonts w:cs="Times New Roman"/>
          <w:b/>
          <w:bCs/>
          <w:noProof/>
          <w:szCs w:val="24"/>
        </w:rPr>
        <w:t>Jack CR</w:t>
      </w:r>
      <w:r w:rsidRPr="00AF2DF0">
        <w:rPr>
          <w:rFonts w:cs="Times New Roman"/>
          <w:noProof/>
          <w:szCs w:val="24"/>
        </w:rPr>
        <w:t xml:space="preserve">, </w:t>
      </w:r>
      <w:r w:rsidRPr="00AF2DF0">
        <w:rPr>
          <w:rFonts w:cs="Times New Roman"/>
          <w:b/>
          <w:bCs/>
          <w:noProof/>
          <w:szCs w:val="24"/>
        </w:rPr>
        <w:t>Kawas C</w:t>
      </w:r>
      <w:r w:rsidRPr="00AF2DF0">
        <w:rPr>
          <w:rFonts w:cs="Times New Roman"/>
          <w:noProof/>
          <w:szCs w:val="24"/>
        </w:rPr>
        <w:t xml:space="preserve">, </w:t>
      </w:r>
      <w:r w:rsidRPr="00AF2DF0">
        <w:rPr>
          <w:rFonts w:cs="Times New Roman"/>
          <w:b/>
          <w:bCs/>
          <w:noProof/>
          <w:szCs w:val="24"/>
        </w:rPr>
        <w:t>Klunk W</w:t>
      </w:r>
      <w:r w:rsidRPr="00AF2DF0">
        <w:rPr>
          <w:rFonts w:cs="Times New Roman"/>
          <w:noProof/>
          <w:szCs w:val="24"/>
        </w:rPr>
        <w:t xml:space="preserve">, </w:t>
      </w:r>
      <w:r w:rsidRPr="00AF2DF0">
        <w:rPr>
          <w:rFonts w:cs="Times New Roman"/>
          <w:b/>
          <w:bCs/>
          <w:noProof/>
          <w:szCs w:val="24"/>
        </w:rPr>
        <w:t>Koroshetz W</w:t>
      </w:r>
      <w:r w:rsidRPr="00AF2DF0">
        <w:rPr>
          <w:rFonts w:cs="Times New Roman"/>
          <w:noProof/>
          <w:szCs w:val="24"/>
        </w:rPr>
        <w:t xml:space="preserve">, </w:t>
      </w:r>
      <w:r w:rsidRPr="00AF2DF0">
        <w:rPr>
          <w:rFonts w:cs="Times New Roman"/>
          <w:b/>
          <w:bCs/>
          <w:noProof/>
          <w:szCs w:val="24"/>
        </w:rPr>
        <w:t>Manly J</w:t>
      </w:r>
      <w:r w:rsidRPr="00AF2DF0">
        <w:rPr>
          <w:rFonts w:cs="Times New Roman"/>
          <w:noProof/>
          <w:szCs w:val="24"/>
        </w:rPr>
        <w:t xml:space="preserve">, </w:t>
      </w:r>
      <w:r w:rsidRPr="00AF2DF0">
        <w:rPr>
          <w:rFonts w:cs="Times New Roman"/>
          <w:b/>
          <w:bCs/>
          <w:noProof/>
          <w:szCs w:val="24"/>
        </w:rPr>
        <w:t>Mayeux R</w:t>
      </w:r>
      <w:r w:rsidRPr="00AF2DF0">
        <w:rPr>
          <w:rFonts w:cs="Times New Roman"/>
          <w:noProof/>
          <w:szCs w:val="24"/>
        </w:rPr>
        <w:t xml:space="preserve">, </w:t>
      </w:r>
      <w:r w:rsidRPr="00AF2DF0">
        <w:rPr>
          <w:rFonts w:cs="Times New Roman"/>
          <w:b/>
          <w:bCs/>
          <w:noProof/>
          <w:szCs w:val="24"/>
        </w:rPr>
        <w:t>Mohs R</w:t>
      </w:r>
      <w:r w:rsidRPr="00AF2DF0">
        <w:rPr>
          <w:rFonts w:cs="Times New Roman"/>
          <w:noProof/>
          <w:szCs w:val="24"/>
        </w:rPr>
        <w:t xml:space="preserve">, </w:t>
      </w:r>
      <w:r w:rsidRPr="00AF2DF0">
        <w:rPr>
          <w:rFonts w:cs="Times New Roman"/>
          <w:b/>
          <w:bCs/>
          <w:noProof/>
          <w:szCs w:val="24"/>
        </w:rPr>
        <w:t>Morris J</w:t>
      </w:r>
      <w:r w:rsidRPr="00AF2DF0">
        <w:rPr>
          <w:rFonts w:cs="Times New Roman"/>
          <w:noProof/>
          <w:szCs w:val="24"/>
        </w:rPr>
        <w:t xml:space="preserve">, </w:t>
      </w:r>
      <w:r w:rsidRPr="00AF2DF0">
        <w:rPr>
          <w:rFonts w:cs="Times New Roman"/>
          <w:b/>
          <w:bCs/>
          <w:noProof/>
          <w:szCs w:val="24"/>
        </w:rPr>
        <w:t>Rossor M</w:t>
      </w:r>
      <w:r w:rsidRPr="00AF2DF0">
        <w:rPr>
          <w:rFonts w:cs="Times New Roman"/>
          <w:noProof/>
          <w:szCs w:val="24"/>
        </w:rPr>
        <w:t xml:space="preserve">, </w:t>
      </w:r>
      <w:r w:rsidRPr="00AF2DF0">
        <w:rPr>
          <w:rFonts w:cs="Times New Roman"/>
          <w:b/>
          <w:bCs/>
          <w:noProof/>
          <w:szCs w:val="24"/>
        </w:rPr>
        <w:t>Scheltens P</w:t>
      </w:r>
      <w:r w:rsidRPr="00AF2DF0">
        <w:rPr>
          <w:rFonts w:cs="Times New Roman"/>
          <w:noProof/>
          <w:szCs w:val="24"/>
        </w:rPr>
        <w:t xml:space="preserve">, </w:t>
      </w:r>
      <w:r w:rsidRPr="00AF2DF0">
        <w:rPr>
          <w:rFonts w:cs="Times New Roman"/>
          <w:b/>
          <w:bCs/>
          <w:noProof/>
          <w:szCs w:val="24"/>
        </w:rPr>
        <w:t>Carrillo M</w:t>
      </w:r>
      <w:r w:rsidRPr="00AF2DF0">
        <w:rPr>
          <w:rFonts w:cs="Times New Roman"/>
          <w:noProof/>
          <w:szCs w:val="24"/>
        </w:rPr>
        <w:t xml:space="preserve">, </w:t>
      </w:r>
      <w:r w:rsidRPr="00AF2DF0">
        <w:rPr>
          <w:rFonts w:cs="Times New Roman"/>
          <w:b/>
          <w:bCs/>
          <w:noProof/>
          <w:szCs w:val="24"/>
        </w:rPr>
        <w:t>Weintrub S</w:t>
      </w:r>
      <w:r w:rsidRPr="00AF2DF0">
        <w:rPr>
          <w:rFonts w:cs="Times New Roman"/>
          <w:noProof/>
          <w:szCs w:val="24"/>
        </w:rPr>
        <w:t xml:space="preserve"> and </w:t>
      </w:r>
      <w:r w:rsidRPr="00AF2DF0">
        <w:rPr>
          <w:rFonts w:cs="Times New Roman"/>
          <w:b/>
          <w:bCs/>
          <w:noProof/>
          <w:szCs w:val="24"/>
        </w:rPr>
        <w:t>Phelphs C</w:t>
      </w:r>
      <w:r w:rsidRPr="00AF2DF0">
        <w:rPr>
          <w:rFonts w:cs="Times New Roman"/>
          <w:noProof/>
          <w:szCs w:val="24"/>
        </w:rPr>
        <w:t xml:space="preserve"> (2011) The diagnosis of dementia due to Alzheimer’s disease: Recommendations from the National Institute on Aging-Alzheimer’s Association workgroups on diagnostic guidelines for Alzheimer’s disease, </w:t>
      </w:r>
      <w:r w:rsidRPr="00AF2DF0">
        <w:rPr>
          <w:rFonts w:cs="Times New Roman"/>
          <w:i/>
          <w:iCs/>
          <w:noProof/>
          <w:szCs w:val="24"/>
        </w:rPr>
        <w:t>Alzheimer’s &amp; Dementia</w:t>
      </w:r>
      <w:r w:rsidRPr="00AF2DF0">
        <w:rPr>
          <w:rFonts w:cs="Times New Roman"/>
          <w:noProof/>
          <w:szCs w:val="24"/>
        </w:rPr>
        <w:t xml:space="preserve"> </w:t>
      </w:r>
      <w:r w:rsidRPr="00AF2DF0">
        <w:rPr>
          <w:rFonts w:cs="Times New Roman"/>
          <w:b/>
          <w:bCs/>
          <w:noProof/>
          <w:szCs w:val="24"/>
        </w:rPr>
        <w:t>7</w:t>
      </w:r>
      <w:r w:rsidRPr="00AF2DF0">
        <w:rPr>
          <w:rFonts w:cs="Times New Roman"/>
          <w:noProof/>
          <w:szCs w:val="24"/>
        </w:rPr>
        <w:t>, 263–269.</w:t>
      </w:r>
    </w:p>
    <w:p w14:paraId="708F7E21"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Nordestgaard BG</w:t>
      </w:r>
      <w:r w:rsidRPr="00AF2DF0">
        <w:rPr>
          <w:rFonts w:cs="Times New Roman"/>
          <w:noProof/>
          <w:szCs w:val="24"/>
        </w:rPr>
        <w:t xml:space="preserve">, </w:t>
      </w:r>
      <w:r w:rsidRPr="00AF2DF0">
        <w:rPr>
          <w:rFonts w:cs="Times New Roman"/>
          <w:b/>
          <w:bCs/>
          <w:noProof/>
          <w:szCs w:val="24"/>
        </w:rPr>
        <w:t>Langsted A</w:t>
      </w:r>
      <w:r w:rsidRPr="00AF2DF0">
        <w:rPr>
          <w:rFonts w:cs="Times New Roman"/>
          <w:noProof/>
          <w:szCs w:val="24"/>
        </w:rPr>
        <w:t xml:space="preserve">, </w:t>
      </w:r>
      <w:r w:rsidRPr="00AF2DF0">
        <w:rPr>
          <w:rFonts w:cs="Times New Roman"/>
          <w:b/>
          <w:bCs/>
          <w:noProof/>
          <w:szCs w:val="24"/>
        </w:rPr>
        <w:t>Mora S</w:t>
      </w:r>
      <w:r w:rsidRPr="00AF2DF0">
        <w:rPr>
          <w:rFonts w:cs="Times New Roman"/>
          <w:noProof/>
          <w:szCs w:val="24"/>
        </w:rPr>
        <w:t xml:space="preserve">, </w:t>
      </w:r>
      <w:r w:rsidRPr="00AF2DF0">
        <w:rPr>
          <w:rFonts w:cs="Times New Roman"/>
          <w:b/>
          <w:bCs/>
          <w:noProof/>
          <w:szCs w:val="24"/>
        </w:rPr>
        <w:t>Kolovou G</w:t>
      </w:r>
      <w:r w:rsidRPr="00AF2DF0">
        <w:rPr>
          <w:rFonts w:cs="Times New Roman"/>
          <w:noProof/>
          <w:szCs w:val="24"/>
        </w:rPr>
        <w:t xml:space="preserve">, </w:t>
      </w:r>
      <w:r w:rsidRPr="00AF2DF0">
        <w:rPr>
          <w:rFonts w:cs="Times New Roman"/>
          <w:b/>
          <w:bCs/>
          <w:noProof/>
          <w:szCs w:val="24"/>
        </w:rPr>
        <w:t>Baum H</w:t>
      </w:r>
      <w:r w:rsidRPr="00AF2DF0">
        <w:rPr>
          <w:rFonts w:cs="Times New Roman"/>
          <w:noProof/>
          <w:szCs w:val="24"/>
        </w:rPr>
        <w:t xml:space="preserve">, </w:t>
      </w:r>
      <w:r w:rsidRPr="00AF2DF0">
        <w:rPr>
          <w:rFonts w:cs="Times New Roman"/>
          <w:b/>
          <w:bCs/>
          <w:noProof/>
          <w:szCs w:val="24"/>
        </w:rPr>
        <w:t>Bruckert E</w:t>
      </w:r>
      <w:r w:rsidRPr="00AF2DF0">
        <w:rPr>
          <w:rFonts w:cs="Times New Roman"/>
          <w:noProof/>
          <w:szCs w:val="24"/>
        </w:rPr>
        <w:t xml:space="preserve">, </w:t>
      </w:r>
      <w:r w:rsidRPr="00AF2DF0">
        <w:rPr>
          <w:rFonts w:cs="Times New Roman"/>
          <w:b/>
          <w:bCs/>
          <w:noProof/>
          <w:szCs w:val="24"/>
        </w:rPr>
        <w:t>Watts GF</w:t>
      </w:r>
      <w:r w:rsidRPr="00AF2DF0">
        <w:rPr>
          <w:rFonts w:cs="Times New Roman"/>
          <w:noProof/>
          <w:szCs w:val="24"/>
        </w:rPr>
        <w:t xml:space="preserve">, </w:t>
      </w:r>
      <w:r w:rsidRPr="00AF2DF0">
        <w:rPr>
          <w:rFonts w:cs="Times New Roman"/>
          <w:b/>
          <w:bCs/>
          <w:noProof/>
          <w:szCs w:val="24"/>
        </w:rPr>
        <w:t>Sypniewska G</w:t>
      </w:r>
      <w:r w:rsidRPr="00AF2DF0">
        <w:rPr>
          <w:rFonts w:cs="Times New Roman"/>
          <w:noProof/>
          <w:szCs w:val="24"/>
        </w:rPr>
        <w:t xml:space="preserve">, </w:t>
      </w:r>
      <w:r w:rsidRPr="00AF2DF0">
        <w:rPr>
          <w:rFonts w:cs="Times New Roman"/>
          <w:b/>
          <w:bCs/>
          <w:noProof/>
          <w:szCs w:val="24"/>
        </w:rPr>
        <w:t>Wiklund O</w:t>
      </w:r>
      <w:r w:rsidRPr="00AF2DF0">
        <w:rPr>
          <w:rFonts w:cs="Times New Roman"/>
          <w:noProof/>
          <w:szCs w:val="24"/>
        </w:rPr>
        <w:t xml:space="preserve">, </w:t>
      </w:r>
      <w:r w:rsidRPr="00AF2DF0">
        <w:rPr>
          <w:rFonts w:cs="Times New Roman"/>
          <w:b/>
          <w:bCs/>
          <w:noProof/>
          <w:szCs w:val="24"/>
        </w:rPr>
        <w:t>Borén J</w:t>
      </w:r>
      <w:r w:rsidRPr="00AF2DF0">
        <w:rPr>
          <w:rFonts w:cs="Times New Roman"/>
          <w:noProof/>
          <w:szCs w:val="24"/>
        </w:rPr>
        <w:t xml:space="preserve">, </w:t>
      </w:r>
      <w:r w:rsidRPr="00AF2DF0">
        <w:rPr>
          <w:rFonts w:cs="Times New Roman"/>
          <w:b/>
          <w:bCs/>
          <w:noProof/>
          <w:szCs w:val="24"/>
        </w:rPr>
        <w:t>Chapman MJ</w:t>
      </w:r>
      <w:r w:rsidRPr="00AF2DF0">
        <w:rPr>
          <w:rFonts w:cs="Times New Roman"/>
          <w:noProof/>
          <w:szCs w:val="24"/>
        </w:rPr>
        <w:t xml:space="preserve">, </w:t>
      </w:r>
      <w:r w:rsidRPr="00AF2DF0">
        <w:rPr>
          <w:rFonts w:cs="Times New Roman"/>
          <w:b/>
          <w:bCs/>
          <w:noProof/>
          <w:szCs w:val="24"/>
        </w:rPr>
        <w:t>Cobbaert C</w:t>
      </w:r>
      <w:r w:rsidRPr="00AF2DF0">
        <w:rPr>
          <w:rFonts w:cs="Times New Roman"/>
          <w:noProof/>
          <w:szCs w:val="24"/>
        </w:rPr>
        <w:t xml:space="preserve">, </w:t>
      </w:r>
      <w:r w:rsidRPr="00AF2DF0">
        <w:rPr>
          <w:rFonts w:cs="Times New Roman"/>
          <w:b/>
          <w:bCs/>
          <w:noProof/>
          <w:szCs w:val="24"/>
        </w:rPr>
        <w:t>Descamps OS</w:t>
      </w:r>
      <w:r w:rsidRPr="00AF2DF0">
        <w:rPr>
          <w:rFonts w:cs="Times New Roman"/>
          <w:noProof/>
          <w:szCs w:val="24"/>
        </w:rPr>
        <w:t xml:space="preserve">, </w:t>
      </w:r>
      <w:r w:rsidRPr="00AF2DF0">
        <w:rPr>
          <w:rFonts w:cs="Times New Roman"/>
          <w:b/>
          <w:bCs/>
          <w:noProof/>
          <w:szCs w:val="24"/>
        </w:rPr>
        <w:t>Von Eckardstein A</w:t>
      </w:r>
      <w:r w:rsidRPr="00AF2DF0">
        <w:rPr>
          <w:rFonts w:cs="Times New Roman"/>
          <w:noProof/>
          <w:szCs w:val="24"/>
        </w:rPr>
        <w:t xml:space="preserve">, </w:t>
      </w:r>
      <w:r w:rsidRPr="00AF2DF0">
        <w:rPr>
          <w:rFonts w:cs="Times New Roman"/>
          <w:b/>
          <w:bCs/>
          <w:noProof/>
          <w:szCs w:val="24"/>
        </w:rPr>
        <w:t>Kamstrup PR</w:t>
      </w:r>
      <w:r w:rsidRPr="00AF2DF0">
        <w:rPr>
          <w:rFonts w:cs="Times New Roman"/>
          <w:noProof/>
          <w:szCs w:val="24"/>
        </w:rPr>
        <w:t xml:space="preserve">, </w:t>
      </w:r>
      <w:r w:rsidRPr="00AF2DF0">
        <w:rPr>
          <w:rFonts w:cs="Times New Roman"/>
          <w:b/>
          <w:bCs/>
          <w:noProof/>
          <w:szCs w:val="24"/>
        </w:rPr>
        <w:t>Pulkki K</w:t>
      </w:r>
      <w:r w:rsidRPr="00AF2DF0">
        <w:rPr>
          <w:rFonts w:cs="Times New Roman"/>
          <w:noProof/>
          <w:szCs w:val="24"/>
        </w:rPr>
        <w:t xml:space="preserve">, </w:t>
      </w:r>
      <w:r w:rsidRPr="00AF2DF0">
        <w:rPr>
          <w:rFonts w:cs="Times New Roman"/>
          <w:b/>
          <w:bCs/>
          <w:noProof/>
          <w:szCs w:val="24"/>
        </w:rPr>
        <w:t>Kronenberg F</w:t>
      </w:r>
      <w:r w:rsidRPr="00AF2DF0">
        <w:rPr>
          <w:rFonts w:cs="Times New Roman"/>
          <w:noProof/>
          <w:szCs w:val="24"/>
        </w:rPr>
        <w:t xml:space="preserve">, </w:t>
      </w:r>
      <w:r w:rsidRPr="00AF2DF0">
        <w:rPr>
          <w:rFonts w:cs="Times New Roman"/>
          <w:b/>
          <w:bCs/>
          <w:noProof/>
          <w:szCs w:val="24"/>
        </w:rPr>
        <w:t>Remaley AT</w:t>
      </w:r>
      <w:r w:rsidRPr="00AF2DF0">
        <w:rPr>
          <w:rFonts w:cs="Times New Roman"/>
          <w:noProof/>
          <w:szCs w:val="24"/>
        </w:rPr>
        <w:t xml:space="preserve">, </w:t>
      </w:r>
      <w:r w:rsidRPr="00AF2DF0">
        <w:rPr>
          <w:rFonts w:cs="Times New Roman"/>
          <w:b/>
          <w:bCs/>
          <w:noProof/>
          <w:szCs w:val="24"/>
        </w:rPr>
        <w:t>Rifai N</w:t>
      </w:r>
      <w:r w:rsidRPr="00AF2DF0">
        <w:rPr>
          <w:rFonts w:cs="Times New Roman"/>
          <w:noProof/>
          <w:szCs w:val="24"/>
        </w:rPr>
        <w:t xml:space="preserve">, </w:t>
      </w:r>
      <w:r w:rsidRPr="00AF2DF0">
        <w:rPr>
          <w:rFonts w:cs="Times New Roman"/>
          <w:b/>
          <w:bCs/>
          <w:noProof/>
          <w:szCs w:val="24"/>
        </w:rPr>
        <w:t>Ros E</w:t>
      </w:r>
      <w:r w:rsidRPr="00AF2DF0">
        <w:rPr>
          <w:rFonts w:cs="Times New Roman"/>
          <w:noProof/>
          <w:szCs w:val="24"/>
        </w:rPr>
        <w:t xml:space="preserve"> and </w:t>
      </w:r>
      <w:r w:rsidRPr="00AF2DF0">
        <w:rPr>
          <w:rFonts w:cs="Times New Roman"/>
          <w:b/>
          <w:bCs/>
          <w:noProof/>
          <w:szCs w:val="24"/>
        </w:rPr>
        <w:t>Langlois M</w:t>
      </w:r>
      <w:r w:rsidRPr="00AF2DF0">
        <w:rPr>
          <w:rFonts w:cs="Times New Roman"/>
          <w:noProof/>
          <w:szCs w:val="24"/>
        </w:rPr>
        <w:t xml:space="preserve"> (2016) Fasting is not routinely required for determination of a lipid profile: Clinical and laboratory implications including flagging at desirable concentration cut-points - A joint consensus statement from the European Atherosclerosis Society and European Fede, </w:t>
      </w:r>
      <w:r w:rsidRPr="00AF2DF0">
        <w:rPr>
          <w:rFonts w:cs="Times New Roman"/>
          <w:i/>
          <w:iCs/>
          <w:noProof/>
          <w:szCs w:val="24"/>
        </w:rPr>
        <w:t>European Heart Journal</w:t>
      </w:r>
      <w:r w:rsidRPr="00AF2DF0">
        <w:rPr>
          <w:rFonts w:cs="Times New Roman"/>
          <w:noProof/>
          <w:szCs w:val="24"/>
        </w:rPr>
        <w:t xml:space="preserve"> </w:t>
      </w:r>
      <w:r w:rsidRPr="00AF2DF0">
        <w:rPr>
          <w:rFonts w:cs="Times New Roman"/>
          <w:b/>
          <w:bCs/>
          <w:noProof/>
          <w:szCs w:val="24"/>
        </w:rPr>
        <w:t>37</w:t>
      </w:r>
      <w:r w:rsidRPr="00AF2DF0">
        <w:rPr>
          <w:rFonts w:cs="Times New Roman"/>
          <w:noProof/>
          <w:szCs w:val="24"/>
        </w:rPr>
        <w:t>, 1944–1958.</w:t>
      </w:r>
    </w:p>
    <w:p w14:paraId="4BE69A72"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Nordestgaard LT</w:t>
      </w:r>
      <w:r w:rsidRPr="00AF2DF0">
        <w:rPr>
          <w:rFonts w:cs="Times New Roman"/>
          <w:noProof/>
          <w:szCs w:val="24"/>
        </w:rPr>
        <w:t xml:space="preserve">, </w:t>
      </w:r>
      <w:r w:rsidRPr="00AF2DF0">
        <w:rPr>
          <w:rFonts w:cs="Times New Roman"/>
          <w:b/>
          <w:bCs/>
          <w:noProof/>
          <w:szCs w:val="24"/>
        </w:rPr>
        <w:t>Tybjærg-Hansen A</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and </w:t>
      </w:r>
      <w:r w:rsidRPr="00AF2DF0">
        <w:rPr>
          <w:rFonts w:cs="Times New Roman"/>
          <w:b/>
          <w:bCs/>
          <w:noProof/>
          <w:szCs w:val="24"/>
        </w:rPr>
        <w:t>Frikke-Schmidt R</w:t>
      </w:r>
      <w:r w:rsidRPr="00AF2DF0">
        <w:rPr>
          <w:rFonts w:cs="Times New Roman"/>
          <w:noProof/>
          <w:szCs w:val="24"/>
        </w:rPr>
        <w:t xml:space="preserve"> (2017) Body mass index and risk of Alzheimer’s disease: A Mendelian randomization study of 399,536 individuals, </w:t>
      </w:r>
      <w:r w:rsidRPr="00AF2DF0">
        <w:rPr>
          <w:rFonts w:cs="Times New Roman"/>
          <w:i/>
          <w:iCs/>
          <w:noProof/>
          <w:szCs w:val="24"/>
        </w:rPr>
        <w:t>The Journal of Clinical Endocrinology &amp; Metabolism</w:t>
      </w:r>
      <w:r w:rsidRPr="00AF2DF0">
        <w:rPr>
          <w:rFonts w:cs="Times New Roman"/>
          <w:noProof/>
          <w:szCs w:val="24"/>
        </w:rPr>
        <w:t xml:space="preserve"> </w:t>
      </w:r>
      <w:r w:rsidRPr="00AF2DF0">
        <w:rPr>
          <w:rFonts w:cs="Times New Roman"/>
          <w:b/>
          <w:bCs/>
          <w:noProof/>
          <w:szCs w:val="24"/>
        </w:rPr>
        <w:t>102</w:t>
      </w:r>
      <w:r w:rsidRPr="00AF2DF0">
        <w:rPr>
          <w:rFonts w:cs="Times New Roman"/>
          <w:noProof/>
          <w:szCs w:val="24"/>
        </w:rPr>
        <w:t>, 2310–2320.</w:t>
      </w:r>
    </w:p>
    <w:p w14:paraId="68BFD4F6"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Phung TKT</w:t>
      </w:r>
      <w:r w:rsidRPr="00AF2DF0">
        <w:rPr>
          <w:rFonts w:cs="Times New Roman"/>
          <w:noProof/>
          <w:szCs w:val="24"/>
        </w:rPr>
        <w:t xml:space="preserve">, </w:t>
      </w:r>
      <w:r w:rsidRPr="00AF2DF0">
        <w:rPr>
          <w:rFonts w:cs="Times New Roman"/>
          <w:b/>
          <w:bCs/>
          <w:noProof/>
          <w:szCs w:val="24"/>
        </w:rPr>
        <w:t>Andersen BB</w:t>
      </w:r>
      <w:r w:rsidRPr="00AF2DF0">
        <w:rPr>
          <w:rFonts w:cs="Times New Roman"/>
          <w:noProof/>
          <w:szCs w:val="24"/>
        </w:rPr>
        <w:t xml:space="preserve">, </w:t>
      </w:r>
      <w:r w:rsidRPr="00AF2DF0">
        <w:rPr>
          <w:rFonts w:cs="Times New Roman"/>
          <w:b/>
          <w:bCs/>
          <w:noProof/>
          <w:szCs w:val="24"/>
        </w:rPr>
        <w:t>Høgh P</w:t>
      </w:r>
      <w:r w:rsidRPr="00AF2DF0">
        <w:rPr>
          <w:rFonts w:cs="Times New Roman"/>
          <w:noProof/>
          <w:szCs w:val="24"/>
        </w:rPr>
        <w:t xml:space="preserve">, </w:t>
      </w:r>
      <w:r w:rsidRPr="00AF2DF0">
        <w:rPr>
          <w:rFonts w:cs="Times New Roman"/>
          <w:b/>
          <w:bCs/>
          <w:noProof/>
          <w:szCs w:val="24"/>
        </w:rPr>
        <w:t>Kessing LV</w:t>
      </w:r>
      <w:r w:rsidRPr="00AF2DF0">
        <w:rPr>
          <w:rFonts w:cs="Times New Roman"/>
          <w:noProof/>
          <w:szCs w:val="24"/>
        </w:rPr>
        <w:t xml:space="preserve">, </w:t>
      </w:r>
      <w:r w:rsidRPr="00AF2DF0">
        <w:rPr>
          <w:rFonts w:cs="Times New Roman"/>
          <w:b/>
          <w:bCs/>
          <w:noProof/>
          <w:szCs w:val="24"/>
        </w:rPr>
        <w:t>Mortensen PB</w:t>
      </w:r>
      <w:r w:rsidRPr="00AF2DF0">
        <w:rPr>
          <w:rFonts w:cs="Times New Roman"/>
          <w:noProof/>
          <w:szCs w:val="24"/>
        </w:rPr>
        <w:t xml:space="preserve"> and </w:t>
      </w:r>
      <w:r w:rsidRPr="00AF2DF0">
        <w:rPr>
          <w:rFonts w:cs="Times New Roman"/>
          <w:b/>
          <w:bCs/>
          <w:noProof/>
          <w:szCs w:val="24"/>
        </w:rPr>
        <w:t>Waldemar G</w:t>
      </w:r>
      <w:r w:rsidRPr="00AF2DF0">
        <w:rPr>
          <w:rFonts w:cs="Times New Roman"/>
          <w:noProof/>
          <w:szCs w:val="24"/>
        </w:rPr>
        <w:t xml:space="preserve"> (2007) Validity of dementia diagnoses in the Danish hospital registers, </w:t>
      </w:r>
      <w:r w:rsidRPr="00AF2DF0">
        <w:rPr>
          <w:rFonts w:cs="Times New Roman"/>
          <w:i/>
          <w:iCs/>
          <w:noProof/>
          <w:szCs w:val="24"/>
        </w:rPr>
        <w:t>Dementia and Geriatric Cognitive Disorders</w:t>
      </w:r>
      <w:r w:rsidRPr="00AF2DF0">
        <w:rPr>
          <w:rFonts w:cs="Times New Roman"/>
          <w:noProof/>
          <w:szCs w:val="24"/>
        </w:rPr>
        <w:t xml:space="preserve"> </w:t>
      </w:r>
      <w:r w:rsidRPr="00AF2DF0">
        <w:rPr>
          <w:rFonts w:cs="Times New Roman"/>
          <w:b/>
          <w:bCs/>
          <w:noProof/>
          <w:szCs w:val="24"/>
        </w:rPr>
        <w:t>24</w:t>
      </w:r>
      <w:r w:rsidRPr="00AF2DF0">
        <w:rPr>
          <w:rFonts w:cs="Times New Roman"/>
          <w:noProof/>
          <w:szCs w:val="24"/>
        </w:rPr>
        <w:t>, 220–228.</w:t>
      </w:r>
    </w:p>
    <w:p w14:paraId="2259E17F"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Pistollato F</w:t>
      </w:r>
      <w:r w:rsidRPr="00AF2DF0">
        <w:rPr>
          <w:rFonts w:cs="Times New Roman"/>
          <w:noProof/>
          <w:szCs w:val="24"/>
        </w:rPr>
        <w:t xml:space="preserve">, </w:t>
      </w:r>
      <w:r w:rsidRPr="00AF2DF0">
        <w:rPr>
          <w:rFonts w:cs="Times New Roman"/>
          <w:b/>
          <w:bCs/>
          <w:noProof/>
          <w:szCs w:val="24"/>
        </w:rPr>
        <w:t>Iglesias RC</w:t>
      </w:r>
      <w:r w:rsidRPr="00AF2DF0">
        <w:rPr>
          <w:rFonts w:cs="Times New Roman"/>
          <w:noProof/>
          <w:szCs w:val="24"/>
        </w:rPr>
        <w:t xml:space="preserve">, </w:t>
      </w:r>
      <w:r w:rsidRPr="00AF2DF0">
        <w:rPr>
          <w:rFonts w:cs="Times New Roman"/>
          <w:b/>
          <w:bCs/>
          <w:noProof/>
          <w:szCs w:val="24"/>
        </w:rPr>
        <w:t>Ruiz R</w:t>
      </w:r>
      <w:r w:rsidRPr="00AF2DF0">
        <w:rPr>
          <w:rFonts w:cs="Times New Roman"/>
          <w:noProof/>
          <w:szCs w:val="24"/>
        </w:rPr>
        <w:t xml:space="preserve">, </w:t>
      </w:r>
      <w:r w:rsidRPr="00AF2DF0">
        <w:rPr>
          <w:rFonts w:cs="Times New Roman"/>
          <w:b/>
          <w:bCs/>
          <w:noProof/>
          <w:szCs w:val="24"/>
        </w:rPr>
        <w:t>Aparicio S</w:t>
      </w:r>
      <w:r w:rsidRPr="00AF2DF0">
        <w:rPr>
          <w:rFonts w:cs="Times New Roman"/>
          <w:noProof/>
          <w:szCs w:val="24"/>
        </w:rPr>
        <w:t xml:space="preserve">, </w:t>
      </w:r>
      <w:r w:rsidRPr="00AF2DF0">
        <w:rPr>
          <w:rFonts w:cs="Times New Roman"/>
          <w:b/>
          <w:bCs/>
          <w:noProof/>
          <w:szCs w:val="24"/>
        </w:rPr>
        <w:t>Crespo J</w:t>
      </w:r>
      <w:r w:rsidRPr="00AF2DF0">
        <w:rPr>
          <w:rFonts w:cs="Times New Roman"/>
          <w:noProof/>
          <w:szCs w:val="24"/>
        </w:rPr>
        <w:t xml:space="preserve">, </w:t>
      </w:r>
      <w:r w:rsidRPr="00AF2DF0">
        <w:rPr>
          <w:rFonts w:cs="Times New Roman"/>
          <w:b/>
          <w:bCs/>
          <w:noProof/>
          <w:szCs w:val="24"/>
        </w:rPr>
        <w:t>Lopez LD</w:t>
      </w:r>
      <w:r w:rsidRPr="00AF2DF0">
        <w:rPr>
          <w:rFonts w:cs="Times New Roman"/>
          <w:noProof/>
          <w:szCs w:val="24"/>
        </w:rPr>
        <w:t xml:space="preserve">, </w:t>
      </w:r>
      <w:r w:rsidRPr="00AF2DF0">
        <w:rPr>
          <w:rFonts w:cs="Times New Roman"/>
          <w:b/>
          <w:bCs/>
          <w:noProof/>
          <w:szCs w:val="24"/>
        </w:rPr>
        <w:t>Manna PP</w:t>
      </w:r>
      <w:r w:rsidRPr="00AF2DF0">
        <w:rPr>
          <w:rFonts w:cs="Times New Roman"/>
          <w:noProof/>
          <w:szCs w:val="24"/>
        </w:rPr>
        <w:t xml:space="preserve">, </w:t>
      </w:r>
      <w:r w:rsidRPr="00AF2DF0">
        <w:rPr>
          <w:rFonts w:cs="Times New Roman"/>
          <w:b/>
          <w:bCs/>
          <w:noProof/>
          <w:szCs w:val="24"/>
        </w:rPr>
        <w:t>Giampieri F</w:t>
      </w:r>
      <w:r w:rsidRPr="00AF2DF0">
        <w:rPr>
          <w:rFonts w:cs="Times New Roman"/>
          <w:noProof/>
          <w:szCs w:val="24"/>
        </w:rPr>
        <w:t xml:space="preserve"> and </w:t>
      </w:r>
      <w:r w:rsidRPr="00AF2DF0">
        <w:rPr>
          <w:rFonts w:cs="Times New Roman"/>
          <w:b/>
          <w:bCs/>
          <w:noProof/>
          <w:szCs w:val="24"/>
        </w:rPr>
        <w:t>Battino M</w:t>
      </w:r>
      <w:r w:rsidRPr="00AF2DF0">
        <w:rPr>
          <w:rFonts w:cs="Times New Roman"/>
          <w:noProof/>
          <w:szCs w:val="24"/>
        </w:rPr>
        <w:t xml:space="preserve"> (2018) Nutritional patterns associated with the maintenance of neurocognitive functions and the risk of dementia and Alzheimer’s disease: A focus on human studies, </w:t>
      </w:r>
      <w:r w:rsidRPr="00AF2DF0">
        <w:rPr>
          <w:rFonts w:cs="Times New Roman"/>
          <w:i/>
          <w:iCs/>
          <w:noProof/>
          <w:szCs w:val="24"/>
        </w:rPr>
        <w:t>Pharmacological Research</w:t>
      </w:r>
      <w:r w:rsidRPr="00AF2DF0">
        <w:rPr>
          <w:rFonts w:cs="Times New Roman"/>
          <w:noProof/>
          <w:szCs w:val="24"/>
        </w:rPr>
        <w:t xml:space="preserve"> </w:t>
      </w:r>
      <w:r w:rsidRPr="00AF2DF0">
        <w:rPr>
          <w:rFonts w:cs="Times New Roman"/>
          <w:b/>
          <w:bCs/>
          <w:noProof/>
          <w:szCs w:val="24"/>
        </w:rPr>
        <w:t>131</w:t>
      </w:r>
      <w:r w:rsidRPr="00AF2DF0">
        <w:rPr>
          <w:rFonts w:cs="Times New Roman"/>
          <w:noProof/>
          <w:szCs w:val="24"/>
        </w:rPr>
        <w:t>, 32–43.</w:t>
      </w:r>
    </w:p>
    <w:p w14:paraId="6D2C8FD6"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Rasmussen KL</w:t>
      </w:r>
      <w:r w:rsidRPr="00AF2DF0">
        <w:rPr>
          <w:rFonts w:cs="Times New Roman"/>
          <w:noProof/>
          <w:szCs w:val="24"/>
        </w:rPr>
        <w:t xml:space="preserve">, </w:t>
      </w:r>
      <w:r w:rsidRPr="00AF2DF0">
        <w:rPr>
          <w:rFonts w:cs="Times New Roman"/>
          <w:b/>
          <w:bCs/>
          <w:noProof/>
          <w:szCs w:val="24"/>
        </w:rPr>
        <w:t>Tybjærg-Hansen A</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and </w:t>
      </w:r>
      <w:r w:rsidRPr="00AF2DF0">
        <w:rPr>
          <w:rFonts w:cs="Times New Roman"/>
          <w:b/>
          <w:bCs/>
          <w:noProof/>
          <w:szCs w:val="24"/>
        </w:rPr>
        <w:t>Frikke-Schmidt R</w:t>
      </w:r>
      <w:r w:rsidRPr="00AF2DF0">
        <w:rPr>
          <w:rFonts w:cs="Times New Roman"/>
          <w:noProof/>
          <w:szCs w:val="24"/>
        </w:rPr>
        <w:t xml:space="preserve"> (2015) Plasma levels of apolipoprotein E and risk of dementia in the general population, </w:t>
      </w:r>
      <w:r w:rsidRPr="00AF2DF0">
        <w:rPr>
          <w:rFonts w:cs="Times New Roman"/>
          <w:i/>
          <w:iCs/>
          <w:noProof/>
          <w:szCs w:val="24"/>
        </w:rPr>
        <w:t>Annals of Neurology</w:t>
      </w:r>
      <w:r w:rsidRPr="00AF2DF0">
        <w:rPr>
          <w:rFonts w:cs="Times New Roman"/>
          <w:noProof/>
          <w:szCs w:val="24"/>
        </w:rPr>
        <w:t xml:space="preserve"> </w:t>
      </w:r>
      <w:r w:rsidRPr="00AF2DF0">
        <w:rPr>
          <w:rFonts w:cs="Times New Roman"/>
          <w:b/>
          <w:bCs/>
          <w:noProof/>
          <w:szCs w:val="24"/>
        </w:rPr>
        <w:t>77</w:t>
      </w:r>
      <w:r w:rsidRPr="00AF2DF0">
        <w:rPr>
          <w:rFonts w:cs="Times New Roman"/>
          <w:noProof/>
          <w:szCs w:val="24"/>
        </w:rPr>
        <w:t>, 301–311.</w:t>
      </w:r>
    </w:p>
    <w:p w14:paraId="6197089D" w14:textId="77777777" w:rsidR="00AF2DF0" w:rsidRPr="00AF2DF0" w:rsidRDefault="00AF2DF0" w:rsidP="00AF2DF0">
      <w:pPr>
        <w:widowControl w:val="0"/>
        <w:autoSpaceDE w:val="0"/>
        <w:autoSpaceDN w:val="0"/>
        <w:adjustRightInd w:val="0"/>
        <w:rPr>
          <w:rFonts w:cs="Times New Roman"/>
          <w:noProof/>
          <w:szCs w:val="24"/>
        </w:rPr>
      </w:pPr>
      <w:r w:rsidRPr="00AF2DF0">
        <w:rPr>
          <w:rFonts w:cs="Times New Roman"/>
          <w:b/>
          <w:bCs/>
          <w:noProof/>
          <w:szCs w:val="24"/>
        </w:rPr>
        <w:t>Rasmussen KL</w:t>
      </w:r>
      <w:r w:rsidRPr="00AF2DF0">
        <w:rPr>
          <w:rFonts w:cs="Times New Roman"/>
          <w:noProof/>
          <w:szCs w:val="24"/>
        </w:rPr>
        <w:t xml:space="preserve">, </w:t>
      </w:r>
      <w:r w:rsidRPr="00AF2DF0">
        <w:rPr>
          <w:rFonts w:cs="Times New Roman"/>
          <w:b/>
          <w:bCs/>
          <w:noProof/>
          <w:szCs w:val="24"/>
        </w:rPr>
        <w:t>Tybjærg-Hansen A</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and </w:t>
      </w:r>
      <w:r w:rsidRPr="00AF2DF0">
        <w:rPr>
          <w:rFonts w:cs="Times New Roman"/>
          <w:b/>
          <w:bCs/>
          <w:noProof/>
          <w:szCs w:val="24"/>
        </w:rPr>
        <w:t>Frikke-Schmidt R</w:t>
      </w:r>
      <w:r w:rsidRPr="00AF2DF0">
        <w:rPr>
          <w:rFonts w:cs="Times New Roman"/>
          <w:noProof/>
          <w:szCs w:val="24"/>
        </w:rPr>
        <w:t xml:space="preserve"> (2019) Plasma levels of apolipoprotein E, APOE genotype, and all-cause and cause-specific mortality in 105 949 individuals from a white general population cohort, </w:t>
      </w:r>
      <w:r w:rsidRPr="00AF2DF0">
        <w:rPr>
          <w:rFonts w:cs="Times New Roman"/>
          <w:i/>
          <w:iCs/>
          <w:noProof/>
          <w:szCs w:val="24"/>
        </w:rPr>
        <w:t>European Heart Journal</w:t>
      </w:r>
      <w:r w:rsidRPr="00AF2DF0">
        <w:rPr>
          <w:rFonts w:cs="Times New Roman"/>
          <w:noProof/>
          <w:szCs w:val="24"/>
        </w:rPr>
        <w:t xml:space="preserve"> </w:t>
      </w:r>
      <w:r w:rsidRPr="00AF2DF0">
        <w:rPr>
          <w:rFonts w:cs="Times New Roman"/>
          <w:b/>
          <w:bCs/>
          <w:noProof/>
          <w:szCs w:val="24"/>
        </w:rPr>
        <w:t>40</w:t>
      </w:r>
      <w:r w:rsidRPr="00AF2DF0">
        <w:rPr>
          <w:rFonts w:cs="Times New Roman"/>
          <w:noProof/>
          <w:szCs w:val="24"/>
        </w:rPr>
        <w:t>, 2813–2824.</w:t>
      </w:r>
    </w:p>
    <w:p w14:paraId="7A32633F" w14:textId="77777777" w:rsidR="00AF2DF0" w:rsidRPr="00AF2DF0" w:rsidRDefault="00AF2DF0" w:rsidP="00AF2DF0">
      <w:pPr>
        <w:widowControl w:val="0"/>
        <w:autoSpaceDE w:val="0"/>
        <w:autoSpaceDN w:val="0"/>
        <w:adjustRightInd w:val="0"/>
        <w:rPr>
          <w:rFonts w:cs="Times New Roman"/>
          <w:noProof/>
        </w:rPr>
      </w:pPr>
      <w:r w:rsidRPr="00AF2DF0">
        <w:rPr>
          <w:rFonts w:cs="Times New Roman"/>
          <w:b/>
          <w:bCs/>
          <w:noProof/>
          <w:szCs w:val="24"/>
        </w:rPr>
        <w:t>Rasmussen KL</w:t>
      </w:r>
      <w:r w:rsidRPr="00AF2DF0">
        <w:rPr>
          <w:rFonts w:cs="Times New Roman"/>
          <w:noProof/>
          <w:szCs w:val="24"/>
        </w:rPr>
        <w:t xml:space="preserve">, </w:t>
      </w:r>
      <w:r w:rsidRPr="00AF2DF0">
        <w:rPr>
          <w:rFonts w:cs="Times New Roman"/>
          <w:b/>
          <w:bCs/>
          <w:noProof/>
          <w:szCs w:val="24"/>
        </w:rPr>
        <w:t>Tybjærg-Hansen A</w:t>
      </w:r>
      <w:r w:rsidRPr="00AF2DF0">
        <w:rPr>
          <w:rFonts w:cs="Times New Roman"/>
          <w:noProof/>
          <w:szCs w:val="24"/>
        </w:rPr>
        <w:t xml:space="preserve">, </w:t>
      </w:r>
      <w:r w:rsidRPr="00AF2DF0">
        <w:rPr>
          <w:rFonts w:cs="Times New Roman"/>
          <w:b/>
          <w:bCs/>
          <w:noProof/>
          <w:szCs w:val="24"/>
        </w:rPr>
        <w:t>Nordestgaard BG</w:t>
      </w:r>
      <w:r w:rsidRPr="00AF2DF0">
        <w:rPr>
          <w:rFonts w:cs="Times New Roman"/>
          <w:noProof/>
          <w:szCs w:val="24"/>
        </w:rPr>
        <w:t xml:space="preserve"> and </w:t>
      </w:r>
      <w:r w:rsidRPr="00AF2DF0">
        <w:rPr>
          <w:rFonts w:cs="Times New Roman"/>
          <w:b/>
          <w:bCs/>
          <w:noProof/>
          <w:szCs w:val="24"/>
        </w:rPr>
        <w:t>Frikke-Schmidt R</w:t>
      </w:r>
      <w:r w:rsidRPr="00AF2DF0">
        <w:rPr>
          <w:rFonts w:cs="Times New Roman"/>
          <w:noProof/>
          <w:szCs w:val="24"/>
        </w:rPr>
        <w:t xml:space="preserve"> (2020) APOE and dementia – resequencing and genotyping in 105,597 individuals, </w:t>
      </w:r>
      <w:r w:rsidRPr="00AF2DF0">
        <w:rPr>
          <w:rFonts w:cs="Times New Roman"/>
          <w:i/>
          <w:iCs/>
          <w:noProof/>
          <w:szCs w:val="24"/>
        </w:rPr>
        <w:t>Alzheimer’s and Dementia</w:t>
      </w:r>
      <w:r w:rsidRPr="00AF2DF0">
        <w:rPr>
          <w:rFonts w:cs="Times New Roman"/>
          <w:noProof/>
          <w:szCs w:val="24"/>
        </w:rPr>
        <w:t xml:space="preserve"> </w:t>
      </w:r>
      <w:r w:rsidRPr="00AF2DF0">
        <w:rPr>
          <w:rFonts w:cs="Times New Roman"/>
          <w:b/>
          <w:bCs/>
          <w:noProof/>
          <w:szCs w:val="24"/>
        </w:rPr>
        <w:t>16</w:t>
      </w:r>
      <w:r w:rsidRPr="00AF2DF0">
        <w:rPr>
          <w:rFonts w:cs="Times New Roman"/>
          <w:noProof/>
          <w:szCs w:val="24"/>
        </w:rPr>
        <w:t>, 1624–1637.</w:t>
      </w:r>
    </w:p>
    <w:p w14:paraId="71549394" w14:textId="5A8A0DC3" w:rsidR="00604F94" w:rsidRPr="00116F45" w:rsidRDefault="00604F94" w:rsidP="00604F94">
      <w:pPr>
        <w:rPr>
          <w:lang w:val="en-US"/>
        </w:rPr>
      </w:pPr>
      <w:r w:rsidRPr="00116F45">
        <w:rPr>
          <w:lang w:val="en-GB"/>
        </w:rPr>
        <w:fldChar w:fldCharType="end"/>
      </w:r>
      <w:r w:rsidRPr="00116F45">
        <w:rPr>
          <w:lang w:val="en-US"/>
        </w:rPr>
        <w:br w:type="page"/>
      </w:r>
    </w:p>
    <w:p w14:paraId="482884C1" w14:textId="0D88C804" w:rsidR="00604F94" w:rsidRPr="00116F45" w:rsidRDefault="00604F94" w:rsidP="00604F94">
      <w:pPr>
        <w:pStyle w:val="Heading1"/>
        <w:rPr>
          <w:lang w:val="en-US"/>
        </w:rPr>
      </w:pPr>
      <w:bookmarkStart w:id="12" w:name="_Toc110945223"/>
      <w:r w:rsidRPr="00116F45">
        <w:rPr>
          <w:lang w:val="en-US"/>
        </w:rPr>
        <w:lastRenderedPageBreak/>
        <w:t>Supplementary Tables</w:t>
      </w:r>
      <w:bookmarkEnd w:id="12"/>
    </w:p>
    <w:p w14:paraId="44BC0955" w14:textId="54AE921F" w:rsidR="00181729" w:rsidRPr="00116F45" w:rsidRDefault="00181729" w:rsidP="00604F94">
      <w:pPr>
        <w:pStyle w:val="Heading2"/>
        <w:rPr>
          <w:lang w:val="en-US"/>
        </w:rPr>
      </w:pPr>
      <w:bookmarkStart w:id="13" w:name="_Toc110945224"/>
      <w:r w:rsidRPr="00116F45">
        <w:rPr>
          <w:lang w:val="en-US"/>
        </w:rPr>
        <w:t>Supplementary Table 1. Baseline characteristics for individuals included and excluded from the study.</w:t>
      </w:r>
      <w:bookmarkEnd w:id="13"/>
      <w:r w:rsidR="00604F94" w:rsidRPr="00116F45">
        <w:rPr>
          <w:lang w:val="en-US"/>
        </w:rPr>
        <w:t xml:space="preserve"> </w:t>
      </w:r>
    </w:p>
    <w:p w14:paraId="097277BA" w14:textId="321F0AFF" w:rsidR="00181729" w:rsidRPr="00116F45" w:rsidRDefault="00181729" w:rsidP="00181729">
      <w:pPr>
        <w:rPr>
          <w:lang w:val="en-US"/>
        </w:rPr>
      </w:pPr>
    </w:p>
    <w:p w14:paraId="6BF5982C" w14:textId="47DBD163" w:rsidR="00181729" w:rsidRPr="00116F45" w:rsidRDefault="00181729" w:rsidP="00181729">
      <w:pPr>
        <w:rPr>
          <w:lang w:val="en-US"/>
        </w:rPr>
      </w:pPr>
    </w:p>
    <w:p w14:paraId="56FC911D" w14:textId="3257F0AF" w:rsidR="00181729" w:rsidRPr="00116F45" w:rsidRDefault="00181729" w:rsidP="00181729">
      <w:pPr>
        <w:rPr>
          <w:lang w:val="en-US"/>
        </w:rPr>
      </w:pPr>
    </w:p>
    <w:p w14:paraId="72B939AB" w14:textId="46E65BFE" w:rsidR="00181729" w:rsidRPr="00116F45" w:rsidRDefault="00181729" w:rsidP="00181729">
      <w:pPr>
        <w:rPr>
          <w:lang w:val="en-US"/>
        </w:rPr>
      </w:pPr>
    </w:p>
    <w:p w14:paraId="0E63F751" w14:textId="2C13A250" w:rsidR="00181729" w:rsidRPr="00116F45" w:rsidRDefault="00181729" w:rsidP="00181729">
      <w:pPr>
        <w:rPr>
          <w:lang w:val="en-US"/>
        </w:rPr>
      </w:pPr>
    </w:p>
    <w:p w14:paraId="0846A045" w14:textId="187F3C4E" w:rsidR="00181729" w:rsidRPr="00116F45" w:rsidRDefault="00181729" w:rsidP="00181729">
      <w:pPr>
        <w:rPr>
          <w:lang w:val="en-US"/>
        </w:rPr>
      </w:pPr>
    </w:p>
    <w:p w14:paraId="64392984" w14:textId="7FFA9B18" w:rsidR="00181729" w:rsidRPr="00116F45" w:rsidRDefault="00181729" w:rsidP="00181729">
      <w:pPr>
        <w:rPr>
          <w:lang w:val="en-US"/>
        </w:rPr>
      </w:pPr>
    </w:p>
    <w:p w14:paraId="4C1CE85F" w14:textId="0C0B59B5" w:rsidR="00181729" w:rsidRPr="00116F45" w:rsidRDefault="00181729" w:rsidP="00181729">
      <w:pPr>
        <w:rPr>
          <w:lang w:val="en-US"/>
        </w:rPr>
      </w:pPr>
    </w:p>
    <w:p w14:paraId="2A7D3C63" w14:textId="21826E52" w:rsidR="00181729" w:rsidRPr="00116F45" w:rsidRDefault="00181729" w:rsidP="00181729">
      <w:pPr>
        <w:rPr>
          <w:lang w:val="en-US"/>
        </w:rPr>
      </w:pPr>
    </w:p>
    <w:p w14:paraId="0BADEEF4" w14:textId="14C8BB4A" w:rsidR="00181729" w:rsidRPr="00116F45" w:rsidRDefault="00181729" w:rsidP="00181729">
      <w:pPr>
        <w:spacing w:line="240" w:lineRule="auto"/>
        <w:rPr>
          <w:rFonts w:cs="Times New Roman"/>
          <w:sz w:val="20"/>
          <w:szCs w:val="20"/>
          <w:lang w:val="en-GB"/>
        </w:rPr>
      </w:pPr>
      <w:r w:rsidRPr="00116F45">
        <w:rPr>
          <w:rFonts w:cs="Times New Roman"/>
          <w:sz w:val="20"/>
          <w:szCs w:val="20"/>
          <w:lang w:val="en-GB"/>
        </w:rPr>
        <w:t xml:space="preserve">Values are mean (±standard deviation) or percentage and are from the day of enrolment. </w:t>
      </w:r>
      <w:r w:rsidR="006275FE" w:rsidRPr="00116F45">
        <w:rPr>
          <w:rFonts w:cs="Times New Roman"/>
          <w:sz w:val="20"/>
          <w:szCs w:val="20"/>
          <w:lang w:val="en-GB"/>
        </w:rPr>
        <w:t xml:space="preserve">Please see methods (covariates) for details. </w:t>
      </w:r>
    </w:p>
    <w:p w14:paraId="4230CF8E" w14:textId="77777777" w:rsidR="00181729" w:rsidRPr="00116F45" w:rsidRDefault="00181729" w:rsidP="00181729">
      <w:pPr>
        <w:rPr>
          <w:lang w:val="en-US"/>
        </w:rPr>
      </w:pPr>
    </w:p>
    <w:tbl>
      <w:tblPr>
        <w:tblpPr w:leftFromText="141" w:rightFromText="141" w:bottomFromText="160" w:vertAnchor="page" w:horzAnchor="margin" w:tblpXSpec="center" w:tblpY="3179"/>
        <w:tblW w:w="0" w:type="auto"/>
        <w:tblLayout w:type="fixed"/>
        <w:tblCellMar>
          <w:left w:w="70" w:type="dxa"/>
          <w:right w:w="70" w:type="dxa"/>
        </w:tblCellMar>
        <w:tblLook w:val="04A0" w:firstRow="1" w:lastRow="0" w:firstColumn="1" w:lastColumn="0" w:noHBand="0" w:noVBand="1"/>
      </w:tblPr>
      <w:tblGrid>
        <w:gridCol w:w="3795"/>
        <w:gridCol w:w="1308"/>
        <w:gridCol w:w="1276"/>
        <w:gridCol w:w="1403"/>
      </w:tblGrid>
      <w:tr w:rsidR="00116F45" w:rsidRPr="00116F45" w14:paraId="4682424F" w14:textId="77777777" w:rsidTr="00604F94">
        <w:trPr>
          <w:trHeight w:val="300"/>
        </w:trPr>
        <w:tc>
          <w:tcPr>
            <w:tcW w:w="3795" w:type="dxa"/>
            <w:tcBorders>
              <w:top w:val="single" w:sz="4" w:space="0" w:color="auto"/>
              <w:left w:val="nil"/>
              <w:bottom w:val="single" w:sz="4" w:space="0" w:color="auto"/>
              <w:right w:val="nil"/>
            </w:tcBorders>
            <w:noWrap/>
            <w:vAlign w:val="center"/>
            <w:hideMark/>
          </w:tcPr>
          <w:p w14:paraId="41C3523C" w14:textId="77777777" w:rsidR="004A4C7A" w:rsidRPr="00116F45" w:rsidRDefault="004A4C7A" w:rsidP="00604F94">
            <w:pPr>
              <w:spacing w:before="60" w:after="60" w:line="276" w:lineRule="auto"/>
              <w:rPr>
                <w:rFonts w:eastAsia="Times New Roman" w:cs="Times New Roman"/>
                <w:b/>
                <w:bCs/>
                <w:sz w:val="20"/>
                <w:szCs w:val="20"/>
                <w:lang w:eastAsia="da-DK"/>
              </w:rPr>
            </w:pPr>
            <w:r w:rsidRPr="00116F45">
              <w:rPr>
                <w:rFonts w:eastAsia="Times New Roman" w:cs="Times New Roman"/>
                <w:b/>
                <w:bCs/>
                <w:sz w:val="20"/>
                <w:szCs w:val="20"/>
                <w:lang w:eastAsia="da-DK"/>
              </w:rPr>
              <w:t xml:space="preserve">Baseline </w:t>
            </w:r>
            <w:proofErr w:type="spellStart"/>
            <w:r w:rsidRPr="00116F45">
              <w:rPr>
                <w:rFonts w:eastAsia="Times New Roman" w:cs="Times New Roman"/>
                <w:b/>
                <w:bCs/>
                <w:sz w:val="20"/>
                <w:szCs w:val="20"/>
                <w:lang w:eastAsia="da-DK"/>
              </w:rPr>
              <w:t>characteristics</w:t>
            </w:r>
            <w:proofErr w:type="spellEnd"/>
          </w:p>
        </w:tc>
        <w:tc>
          <w:tcPr>
            <w:tcW w:w="1308" w:type="dxa"/>
            <w:tcBorders>
              <w:top w:val="single" w:sz="4" w:space="0" w:color="auto"/>
              <w:left w:val="nil"/>
              <w:bottom w:val="single" w:sz="4" w:space="0" w:color="auto"/>
              <w:right w:val="nil"/>
            </w:tcBorders>
            <w:noWrap/>
            <w:vAlign w:val="center"/>
            <w:hideMark/>
          </w:tcPr>
          <w:p w14:paraId="7D36AFDE" w14:textId="77777777" w:rsidR="004A4C7A" w:rsidRPr="00116F45" w:rsidRDefault="004A4C7A" w:rsidP="00604F94">
            <w:pPr>
              <w:spacing w:before="60" w:after="60" w:line="276" w:lineRule="auto"/>
              <w:jc w:val="center"/>
              <w:rPr>
                <w:rFonts w:eastAsia="Times New Roman" w:cs="Times New Roman"/>
                <w:b/>
                <w:bCs/>
                <w:sz w:val="20"/>
                <w:szCs w:val="20"/>
                <w:lang w:eastAsia="da-DK"/>
              </w:rPr>
            </w:pPr>
            <w:proofErr w:type="spellStart"/>
            <w:r w:rsidRPr="00116F45">
              <w:rPr>
                <w:rFonts w:eastAsia="Times New Roman" w:cs="Times New Roman"/>
                <w:b/>
                <w:bCs/>
                <w:sz w:val="20"/>
                <w:szCs w:val="20"/>
                <w:lang w:eastAsia="da-DK"/>
              </w:rPr>
              <w:t>Included</w:t>
            </w:r>
            <w:proofErr w:type="spellEnd"/>
            <w:r w:rsidRPr="00116F45">
              <w:rPr>
                <w:rFonts w:eastAsia="Times New Roman" w:cs="Times New Roman"/>
                <w:b/>
                <w:bCs/>
                <w:sz w:val="20"/>
                <w:szCs w:val="20"/>
                <w:lang w:eastAsia="da-DK"/>
              </w:rPr>
              <w:t xml:space="preserve"> </w:t>
            </w:r>
            <w:proofErr w:type="spellStart"/>
            <w:r w:rsidRPr="00116F45">
              <w:rPr>
                <w:rFonts w:eastAsia="Times New Roman" w:cs="Times New Roman"/>
                <w:b/>
                <w:bCs/>
                <w:sz w:val="20"/>
                <w:szCs w:val="20"/>
                <w:lang w:eastAsia="da-DK"/>
              </w:rPr>
              <w:t>individuals</w:t>
            </w:r>
            <w:proofErr w:type="spellEnd"/>
          </w:p>
        </w:tc>
        <w:tc>
          <w:tcPr>
            <w:tcW w:w="1276" w:type="dxa"/>
            <w:tcBorders>
              <w:top w:val="single" w:sz="4" w:space="0" w:color="auto"/>
              <w:left w:val="nil"/>
              <w:bottom w:val="single" w:sz="4" w:space="0" w:color="auto"/>
              <w:right w:val="nil"/>
            </w:tcBorders>
            <w:hideMark/>
          </w:tcPr>
          <w:p w14:paraId="3605E351" w14:textId="77777777" w:rsidR="004A4C7A" w:rsidRPr="00116F45" w:rsidRDefault="004A4C7A" w:rsidP="00604F94">
            <w:pPr>
              <w:spacing w:before="60" w:after="60" w:line="276" w:lineRule="auto"/>
              <w:jc w:val="center"/>
              <w:rPr>
                <w:rFonts w:eastAsia="Times New Roman" w:cs="Times New Roman"/>
                <w:b/>
                <w:bCs/>
                <w:sz w:val="20"/>
                <w:szCs w:val="20"/>
                <w:lang w:eastAsia="da-DK"/>
              </w:rPr>
            </w:pPr>
            <w:proofErr w:type="spellStart"/>
            <w:r w:rsidRPr="00116F45">
              <w:rPr>
                <w:rFonts w:eastAsia="Times New Roman" w:cs="Times New Roman"/>
                <w:b/>
                <w:bCs/>
                <w:sz w:val="20"/>
                <w:szCs w:val="20"/>
                <w:lang w:eastAsia="da-DK"/>
              </w:rPr>
              <w:t>Excluded</w:t>
            </w:r>
            <w:proofErr w:type="spellEnd"/>
            <w:r w:rsidRPr="00116F45">
              <w:rPr>
                <w:rFonts w:eastAsia="Times New Roman" w:cs="Times New Roman"/>
                <w:b/>
                <w:bCs/>
                <w:sz w:val="20"/>
                <w:szCs w:val="20"/>
                <w:lang w:eastAsia="da-DK"/>
              </w:rPr>
              <w:t xml:space="preserve"> </w:t>
            </w:r>
            <w:proofErr w:type="spellStart"/>
            <w:r w:rsidRPr="00116F45">
              <w:rPr>
                <w:rFonts w:eastAsia="Times New Roman" w:cs="Times New Roman"/>
                <w:b/>
                <w:bCs/>
                <w:sz w:val="20"/>
                <w:szCs w:val="20"/>
                <w:lang w:eastAsia="da-DK"/>
              </w:rPr>
              <w:t>individuals</w:t>
            </w:r>
            <w:proofErr w:type="spellEnd"/>
          </w:p>
        </w:tc>
        <w:tc>
          <w:tcPr>
            <w:tcW w:w="1403" w:type="dxa"/>
            <w:tcBorders>
              <w:top w:val="single" w:sz="4" w:space="0" w:color="auto"/>
              <w:left w:val="nil"/>
              <w:bottom w:val="single" w:sz="4" w:space="0" w:color="auto"/>
              <w:right w:val="nil"/>
            </w:tcBorders>
            <w:vAlign w:val="center"/>
          </w:tcPr>
          <w:p w14:paraId="2D1DDF1F" w14:textId="47E83332" w:rsidR="004A4C7A" w:rsidRPr="00116F45" w:rsidRDefault="004A4C7A" w:rsidP="00604F94">
            <w:pPr>
              <w:spacing w:before="60" w:after="60" w:line="240" w:lineRule="auto"/>
              <w:jc w:val="center"/>
              <w:rPr>
                <w:rFonts w:eastAsia="Times New Roman" w:cs="Times New Roman"/>
                <w:b/>
                <w:bCs/>
                <w:sz w:val="20"/>
                <w:szCs w:val="20"/>
                <w:lang w:eastAsia="da-DK"/>
              </w:rPr>
            </w:pPr>
            <w:r w:rsidRPr="00116F45">
              <w:rPr>
                <w:rFonts w:eastAsia="Times New Roman" w:cs="Times New Roman"/>
                <w:b/>
                <w:bCs/>
                <w:sz w:val="20"/>
                <w:szCs w:val="20"/>
                <w:lang w:eastAsia="da-DK"/>
              </w:rPr>
              <w:t>P-</w:t>
            </w:r>
            <w:proofErr w:type="spellStart"/>
            <w:r w:rsidRPr="00116F45">
              <w:rPr>
                <w:rFonts w:eastAsia="Times New Roman" w:cs="Times New Roman"/>
                <w:b/>
                <w:bCs/>
                <w:sz w:val="20"/>
                <w:szCs w:val="20"/>
                <w:lang w:eastAsia="da-DK"/>
              </w:rPr>
              <w:t>value</w:t>
            </w:r>
            <w:proofErr w:type="spellEnd"/>
          </w:p>
        </w:tc>
      </w:tr>
      <w:tr w:rsidR="00116F45" w:rsidRPr="00116F45" w14:paraId="7B6ECBAF" w14:textId="77777777" w:rsidTr="00604F94">
        <w:trPr>
          <w:trHeight w:val="300"/>
        </w:trPr>
        <w:tc>
          <w:tcPr>
            <w:tcW w:w="3795" w:type="dxa"/>
            <w:noWrap/>
            <w:vAlign w:val="bottom"/>
            <w:hideMark/>
          </w:tcPr>
          <w:p w14:paraId="5626D718" w14:textId="77777777" w:rsidR="004A4C7A" w:rsidRPr="00116F45" w:rsidRDefault="004A4C7A" w:rsidP="00604F94">
            <w:pPr>
              <w:spacing w:line="276" w:lineRule="auto"/>
              <w:rPr>
                <w:rFonts w:eastAsia="Times New Roman" w:cs="Times New Roman"/>
                <w:sz w:val="20"/>
                <w:szCs w:val="20"/>
                <w:lang w:eastAsia="da-DK"/>
              </w:rPr>
            </w:pPr>
            <w:proofErr w:type="spellStart"/>
            <w:r w:rsidRPr="00116F45">
              <w:rPr>
                <w:rFonts w:eastAsia="Times New Roman" w:cs="Times New Roman"/>
                <w:sz w:val="20"/>
                <w:szCs w:val="20"/>
                <w:lang w:eastAsia="da-DK"/>
              </w:rPr>
              <w:t>Number</w:t>
            </w:r>
            <w:proofErr w:type="spellEnd"/>
          </w:p>
        </w:tc>
        <w:tc>
          <w:tcPr>
            <w:tcW w:w="1308" w:type="dxa"/>
            <w:noWrap/>
            <w:vAlign w:val="center"/>
            <w:hideMark/>
          </w:tcPr>
          <w:p w14:paraId="2B169AF9" w14:textId="77777777"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94,184</w:t>
            </w:r>
          </w:p>
        </w:tc>
        <w:tc>
          <w:tcPr>
            <w:tcW w:w="1276" w:type="dxa"/>
            <w:vAlign w:val="center"/>
            <w:hideMark/>
          </w:tcPr>
          <w:p w14:paraId="1D440179" w14:textId="7955E1E1"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1</w:t>
            </w:r>
            <w:r w:rsidR="00E24AB8" w:rsidRPr="00116F45">
              <w:rPr>
                <w:rFonts w:eastAsia="Times New Roman" w:cs="Times New Roman"/>
                <w:sz w:val="20"/>
                <w:szCs w:val="20"/>
                <w:lang w:eastAsia="da-DK"/>
              </w:rPr>
              <w:t>3,</w:t>
            </w:r>
            <w:r w:rsidR="009C2082" w:rsidRPr="00116F45">
              <w:rPr>
                <w:rFonts w:eastAsia="Times New Roman" w:cs="Times New Roman"/>
                <w:sz w:val="20"/>
                <w:szCs w:val="20"/>
                <w:lang w:eastAsia="da-DK"/>
              </w:rPr>
              <w:t>904</w:t>
            </w:r>
          </w:p>
        </w:tc>
        <w:tc>
          <w:tcPr>
            <w:tcW w:w="1403" w:type="dxa"/>
          </w:tcPr>
          <w:p w14:paraId="628E25F0" w14:textId="77777777" w:rsidR="004A4C7A" w:rsidRPr="00116F45" w:rsidRDefault="004A4C7A" w:rsidP="00604F94">
            <w:pPr>
              <w:spacing w:line="240" w:lineRule="auto"/>
              <w:jc w:val="center"/>
              <w:rPr>
                <w:rFonts w:eastAsia="Times New Roman" w:cs="Times New Roman"/>
                <w:sz w:val="20"/>
                <w:szCs w:val="20"/>
                <w:lang w:eastAsia="da-DK"/>
              </w:rPr>
            </w:pPr>
          </w:p>
        </w:tc>
      </w:tr>
      <w:tr w:rsidR="00116F45" w:rsidRPr="00116F45" w14:paraId="25F48151" w14:textId="77777777" w:rsidTr="00604F94">
        <w:trPr>
          <w:trHeight w:val="300"/>
        </w:trPr>
        <w:tc>
          <w:tcPr>
            <w:tcW w:w="3795" w:type="dxa"/>
            <w:noWrap/>
            <w:vAlign w:val="bottom"/>
            <w:hideMark/>
          </w:tcPr>
          <w:p w14:paraId="6489007E" w14:textId="77777777"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 xml:space="preserve">Age, </w:t>
            </w:r>
            <w:proofErr w:type="spellStart"/>
            <w:r w:rsidRPr="00116F45">
              <w:rPr>
                <w:rFonts w:eastAsia="Times New Roman" w:cs="Times New Roman"/>
                <w:sz w:val="20"/>
                <w:szCs w:val="20"/>
                <w:lang w:eastAsia="da-DK"/>
              </w:rPr>
              <w:t>years</w:t>
            </w:r>
            <w:proofErr w:type="spellEnd"/>
          </w:p>
        </w:tc>
        <w:tc>
          <w:tcPr>
            <w:tcW w:w="1308" w:type="dxa"/>
            <w:noWrap/>
            <w:vAlign w:val="center"/>
            <w:hideMark/>
          </w:tcPr>
          <w:p w14:paraId="76E4CECB" w14:textId="4CA8278D"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5</w:t>
            </w:r>
            <w:r w:rsidR="003F644B" w:rsidRPr="00116F45">
              <w:rPr>
                <w:rFonts w:eastAsia="Times New Roman" w:cs="Times New Roman"/>
                <w:sz w:val="20"/>
                <w:szCs w:val="20"/>
                <w:lang w:eastAsia="da-DK"/>
              </w:rPr>
              <w:t>8.0</w:t>
            </w:r>
            <w:r w:rsidRPr="00116F45">
              <w:rPr>
                <w:rFonts w:eastAsia="Times New Roman" w:cs="Times New Roman"/>
                <w:sz w:val="20"/>
                <w:szCs w:val="20"/>
                <w:lang w:eastAsia="da-DK"/>
              </w:rPr>
              <w:t xml:space="preserve"> (±13.0)</w:t>
            </w:r>
          </w:p>
        </w:tc>
        <w:tc>
          <w:tcPr>
            <w:tcW w:w="1276" w:type="dxa"/>
            <w:vAlign w:val="center"/>
            <w:hideMark/>
          </w:tcPr>
          <w:p w14:paraId="42DE269A" w14:textId="47E24286"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58.</w:t>
            </w:r>
            <w:r w:rsidR="003F644B" w:rsidRPr="00116F45">
              <w:rPr>
                <w:rFonts w:eastAsia="Times New Roman" w:cs="Times New Roman"/>
                <w:sz w:val="20"/>
                <w:szCs w:val="20"/>
                <w:lang w:eastAsia="da-DK"/>
              </w:rPr>
              <w:t>2</w:t>
            </w:r>
            <w:r w:rsidRPr="00116F45">
              <w:rPr>
                <w:rFonts w:eastAsia="Times New Roman" w:cs="Times New Roman"/>
                <w:sz w:val="20"/>
                <w:szCs w:val="20"/>
                <w:lang w:eastAsia="da-DK"/>
              </w:rPr>
              <w:t xml:space="preserve"> (±13.7)</w:t>
            </w:r>
          </w:p>
        </w:tc>
        <w:tc>
          <w:tcPr>
            <w:tcW w:w="1403" w:type="dxa"/>
          </w:tcPr>
          <w:p w14:paraId="2A5F8556" w14:textId="71AE6C22" w:rsidR="004A4C7A" w:rsidRPr="00116F45" w:rsidRDefault="00B13214"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0.</w:t>
            </w:r>
            <w:r w:rsidR="003F644B" w:rsidRPr="00116F45">
              <w:rPr>
                <w:rFonts w:eastAsia="Times New Roman" w:cs="Times New Roman"/>
                <w:sz w:val="20"/>
                <w:szCs w:val="20"/>
                <w:lang w:eastAsia="da-DK"/>
              </w:rPr>
              <w:t>3</w:t>
            </w:r>
            <w:r w:rsidRPr="00116F45">
              <w:rPr>
                <w:rFonts w:eastAsia="Times New Roman" w:cs="Times New Roman"/>
                <w:sz w:val="20"/>
                <w:szCs w:val="20"/>
                <w:lang w:eastAsia="da-DK"/>
              </w:rPr>
              <w:t>9</w:t>
            </w:r>
          </w:p>
        </w:tc>
      </w:tr>
      <w:tr w:rsidR="00116F45" w:rsidRPr="00116F45" w14:paraId="41D586B7" w14:textId="77777777" w:rsidTr="00604F94">
        <w:trPr>
          <w:trHeight w:val="300"/>
        </w:trPr>
        <w:tc>
          <w:tcPr>
            <w:tcW w:w="3795" w:type="dxa"/>
            <w:noWrap/>
            <w:vAlign w:val="bottom"/>
            <w:hideMark/>
          </w:tcPr>
          <w:p w14:paraId="3011D71E" w14:textId="04EB8A1E"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Men, no. (%)</w:t>
            </w:r>
          </w:p>
        </w:tc>
        <w:tc>
          <w:tcPr>
            <w:tcW w:w="1308" w:type="dxa"/>
            <w:noWrap/>
            <w:vAlign w:val="center"/>
            <w:hideMark/>
          </w:tcPr>
          <w:p w14:paraId="377679CF" w14:textId="6CA66CAD"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42,464 (45)</w:t>
            </w:r>
          </w:p>
        </w:tc>
        <w:tc>
          <w:tcPr>
            <w:tcW w:w="1276" w:type="dxa"/>
            <w:vAlign w:val="center"/>
            <w:hideMark/>
          </w:tcPr>
          <w:p w14:paraId="572BC0DB" w14:textId="5C137CB5" w:rsidR="004A4C7A" w:rsidRPr="00116F45" w:rsidRDefault="003F644B"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6,053</w:t>
            </w:r>
            <w:r w:rsidR="004A4C7A" w:rsidRPr="00116F45">
              <w:rPr>
                <w:rFonts w:eastAsia="Times New Roman" w:cs="Times New Roman"/>
                <w:sz w:val="20"/>
                <w:szCs w:val="20"/>
                <w:lang w:eastAsia="da-DK"/>
              </w:rPr>
              <w:t xml:space="preserve"> (</w:t>
            </w:r>
            <w:r w:rsidRPr="00116F45">
              <w:rPr>
                <w:rFonts w:eastAsia="Times New Roman" w:cs="Times New Roman"/>
                <w:sz w:val="20"/>
                <w:szCs w:val="20"/>
                <w:lang w:eastAsia="da-DK"/>
              </w:rPr>
              <w:t>44</w:t>
            </w:r>
            <w:r w:rsidR="004A4C7A" w:rsidRPr="00116F45">
              <w:rPr>
                <w:rFonts w:eastAsia="Times New Roman" w:cs="Times New Roman"/>
                <w:sz w:val="20"/>
                <w:szCs w:val="20"/>
                <w:lang w:eastAsia="da-DK"/>
              </w:rPr>
              <w:t>)</w:t>
            </w:r>
          </w:p>
        </w:tc>
        <w:tc>
          <w:tcPr>
            <w:tcW w:w="1403" w:type="dxa"/>
          </w:tcPr>
          <w:p w14:paraId="46A8D258" w14:textId="1CE0D6A8" w:rsidR="004A4C7A" w:rsidRPr="00116F45" w:rsidRDefault="00187F1A"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0.00</w:t>
            </w:r>
            <w:r w:rsidR="003F644B" w:rsidRPr="00116F45">
              <w:rPr>
                <w:rFonts w:eastAsia="Times New Roman" w:cs="Times New Roman"/>
                <w:sz w:val="20"/>
                <w:szCs w:val="20"/>
                <w:lang w:eastAsia="da-DK"/>
              </w:rPr>
              <w:t>3</w:t>
            </w:r>
          </w:p>
        </w:tc>
      </w:tr>
      <w:tr w:rsidR="00116F45" w:rsidRPr="00116F45" w14:paraId="164ABBEB" w14:textId="77777777" w:rsidTr="00604F94">
        <w:trPr>
          <w:trHeight w:val="300"/>
        </w:trPr>
        <w:tc>
          <w:tcPr>
            <w:tcW w:w="3795" w:type="dxa"/>
            <w:noWrap/>
            <w:vAlign w:val="bottom"/>
            <w:hideMark/>
          </w:tcPr>
          <w:p w14:paraId="379DFBE3" w14:textId="6AF463D7"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 xml:space="preserve">Low </w:t>
            </w:r>
            <w:proofErr w:type="spellStart"/>
            <w:r w:rsidRPr="00116F45">
              <w:rPr>
                <w:rFonts w:eastAsia="Times New Roman" w:cs="Times New Roman"/>
                <w:sz w:val="20"/>
                <w:szCs w:val="20"/>
                <w:lang w:eastAsia="da-DK"/>
              </w:rPr>
              <w:t>household</w:t>
            </w:r>
            <w:proofErr w:type="spellEnd"/>
            <w:r w:rsidRPr="00116F45">
              <w:rPr>
                <w:rFonts w:eastAsia="Times New Roman" w:cs="Times New Roman"/>
                <w:sz w:val="20"/>
                <w:szCs w:val="20"/>
                <w:lang w:eastAsia="da-DK"/>
              </w:rPr>
              <w:t xml:space="preserve"> </w:t>
            </w:r>
            <w:proofErr w:type="spellStart"/>
            <w:r w:rsidRPr="00116F45">
              <w:rPr>
                <w:rFonts w:eastAsia="Times New Roman" w:cs="Times New Roman"/>
                <w:sz w:val="20"/>
                <w:szCs w:val="20"/>
                <w:lang w:eastAsia="da-DK"/>
              </w:rPr>
              <w:t>income</w:t>
            </w:r>
            <w:proofErr w:type="spellEnd"/>
            <w:r w:rsidRPr="00116F45">
              <w:rPr>
                <w:rFonts w:eastAsia="Times New Roman" w:cs="Times New Roman"/>
                <w:sz w:val="20"/>
                <w:szCs w:val="20"/>
                <w:lang w:eastAsia="da-DK"/>
              </w:rPr>
              <w:t>, no. (%)</w:t>
            </w:r>
          </w:p>
        </w:tc>
        <w:tc>
          <w:tcPr>
            <w:tcW w:w="1308" w:type="dxa"/>
            <w:noWrap/>
            <w:vAlign w:val="center"/>
            <w:hideMark/>
          </w:tcPr>
          <w:p w14:paraId="42D51266" w14:textId="5D80E5F1"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33,3</w:t>
            </w:r>
            <w:r w:rsidR="00B712A4" w:rsidRPr="00116F45">
              <w:rPr>
                <w:rFonts w:eastAsia="Times New Roman" w:cs="Times New Roman"/>
                <w:sz w:val="20"/>
                <w:szCs w:val="20"/>
                <w:lang w:eastAsia="da-DK"/>
              </w:rPr>
              <w:t>64</w:t>
            </w:r>
            <w:r w:rsidRPr="00116F45">
              <w:rPr>
                <w:rFonts w:eastAsia="Times New Roman" w:cs="Times New Roman"/>
                <w:sz w:val="20"/>
                <w:szCs w:val="20"/>
                <w:lang w:eastAsia="da-DK"/>
              </w:rPr>
              <w:t xml:space="preserve"> (35)</w:t>
            </w:r>
          </w:p>
        </w:tc>
        <w:tc>
          <w:tcPr>
            <w:tcW w:w="1276" w:type="dxa"/>
            <w:vAlign w:val="center"/>
            <w:hideMark/>
          </w:tcPr>
          <w:p w14:paraId="032FB238" w14:textId="0EC3F7A8"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5,</w:t>
            </w:r>
            <w:r w:rsidR="00B712A4" w:rsidRPr="00116F45">
              <w:rPr>
                <w:rFonts w:eastAsia="Times New Roman" w:cs="Times New Roman"/>
                <w:sz w:val="20"/>
                <w:szCs w:val="20"/>
                <w:lang w:eastAsia="da-DK"/>
              </w:rPr>
              <w:t>819</w:t>
            </w:r>
            <w:r w:rsidRPr="00116F45">
              <w:rPr>
                <w:rFonts w:eastAsia="Times New Roman" w:cs="Times New Roman"/>
                <w:sz w:val="20"/>
                <w:szCs w:val="20"/>
                <w:lang w:eastAsia="da-DK"/>
              </w:rPr>
              <w:t xml:space="preserve"> (42)</w:t>
            </w:r>
          </w:p>
        </w:tc>
        <w:tc>
          <w:tcPr>
            <w:tcW w:w="1403" w:type="dxa"/>
          </w:tcPr>
          <w:p w14:paraId="1C855E43" w14:textId="4C18AB95" w:rsidR="004A4C7A" w:rsidRPr="00116F45" w:rsidRDefault="00187F1A"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&lt;0.001</w:t>
            </w:r>
          </w:p>
        </w:tc>
      </w:tr>
      <w:tr w:rsidR="00116F45" w:rsidRPr="00116F45" w14:paraId="36EF4304" w14:textId="77777777" w:rsidTr="00604F94">
        <w:trPr>
          <w:trHeight w:val="300"/>
        </w:trPr>
        <w:tc>
          <w:tcPr>
            <w:tcW w:w="3795" w:type="dxa"/>
            <w:noWrap/>
            <w:vAlign w:val="bottom"/>
            <w:hideMark/>
          </w:tcPr>
          <w:p w14:paraId="4C17D979" w14:textId="46960EB8"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 xml:space="preserve">Education &lt;8 </w:t>
            </w:r>
            <w:proofErr w:type="spellStart"/>
            <w:r w:rsidRPr="00116F45">
              <w:rPr>
                <w:rFonts w:eastAsia="Times New Roman" w:cs="Times New Roman"/>
                <w:sz w:val="20"/>
                <w:szCs w:val="20"/>
                <w:lang w:eastAsia="da-DK"/>
              </w:rPr>
              <w:t>years</w:t>
            </w:r>
            <w:proofErr w:type="spellEnd"/>
            <w:r w:rsidRPr="00116F45">
              <w:rPr>
                <w:rFonts w:eastAsia="Times New Roman" w:cs="Times New Roman"/>
                <w:sz w:val="20"/>
                <w:szCs w:val="20"/>
                <w:lang w:eastAsia="da-DK"/>
              </w:rPr>
              <w:t>, no. (%)</w:t>
            </w:r>
          </w:p>
        </w:tc>
        <w:tc>
          <w:tcPr>
            <w:tcW w:w="1308" w:type="dxa"/>
            <w:noWrap/>
            <w:vAlign w:val="center"/>
            <w:hideMark/>
          </w:tcPr>
          <w:p w14:paraId="49FECC26" w14:textId="041B421C" w:rsidR="004A4C7A" w:rsidRPr="00116F45" w:rsidRDefault="00B712A4"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8,782 (9)</w:t>
            </w:r>
          </w:p>
        </w:tc>
        <w:tc>
          <w:tcPr>
            <w:tcW w:w="1276" w:type="dxa"/>
            <w:vAlign w:val="center"/>
            <w:hideMark/>
          </w:tcPr>
          <w:p w14:paraId="4EEABBCD" w14:textId="2F32CD7D" w:rsidR="004A4C7A" w:rsidRPr="00116F45" w:rsidRDefault="00B712A4"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1,743 (13)</w:t>
            </w:r>
          </w:p>
        </w:tc>
        <w:tc>
          <w:tcPr>
            <w:tcW w:w="1403" w:type="dxa"/>
          </w:tcPr>
          <w:p w14:paraId="5162A609" w14:textId="697B4A7E" w:rsidR="004A4C7A" w:rsidRPr="00116F45" w:rsidRDefault="00187F1A"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&lt;0.001</w:t>
            </w:r>
          </w:p>
        </w:tc>
      </w:tr>
      <w:tr w:rsidR="00116F45" w:rsidRPr="00116F45" w14:paraId="5BE48D41" w14:textId="77777777" w:rsidTr="00604F94">
        <w:trPr>
          <w:trHeight w:val="300"/>
        </w:trPr>
        <w:tc>
          <w:tcPr>
            <w:tcW w:w="3795" w:type="dxa"/>
            <w:noWrap/>
            <w:vAlign w:val="bottom"/>
            <w:hideMark/>
          </w:tcPr>
          <w:p w14:paraId="13EAB05F" w14:textId="77777777" w:rsidR="004A4C7A" w:rsidRPr="00116F45" w:rsidRDefault="004A4C7A" w:rsidP="00604F94">
            <w:pPr>
              <w:spacing w:line="276" w:lineRule="auto"/>
              <w:rPr>
                <w:rFonts w:eastAsia="Times New Roman" w:cs="Times New Roman"/>
                <w:sz w:val="20"/>
                <w:szCs w:val="20"/>
                <w:lang w:val="en-GB" w:eastAsia="da-DK"/>
              </w:rPr>
            </w:pPr>
            <w:r w:rsidRPr="00116F45">
              <w:rPr>
                <w:rFonts w:eastAsia="Times New Roman" w:cs="Times New Roman"/>
                <w:sz w:val="20"/>
                <w:szCs w:val="20"/>
                <w:lang w:val="en-GB" w:eastAsia="da-DK"/>
              </w:rPr>
              <w:t>Body mass index, kg/m</w:t>
            </w:r>
            <w:r w:rsidRPr="00116F45">
              <w:rPr>
                <w:rFonts w:eastAsia="Times New Roman" w:cs="Times New Roman"/>
                <w:sz w:val="20"/>
                <w:szCs w:val="20"/>
                <w:vertAlign w:val="superscript"/>
                <w:lang w:val="en-GB" w:eastAsia="da-DK"/>
              </w:rPr>
              <w:t>2</w:t>
            </w:r>
          </w:p>
        </w:tc>
        <w:tc>
          <w:tcPr>
            <w:tcW w:w="1308" w:type="dxa"/>
            <w:noWrap/>
            <w:vAlign w:val="center"/>
            <w:hideMark/>
          </w:tcPr>
          <w:p w14:paraId="2D7CDDAB" w14:textId="165678AC"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26.1 (±4.3)</w:t>
            </w:r>
          </w:p>
        </w:tc>
        <w:tc>
          <w:tcPr>
            <w:tcW w:w="1276" w:type="dxa"/>
            <w:vAlign w:val="center"/>
            <w:hideMark/>
          </w:tcPr>
          <w:p w14:paraId="2A50A298" w14:textId="77777777"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26.3 (±4.3)</w:t>
            </w:r>
          </w:p>
        </w:tc>
        <w:tc>
          <w:tcPr>
            <w:tcW w:w="1403" w:type="dxa"/>
          </w:tcPr>
          <w:p w14:paraId="1F46C6ED" w14:textId="39E5BC09" w:rsidR="004A4C7A" w:rsidRPr="00116F45" w:rsidRDefault="00187F1A"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&lt;0.001</w:t>
            </w:r>
          </w:p>
        </w:tc>
      </w:tr>
      <w:tr w:rsidR="00116F45" w:rsidRPr="00116F45" w14:paraId="7BE71E2C" w14:textId="77777777" w:rsidTr="00604F94">
        <w:trPr>
          <w:trHeight w:val="300"/>
        </w:trPr>
        <w:tc>
          <w:tcPr>
            <w:tcW w:w="3795" w:type="dxa"/>
            <w:noWrap/>
            <w:vAlign w:val="bottom"/>
            <w:hideMark/>
          </w:tcPr>
          <w:p w14:paraId="6A0BE2E2" w14:textId="27DEE120" w:rsidR="004A4C7A" w:rsidRPr="00116F45" w:rsidRDefault="004A4C7A" w:rsidP="00604F94">
            <w:pPr>
              <w:spacing w:line="276" w:lineRule="auto"/>
              <w:rPr>
                <w:rFonts w:eastAsia="Times New Roman" w:cs="Times New Roman"/>
                <w:sz w:val="20"/>
                <w:szCs w:val="20"/>
                <w:lang w:val="en-GB" w:eastAsia="da-DK"/>
              </w:rPr>
            </w:pPr>
            <w:r w:rsidRPr="00116F45">
              <w:rPr>
                <w:rFonts w:eastAsia="Times New Roman" w:cs="Times New Roman"/>
                <w:sz w:val="20"/>
                <w:szCs w:val="20"/>
                <w:lang w:val="en-GB" w:eastAsia="da-DK"/>
              </w:rPr>
              <w:t xml:space="preserve">Physical inactivity in leisure time, no. (%) </w:t>
            </w:r>
          </w:p>
        </w:tc>
        <w:tc>
          <w:tcPr>
            <w:tcW w:w="1308" w:type="dxa"/>
            <w:noWrap/>
            <w:vAlign w:val="center"/>
            <w:hideMark/>
          </w:tcPr>
          <w:p w14:paraId="650BE3FF" w14:textId="3B556707"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45,</w:t>
            </w:r>
            <w:r w:rsidR="00B712A4" w:rsidRPr="00116F45">
              <w:rPr>
                <w:rFonts w:eastAsia="Times New Roman" w:cs="Times New Roman"/>
                <w:sz w:val="20"/>
                <w:szCs w:val="20"/>
                <w:lang w:eastAsia="da-DK"/>
              </w:rPr>
              <w:t>175</w:t>
            </w:r>
            <w:r w:rsidRPr="00116F45">
              <w:rPr>
                <w:rFonts w:eastAsia="Times New Roman" w:cs="Times New Roman"/>
                <w:sz w:val="20"/>
                <w:szCs w:val="20"/>
                <w:lang w:eastAsia="da-DK"/>
              </w:rPr>
              <w:t xml:space="preserve"> (48)</w:t>
            </w:r>
          </w:p>
        </w:tc>
        <w:tc>
          <w:tcPr>
            <w:tcW w:w="1276" w:type="dxa"/>
            <w:vAlign w:val="center"/>
            <w:hideMark/>
          </w:tcPr>
          <w:p w14:paraId="14369D0F" w14:textId="18E7BFCF" w:rsidR="004A4C7A" w:rsidRPr="00116F45" w:rsidRDefault="00B712A4"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7</w:t>
            </w:r>
            <w:r w:rsidR="004A4C7A" w:rsidRPr="00116F45">
              <w:rPr>
                <w:rFonts w:eastAsia="Times New Roman" w:cs="Times New Roman"/>
                <w:sz w:val="20"/>
                <w:szCs w:val="20"/>
                <w:lang w:eastAsia="da-DK"/>
              </w:rPr>
              <w:t>,</w:t>
            </w:r>
            <w:r w:rsidRPr="00116F45">
              <w:rPr>
                <w:rFonts w:eastAsia="Times New Roman" w:cs="Times New Roman"/>
                <w:sz w:val="20"/>
                <w:szCs w:val="20"/>
                <w:lang w:eastAsia="da-DK"/>
              </w:rPr>
              <w:t>089</w:t>
            </w:r>
            <w:r w:rsidR="004A4C7A" w:rsidRPr="00116F45">
              <w:rPr>
                <w:rFonts w:eastAsia="Times New Roman" w:cs="Times New Roman"/>
                <w:sz w:val="20"/>
                <w:szCs w:val="20"/>
                <w:lang w:eastAsia="da-DK"/>
              </w:rPr>
              <w:t xml:space="preserve"> (51)</w:t>
            </w:r>
          </w:p>
        </w:tc>
        <w:tc>
          <w:tcPr>
            <w:tcW w:w="1403" w:type="dxa"/>
          </w:tcPr>
          <w:p w14:paraId="2CC6E79E" w14:textId="3D6B6D34" w:rsidR="004A4C7A" w:rsidRPr="00116F45" w:rsidRDefault="00187F1A"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&lt;0.001</w:t>
            </w:r>
          </w:p>
        </w:tc>
      </w:tr>
      <w:tr w:rsidR="00116F45" w:rsidRPr="00116F45" w14:paraId="7D20E428" w14:textId="77777777" w:rsidTr="00604F94">
        <w:trPr>
          <w:trHeight w:val="300"/>
        </w:trPr>
        <w:tc>
          <w:tcPr>
            <w:tcW w:w="3795" w:type="dxa"/>
            <w:noWrap/>
            <w:vAlign w:val="bottom"/>
            <w:hideMark/>
          </w:tcPr>
          <w:p w14:paraId="6C7D6B61" w14:textId="77777777" w:rsidR="004A4C7A" w:rsidRPr="00116F45" w:rsidRDefault="004A4C7A" w:rsidP="00604F94">
            <w:pPr>
              <w:spacing w:line="276" w:lineRule="auto"/>
              <w:rPr>
                <w:rFonts w:eastAsia="Times New Roman" w:cs="Times New Roman"/>
                <w:sz w:val="20"/>
                <w:szCs w:val="20"/>
                <w:lang w:val="en-GB" w:eastAsia="da-DK"/>
              </w:rPr>
            </w:pPr>
            <w:r w:rsidRPr="00116F45">
              <w:rPr>
                <w:rFonts w:eastAsia="Times New Roman" w:cs="Times New Roman"/>
                <w:sz w:val="20"/>
                <w:szCs w:val="20"/>
                <w:lang w:val="en-GB" w:eastAsia="da-DK"/>
              </w:rPr>
              <w:t>Cumulative tobacco consumption, pack-years</w:t>
            </w:r>
          </w:p>
        </w:tc>
        <w:tc>
          <w:tcPr>
            <w:tcW w:w="1308" w:type="dxa"/>
            <w:noWrap/>
            <w:vAlign w:val="center"/>
            <w:hideMark/>
          </w:tcPr>
          <w:p w14:paraId="228D4992" w14:textId="77777777"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11.8 (±18.2)</w:t>
            </w:r>
          </w:p>
        </w:tc>
        <w:tc>
          <w:tcPr>
            <w:tcW w:w="1276" w:type="dxa"/>
            <w:vAlign w:val="center"/>
            <w:hideMark/>
          </w:tcPr>
          <w:p w14:paraId="214C3E15" w14:textId="60BE955E"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13.</w:t>
            </w:r>
            <w:r w:rsidR="003F644B" w:rsidRPr="00116F45">
              <w:rPr>
                <w:rFonts w:eastAsia="Times New Roman" w:cs="Times New Roman"/>
                <w:sz w:val="20"/>
                <w:szCs w:val="20"/>
                <w:lang w:eastAsia="da-DK"/>
              </w:rPr>
              <w:t>7</w:t>
            </w:r>
            <w:r w:rsidRPr="00116F45">
              <w:rPr>
                <w:rFonts w:eastAsia="Times New Roman" w:cs="Times New Roman"/>
                <w:sz w:val="20"/>
                <w:szCs w:val="20"/>
                <w:lang w:eastAsia="da-DK"/>
              </w:rPr>
              <w:t xml:space="preserve"> (±19.</w:t>
            </w:r>
            <w:r w:rsidR="003F644B" w:rsidRPr="00116F45">
              <w:rPr>
                <w:rFonts w:eastAsia="Times New Roman" w:cs="Times New Roman"/>
                <w:sz w:val="20"/>
                <w:szCs w:val="20"/>
                <w:lang w:eastAsia="da-DK"/>
              </w:rPr>
              <w:t>7</w:t>
            </w:r>
            <w:r w:rsidRPr="00116F45">
              <w:rPr>
                <w:rFonts w:eastAsia="Times New Roman" w:cs="Times New Roman"/>
                <w:sz w:val="20"/>
                <w:szCs w:val="20"/>
                <w:lang w:eastAsia="da-DK"/>
              </w:rPr>
              <w:t>)</w:t>
            </w:r>
          </w:p>
        </w:tc>
        <w:tc>
          <w:tcPr>
            <w:tcW w:w="1403" w:type="dxa"/>
          </w:tcPr>
          <w:p w14:paraId="3CD0A332" w14:textId="5D4925C0" w:rsidR="004A4C7A" w:rsidRPr="00116F45" w:rsidRDefault="00187F1A"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&lt;0.001</w:t>
            </w:r>
          </w:p>
        </w:tc>
      </w:tr>
      <w:tr w:rsidR="00116F45" w:rsidRPr="00116F45" w14:paraId="7B360DBF" w14:textId="77777777" w:rsidTr="00604F94">
        <w:trPr>
          <w:trHeight w:val="300"/>
        </w:trPr>
        <w:tc>
          <w:tcPr>
            <w:tcW w:w="3795" w:type="dxa"/>
            <w:noWrap/>
            <w:vAlign w:val="bottom"/>
            <w:hideMark/>
          </w:tcPr>
          <w:p w14:paraId="71DDBE20" w14:textId="442BAE9A"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 xml:space="preserve">High </w:t>
            </w:r>
            <w:proofErr w:type="spellStart"/>
            <w:r w:rsidRPr="00116F45">
              <w:rPr>
                <w:rFonts w:eastAsia="Times New Roman" w:cs="Times New Roman"/>
                <w:sz w:val="20"/>
                <w:szCs w:val="20"/>
                <w:lang w:eastAsia="da-DK"/>
              </w:rPr>
              <w:t>alcohol</w:t>
            </w:r>
            <w:proofErr w:type="spellEnd"/>
            <w:r w:rsidRPr="00116F45">
              <w:rPr>
                <w:rFonts w:eastAsia="Times New Roman" w:cs="Times New Roman"/>
                <w:sz w:val="20"/>
                <w:szCs w:val="20"/>
                <w:lang w:eastAsia="da-DK"/>
              </w:rPr>
              <w:t xml:space="preserve"> </w:t>
            </w:r>
            <w:proofErr w:type="spellStart"/>
            <w:r w:rsidRPr="00116F45">
              <w:rPr>
                <w:rFonts w:eastAsia="Times New Roman" w:cs="Times New Roman"/>
                <w:sz w:val="20"/>
                <w:szCs w:val="20"/>
                <w:lang w:eastAsia="da-DK"/>
              </w:rPr>
              <w:t>consumption</w:t>
            </w:r>
            <w:proofErr w:type="spellEnd"/>
            <w:r w:rsidRPr="00116F45">
              <w:rPr>
                <w:rFonts w:eastAsia="Times New Roman" w:cs="Times New Roman"/>
                <w:sz w:val="20"/>
                <w:szCs w:val="20"/>
                <w:lang w:eastAsia="da-DK"/>
              </w:rPr>
              <w:t>, no. (%)</w:t>
            </w:r>
          </w:p>
        </w:tc>
        <w:tc>
          <w:tcPr>
            <w:tcW w:w="1308" w:type="dxa"/>
            <w:noWrap/>
            <w:vAlign w:val="center"/>
            <w:hideMark/>
          </w:tcPr>
          <w:p w14:paraId="62D3CB88" w14:textId="3E9C78A3"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16,215 (17)</w:t>
            </w:r>
          </w:p>
        </w:tc>
        <w:tc>
          <w:tcPr>
            <w:tcW w:w="1276" w:type="dxa"/>
            <w:vAlign w:val="center"/>
            <w:hideMark/>
          </w:tcPr>
          <w:p w14:paraId="72340E9F" w14:textId="01632B98"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2,4</w:t>
            </w:r>
            <w:r w:rsidR="00B712A4" w:rsidRPr="00116F45">
              <w:rPr>
                <w:rFonts w:eastAsia="Times New Roman" w:cs="Times New Roman"/>
                <w:sz w:val="20"/>
                <w:szCs w:val="20"/>
                <w:lang w:eastAsia="da-DK"/>
              </w:rPr>
              <w:t>31</w:t>
            </w:r>
            <w:r w:rsidRPr="00116F45">
              <w:rPr>
                <w:rFonts w:eastAsia="Times New Roman" w:cs="Times New Roman"/>
                <w:sz w:val="20"/>
                <w:szCs w:val="20"/>
                <w:lang w:eastAsia="da-DK"/>
              </w:rPr>
              <w:t xml:space="preserve"> (1</w:t>
            </w:r>
            <w:r w:rsidR="00B712A4" w:rsidRPr="00116F45">
              <w:rPr>
                <w:rFonts w:eastAsia="Times New Roman" w:cs="Times New Roman"/>
                <w:sz w:val="20"/>
                <w:szCs w:val="20"/>
                <w:lang w:eastAsia="da-DK"/>
              </w:rPr>
              <w:t>7</w:t>
            </w:r>
            <w:r w:rsidRPr="00116F45">
              <w:rPr>
                <w:rFonts w:eastAsia="Times New Roman" w:cs="Times New Roman"/>
                <w:sz w:val="20"/>
                <w:szCs w:val="20"/>
                <w:lang w:eastAsia="da-DK"/>
              </w:rPr>
              <w:t>)</w:t>
            </w:r>
          </w:p>
        </w:tc>
        <w:tc>
          <w:tcPr>
            <w:tcW w:w="1403" w:type="dxa"/>
          </w:tcPr>
          <w:p w14:paraId="5A65F985" w14:textId="1C86D1DC" w:rsidR="004A4C7A" w:rsidRPr="00116F45" w:rsidRDefault="00B13214"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0.</w:t>
            </w:r>
            <w:r w:rsidR="00B712A4" w:rsidRPr="00116F45">
              <w:rPr>
                <w:rFonts w:eastAsia="Times New Roman" w:cs="Times New Roman"/>
                <w:sz w:val="20"/>
                <w:szCs w:val="20"/>
                <w:lang w:eastAsia="da-DK"/>
              </w:rPr>
              <w:t>60</w:t>
            </w:r>
          </w:p>
        </w:tc>
      </w:tr>
      <w:tr w:rsidR="00116F45" w:rsidRPr="00116F45" w14:paraId="50FFC69E" w14:textId="77777777" w:rsidTr="00604F94">
        <w:trPr>
          <w:trHeight w:val="300"/>
        </w:trPr>
        <w:tc>
          <w:tcPr>
            <w:tcW w:w="3795" w:type="dxa"/>
            <w:noWrap/>
            <w:vAlign w:val="bottom"/>
            <w:hideMark/>
          </w:tcPr>
          <w:p w14:paraId="63BA4DB9" w14:textId="4E46C883"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Hypertension, no. (%)</w:t>
            </w:r>
          </w:p>
        </w:tc>
        <w:tc>
          <w:tcPr>
            <w:tcW w:w="1308" w:type="dxa"/>
            <w:noWrap/>
            <w:vAlign w:val="center"/>
            <w:hideMark/>
          </w:tcPr>
          <w:p w14:paraId="7D449D6D" w14:textId="07372E33"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56,74</w:t>
            </w:r>
            <w:r w:rsidR="00B712A4" w:rsidRPr="00116F45">
              <w:rPr>
                <w:rFonts w:eastAsia="Times New Roman" w:cs="Times New Roman"/>
                <w:sz w:val="20"/>
                <w:szCs w:val="20"/>
                <w:lang w:eastAsia="da-DK"/>
              </w:rPr>
              <w:t>3</w:t>
            </w:r>
            <w:r w:rsidRPr="00116F45">
              <w:rPr>
                <w:rFonts w:eastAsia="Times New Roman" w:cs="Times New Roman"/>
                <w:sz w:val="20"/>
                <w:szCs w:val="20"/>
                <w:lang w:eastAsia="da-DK"/>
              </w:rPr>
              <w:t xml:space="preserve"> (60)</w:t>
            </w:r>
          </w:p>
        </w:tc>
        <w:tc>
          <w:tcPr>
            <w:tcW w:w="1276" w:type="dxa"/>
            <w:vAlign w:val="center"/>
            <w:hideMark/>
          </w:tcPr>
          <w:p w14:paraId="4C585C07" w14:textId="0F615839"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8,</w:t>
            </w:r>
            <w:r w:rsidR="00B712A4" w:rsidRPr="00116F45">
              <w:rPr>
                <w:rFonts w:eastAsia="Times New Roman" w:cs="Times New Roman"/>
                <w:sz w:val="20"/>
                <w:szCs w:val="20"/>
                <w:lang w:eastAsia="da-DK"/>
              </w:rPr>
              <w:t>391</w:t>
            </w:r>
            <w:r w:rsidRPr="00116F45">
              <w:rPr>
                <w:rFonts w:eastAsia="Times New Roman" w:cs="Times New Roman"/>
                <w:sz w:val="20"/>
                <w:szCs w:val="20"/>
                <w:lang w:eastAsia="da-DK"/>
              </w:rPr>
              <w:t xml:space="preserve"> (60)</w:t>
            </w:r>
          </w:p>
        </w:tc>
        <w:tc>
          <w:tcPr>
            <w:tcW w:w="1403" w:type="dxa"/>
          </w:tcPr>
          <w:p w14:paraId="5DADB7E9" w14:textId="35289AEF" w:rsidR="004A4C7A" w:rsidRPr="00116F45" w:rsidRDefault="00B13214"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0.8</w:t>
            </w:r>
            <w:r w:rsidR="00B712A4" w:rsidRPr="00116F45">
              <w:rPr>
                <w:rFonts w:eastAsia="Times New Roman" w:cs="Times New Roman"/>
                <w:sz w:val="20"/>
                <w:szCs w:val="20"/>
                <w:lang w:eastAsia="da-DK"/>
              </w:rPr>
              <w:t>6</w:t>
            </w:r>
          </w:p>
        </w:tc>
      </w:tr>
      <w:tr w:rsidR="00116F45" w:rsidRPr="00116F45" w14:paraId="24A53BE6" w14:textId="77777777" w:rsidTr="00604F94">
        <w:trPr>
          <w:trHeight w:val="300"/>
        </w:trPr>
        <w:tc>
          <w:tcPr>
            <w:tcW w:w="3795" w:type="dxa"/>
            <w:noWrap/>
            <w:vAlign w:val="bottom"/>
            <w:hideMark/>
          </w:tcPr>
          <w:p w14:paraId="7F737A08" w14:textId="4C65DD80"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Diabetes mellitus, no. (%)</w:t>
            </w:r>
          </w:p>
        </w:tc>
        <w:tc>
          <w:tcPr>
            <w:tcW w:w="1308" w:type="dxa"/>
            <w:noWrap/>
            <w:vAlign w:val="center"/>
            <w:hideMark/>
          </w:tcPr>
          <w:p w14:paraId="0C1D6E8F" w14:textId="4F1F1466"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3,93</w:t>
            </w:r>
            <w:r w:rsidR="00B712A4" w:rsidRPr="00116F45">
              <w:rPr>
                <w:rFonts w:eastAsia="Times New Roman" w:cs="Times New Roman"/>
                <w:sz w:val="20"/>
                <w:szCs w:val="20"/>
                <w:lang w:eastAsia="da-DK"/>
              </w:rPr>
              <w:t>7</w:t>
            </w:r>
            <w:r w:rsidRPr="00116F45">
              <w:rPr>
                <w:rFonts w:eastAsia="Times New Roman" w:cs="Times New Roman"/>
                <w:sz w:val="20"/>
                <w:szCs w:val="20"/>
                <w:lang w:eastAsia="da-DK"/>
              </w:rPr>
              <w:t xml:space="preserve"> (4)</w:t>
            </w:r>
          </w:p>
        </w:tc>
        <w:tc>
          <w:tcPr>
            <w:tcW w:w="1276" w:type="dxa"/>
            <w:vAlign w:val="center"/>
            <w:hideMark/>
          </w:tcPr>
          <w:p w14:paraId="60271BEB" w14:textId="4D85AB7E"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6</w:t>
            </w:r>
            <w:r w:rsidR="00B712A4" w:rsidRPr="00116F45">
              <w:rPr>
                <w:rFonts w:eastAsia="Times New Roman" w:cs="Times New Roman"/>
                <w:sz w:val="20"/>
                <w:szCs w:val="20"/>
                <w:lang w:eastAsia="da-DK"/>
              </w:rPr>
              <w:t>46</w:t>
            </w:r>
            <w:r w:rsidRPr="00116F45">
              <w:rPr>
                <w:rFonts w:eastAsia="Times New Roman" w:cs="Times New Roman"/>
                <w:sz w:val="20"/>
                <w:szCs w:val="20"/>
                <w:lang w:eastAsia="da-DK"/>
              </w:rPr>
              <w:t xml:space="preserve"> (5)</w:t>
            </w:r>
          </w:p>
        </w:tc>
        <w:tc>
          <w:tcPr>
            <w:tcW w:w="1403" w:type="dxa"/>
          </w:tcPr>
          <w:p w14:paraId="6892CF68" w14:textId="1772B8DB" w:rsidR="004A4C7A" w:rsidRPr="00116F45" w:rsidRDefault="00B13214"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0.</w:t>
            </w:r>
            <w:r w:rsidR="00B712A4" w:rsidRPr="00116F45">
              <w:rPr>
                <w:rFonts w:eastAsia="Times New Roman" w:cs="Times New Roman"/>
                <w:sz w:val="20"/>
                <w:szCs w:val="20"/>
                <w:lang w:eastAsia="da-DK"/>
              </w:rPr>
              <w:t>37</w:t>
            </w:r>
          </w:p>
        </w:tc>
      </w:tr>
      <w:tr w:rsidR="00116F45" w:rsidRPr="00116F45" w14:paraId="7ED2AD9F" w14:textId="77777777" w:rsidTr="00604F94">
        <w:trPr>
          <w:trHeight w:val="300"/>
        </w:trPr>
        <w:tc>
          <w:tcPr>
            <w:tcW w:w="3795" w:type="dxa"/>
            <w:tcBorders>
              <w:top w:val="nil"/>
              <w:left w:val="nil"/>
              <w:bottom w:val="single" w:sz="4" w:space="0" w:color="auto"/>
              <w:right w:val="nil"/>
            </w:tcBorders>
            <w:noWrap/>
            <w:vAlign w:val="bottom"/>
            <w:hideMark/>
          </w:tcPr>
          <w:p w14:paraId="71F7A4E4" w14:textId="4B3012BC" w:rsidR="004A4C7A" w:rsidRPr="00116F45" w:rsidRDefault="004A4C7A" w:rsidP="00604F94">
            <w:pPr>
              <w:spacing w:line="276" w:lineRule="auto"/>
              <w:rPr>
                <w:rFonts w:eastAsia="Times New Roman" w:cs="Times New Roman"/>
                <w:sz w:val="20"/>
                <w:szCs w:val="20"/>
                <w:lang w:eastAsia="da-DK"/>
              </w:rPr>
            </w:pPr>
            <w:r w:rsidRPr="00116F45">
              <w:rPr>
                <w:rFonts w:eastAsia="Times New Roman" w:cs="Times New Roman"/>
                <w:sz w:val="20"/>
                <w:szCs w:val="20"/>
                <w:lang w:eastAsia="da-DK"/>
              </w:rPr>
              <w:t>Lipid-</w:t>
            </w:r>
            <w:proofErr w:type="spellStart"/>
            <w:r w:rsidRPr="00116F45">
              <w:rPr>
                <w:rFonts w:eastAsia="Times New Roman" w:cs="Times New Roman"/>
                <w:sz w:val="20"/>
                <w:szCs w:val="20"/>
                <w:lang w:eastAsia="da-DK"/>
              </w:rPr>
              <w:t>lowering</w:t>
            </w:r>
            <w:proofErr w:type="spellEnd"/>
            <w:r w:rsidRPr="00116F45">
              <w:rPr>
                <w:rFonts w:eastAsia="Times New Roman" w:cs="Times New Roman"/>
                <w:sz w:val="20"/>
                <w:szCs w:val="20"/>
                <w:lang w:eastAsia="da-DK"/>
              </w:rPr>
              <w:t xml:space="preserve"> </w:t>
            </w:r>
            <w:proofErr w:type="spellStart"/>
            <w:r w:rsidRPr="00116F45">
              <w:rPr>
                <w:rFonts w:eastAsia="Times New Roman" w:cs="Times New Roman"/>
                <w:sz w:val="20"/>
                <w:szCs w:val="20"/>
                <w:lang w:eastAsia="da-DK"/>
              </w:rPr>
              <w:t>therapy</w:t>
            </w:r>
            <w:proofErr w:type="spellEnd"/>
            <w:r w:rsidRPr="00116F45">
              <w:rPr>
                <w:rFonts w:eastAsia="Times New Roman" w:cs="Times New Roman"/>
                <w:sz w:val="20"/>
                <w:szCs w:val="20"/>
                <w:lang w:eastAsia="da-DK"/>
              </w:rPr>
              <w:t>, no. (%)</w:t>
            </w:r>
          </w:p>
        </w:tc>
        <w:tc>
          <w:tcPr>
            <w:tcW w:w="1308" w:type="dxa"/>
            <w:tcBorders>
              <w:top w:val="nil"/>
              <w:left w:val="nil"/>
              <w:bottom w:val="single" w:sz="4" w:space="0" w:color="auto"/>
              <w:right w:val="nil"/>
            </w:tcBorders>
            <w:noWrap/>
            <w:vAlign w:val="center"/>
            <w:hideMark/>
          </w:tcPr>
          <w:p w14:paraId="447DC3D3" w14:textId="69CF26FD"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1</w:t>
            </w:r>
            <w:r w:rsidR="00B712A4" w:rsidRPr="00116F45">
              <w:rPr>
                <w:rFonts w:eastAsia="Times New Roman" w:cs="Times New Roman"/>
                <w:sz w:val="20"/>
                <w:szCs w:val="20"/>
                <w:lang w:eastAsia="da-DK"/>
              </w:rPr>
              <w:t>1,485</w:t>
            </w:r>
            <w:r w:rsidRPr="00116F45">
              <w:rPr>
                <w:rFonts w:eastAsia="Times New Roman" w:cs="Times New Roman"/>
                <w:sz w:val="20"/>
                <w:szCs w:val="20"/>
                <w:lang w:eastAsia="da-DK"/>
              </w:rPr>
              <w:t xml:space="preserve"> (12)</w:t>
            </w:r>
          </w:p>
        </w:tc>
        <w:tc>
          <w:tcPr>
            <w:tcW w:w="1276" w:type="dxa"/>
            <w:tcBorders>
              <w:top w:val="nil"/>
              <w:left w:val="nil"/>
              <w:bottom w:val="single" w:sz="4" w:space="0" w:color="auto"/>
              <w:right w:val="nil"/>
            </w:tcBorders>
            <w:vAlign w:val="center"/>
            <w:hideMark/>
          </w:tcPr>
          <w:p w14:paraId="27CE5F61" w14:textId="2445D7B0" w:rsidR="004A4C7A" w:rsidRPr="00116F45" w:rsidRDefault="004A4C7A" w:rsidP="00604F94">
            <w:pPr>
              <w:spacing w:line="276" w:lineRule="auto"/>
              <w:jc w:val="center"/>
              <w:rPr>
                <w:rFonts w:eastAsia="Times New Roman" w:cs="Times New Roman"/>
                <w:sz w:val="20"/>
                <w:szCs w:val="20"/>
                <w:lang w:eastAsia="da-DK"/>
              </w:rPr>
            </w:pPr>
            <w:r w:rsidRPr="00116F45">
              <w:rPr>
                <w:rFonts w:eastAsia="Times New Roman" w:cs="Times New Roman"/>
                <w:sz w:val="20"/>
                <w:szCs w:val="20"/>
                <w:lang w:eastAsia="da-DK"/>
              </w:rPr>
              <w:t>1,5</w:t>
            </w:r>
            <w:r w:rsidR="00B712A4" w:rsidRPr="00116F45">
              <w:rPr>
                <w:rFonts w:eastAsia="Times New Roman" w:cs="Times New Roman"/>
                <w:sz w:val="20"/>
                <w:szCs w:val="20"/>
                <w:lang w:eastAsia="da-DK"/>
              </w:rPr>
              <w:t>58</w:t>
            </w:r>
            <w:r w:rsidRPr="00116F45">
              <w:rPr>
                <w:rFonts w:eastAsia="Times New Roman" w:cs="Times New Roman"/>
                <w:sz w:val="20"/>
                <w:szCs w:val="20"/>
                <w:lang w:eastAsia="da-DK"/>
              </w:rPr>
              <w:t xml:space="preserve"> (11)</w:t>
            </w:r>
          </w:p>
        </w:tc>
        <w:tc>
          <w:tcPr>
            <w:tcW w:w="1403" w:type="dxa"/>
            <w:tcBorders>
              <w:top w:val="nil"/>
              <w:left w:val="nil"/>
              <w:bottom w:val="single" w:sz="4" w:space="0" w:color="auto"/>
              <w:right w:val="nil"/>
            </w:tcBorders>
          </w:tcPr>
          <w:p w14:paraId="202C4FD8" w14:textId="3DE44E4D" w:rsidR="004A4C7A" w:rsidRPr="00116F45" w:rsidRDefault="00B13214" w:rsidP="00604F94">
            <w:pPr>
              <w:spacing w:line="240" w:lineRule="auto"/>
              <w:jc w:val="center"/>
              <w:rPr>
                <w:rFonts w:eastAsia="Times New Roman" w:cs="Times New Roman"/>
                <w:sz w:val="20"/>
                <w:szCs w:val="20"/>
                <w:lang w:eastAsia="da-DK"/>
              </w:rPr>
            </w:pPr>
            <w:r w:rsidRPr="00116F45">
              <w:rPr>
                <w:rFonts w:eastAsia="Times New Roman" w:cs="Times New Roman"/>
                <w:sz w:val="20"/>
                <w:szCs w:val="20"/>
                <w:lang w:eastAsia="da-DK"/>
              </w:rPr>
              <w:t>0.0</w:t>
            </w:r>
            <w:r w:rsidR="00B712A4" w:rsidRPr="00116F45">
              <w:rPr>
                <w:rFonts w:eastAsia="Times New Roman" w:cs="Times New Roman"/>
                <w:sz w:val="20"/>
                <w:szCs w:val="20"/>
                <w:lang w:eastAsia="da-DK"/>
              </w:rPr>
              <w:t>6</w:t>
            </w:r>
          </w:p>
        </w:tc>
      </w:tr>
    </w:tbl>
    <w:p w14:paraId="43862900" w14:textId="3B3393DB" w:rsidR="00181729" w:rsidRPr="00116F45" w:rsidRDefault="00181729" w:rsidP="00181729">
      <w:pPr>
        <w:pStyle w:val="Heading1"/>
        <w:spacing w:line="240" w:lineRule="auto"/>
        <w:rPr>
          <w:lang w:val="en-US"/>
        </w:rPr>
      </w:pPr>
      <w:r w:rsidRPr="00116F45">
        <w:rPr>
          <w:lang w:val="en-US"/>
        </w:rPr>
        <w:t xml:space="preserve"> </w:t>
      </w:r>
      <w:r w:rsidRPr="00116F45">
        <w:rPr>
          <w:lang w:val="en-US"/>
        </w:rPr>
        <w:br w:type="page"/>
      </w:r>
    </w:p>
    <w:p w14:paraId="1CC729FC" w14:textId="4B843B0D" w:rsidR="000B558F" w:rsidRPr="00116F45" w:rsidRDefault="001777C1" w:rsidP="00E5295E">
      <w:pPr>
        <w:pStyle w:val="Heading2"/>
        <w:rPr>
          <w:lang w:val="en-US"/>
        </w:rPr>
      </w:pPr>
      <w:bookmarkStart w:id="14" w:name="_Toc110945225"/>
      <w:r w:rsidRPr="00116F45">
        <w:rPr>
          <w:lang w:val="en-US"/>
        </w:rPr>
        <w:lastRenderedPageBreak/>
        <w:t>Supplement</w:t>
      </w:r>
      <w:r w:rsidR="000F36F5" w:rsidRPr="00116F45">
        <w:rPr>
          <w:lang w:val="en-US"/>
        </w:rPr>
        <w:t>ary</w:t>
      </w:r>
      <w:r w:rsidRPr="00116F45">
        <w:rPr>
          <w:lang w:val="en-US"/>
        </w:rPr>
        <w:t xml:space="preserve"> </w:t>
      </w:r>
      <w:r w:rsidR="002E497D" w:rsidRPr="00116F45">
        <w:rPr>
          <w:lang w:val="en-US"/>
        </w:rPr>
        <w:t>T</w:t>
      </w:r>
      <w:r w:rsidR="000B558F" w:rsidRPr="00116F45">
        <w:rPr>
          <w:lang w:val="en-US"/>
        </w:rPr>
        <w:t xml:space="preserve">able </w:t>
      </w:r>
      <w:r w:rsidR="00E66AC7" w:rsidRPr="00116F45">
        <w:rPr>
          <w:lang w:val="en-US"/>
        </w:rPr>
        <w:t>2</w:t>
      </w:r>
      <w:r w:rsidR="000B558F" w:rsidRPr="00116F45">
        <w:rPr>
          <w:lang w:val="en-US"/>
        </w:rPr>
        <w:t xml:space="preserve">. Food Frequency Questionnaire as a part of </w:t>
      </w:r>
      <w:r w:rsidR="002521F2" w:rsidRPr="00116F45">
        <w:rPr>
          <w:lang w:val="en-US"/>
        </w:rPr>
        <w:t>the</w:t>
      </w:r>
      <w:r w:rsidR="000B558F" w:rsidRPr="00116F45">
        <w:rPr>
          <w:lang w:val="en-US"/>
        </w:rPr>
        <w:t xml:space="preserve"> extensive questionnaire in the Copenhagen General Population Study.</w:t>
      </w:r>
      <w:bookmarkEnd w:id="14"/>
      <w:r w:rsidR="000B558F" w:rsidRPr="00116F45">
        <w:rPr>
          <w:lang w:val="en-US"/>
        </w:rPr>
        <w:t xml:space="preserve"> </w:t>
      </w:r>
    </w:p>
    <w:p w14:paraId="3DE07C19" w14:textId="77777777" w:rsidR="002521F2" w:rsidRPr="00116F45" w:rsidRDefault="002521F2" w:rsidP="002521F2">
      <w:pPr>
        <w:rPr>
          <w:lang w:val="en-US"/>
        </w:rPr>
      </w:pPr>
    </w:p>
    <w:tbl>
      <w:tblPr>
        <w:tblStyle w:val="TableGrid1"/>
        <w:tblpPr w:leftFromText="141" w:rightFromText="141" w:vertAnchor="page" w:horzAnchor="margin" w:tblpY="2596"/>
        <w:tblW w:w="9780" w:type="dxa"/>
        <w:tblInd w:w="0" w:type="dxa"/>
        <w:tblLayout w:type="fixed"/>
        <w:tblLook w:val="04A0" w:firstRow="1" w:lastRow="0" w:firstColumn="1" w:lastColumn="0" w:noHBand="0" w:noVBand="1"/>
      </w:tblPr>
      <w:tblGrid>
        <w:gridCol w:w="317"/>
        <w:gridCol w:w="958"/>
        <w:gridCol w:w="425"/>
        <w:gridCol w:w="426"/>
        <w:gridCol w:w="850"/>
        <w:gridCol w:w="425"/>
        <w:gridCol w:w="851"/>
        <w:gridCol w:w="796"/>
        <w:gridCol w:w="54"/>
        <w:gridCol w:w="284"/>
        <w:gridCol w:w="1276"/>
        <w:gridCol w:w="992"/>
        <w:gridCol w:w="943"/>
        <w:gridCol w:w="191"/>
        <w:gridCol w:w="992"/>
      </w:tblGrid>
      <w:tr w:rsidR="00116F45" w:rsidRPr="009760D1" w14:paraId="2DC90C60"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0228FB5F" w14:textId="77777777" w:rsidR="002274D3" w:rsidRPr="00116F45" w:rsidRDefault="002274D3" w:rsidP="00604F94">
            <w:pPr>
              <w:spacing w:line="240" w:lineRule="auto"/>
              <w:jc w:val="center"/>
              <w:rPr>
                <w:b/>
                <w:bCs/>
                <w:sz w:val="20"/>
                <w:szCs w:val="20"/>
                <w:lang w:val="en-GB"/>
              </w:rPr>
            </w:pPr>
            <w:bookmarkStart w:id="15" w:name="_Hlk73976869"/>
            <w:r w:rsidRPr="00116F45">
              <w:rPr>
                <w:b/>
                <w:bCs/>
                <w:sz w:val="20"/>
                <w:szCs w:val="20"/>
                <w:lang w:val="en-GB"/>
              </w:rPr>
              <w:t>1</w:t>
            </w:r>
          </w:p>
        </w:tc>
        <w:tc>
          <w:tcPr>
            <w:tcW w:w="9463" w:type="dxa"/>
            <w:gridSpan w:val="14"/>
            <w:tcBorders>
              <w:top w:val="single" w:sz="4" w:space="0" w:color="auto"/>
              <w:left w:val="nil"/>
              <w:bottom w:val="single" w:sz="4" w:space="0" w:color="auto"/>
              <w:right w:val="nil"/>
            </w:tcBorders>
            <w:noWrap/>
            <w:hideMark/>
          </w:tcPr>
          <w:p w14:paraId="79402B46" w14:textId="77777777" w:rsidR="002274D3" w:rsidRPr="00116F45" w:rsidRDefault="002274D3" w:rsidP="00604F94">
            <w:pPr>
              <w:spacing w:line="240" w:lineRule="auto"/>
              <w:rPr>
                <w:b/>
                <w:bCs/>
                <w:sz w:val="20"/>
                <w:szCs w:val="20"/>
                <w:lang w:val="en-GB"/>
              </w:rPr>
            </w:pPr>
            <w:r w:rsidRPr="00116F45">
              <w:rPr>
                <w:b/>
                <w:bCs/>
                <w:sz w:val="20"/>
                <w:szCs w:val="20"/>
                <w:lang w:val="en-GB"/>
              </w:rPr>
              <w:t>How many main meals do you eat per day?</w:t>
            </w:r>
          </w:p>
        </w:tc>
      </w:tr>
      <w:tr w:rsidR="00116F45" w:rsidRPr="00116F45" w14:paraId="6C06C516"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14EC97AB" w14:textId="77777777" w:rsidR="002274D3" w:rsidRPr="00116F45" w:rsidRDefault="002274D3" w:rsidP="00604F94">
            <w:pPr>
              <w:spacing w:line="240" w:lineRule="auto"/>
              <w:rPr>
                <w:b/>
                <w:bCs/>
                <w:sz w:val="20"/>
                <w:szCs w:val="20"/>
                <w:lang w:val="en-GB"/>
              </w:rPr>
            </w:pPr>
          </w:p>
        </w:tc>
        <w:tc>
          <w:tcPr>
            <w:tcW w:w="9463" w:type="dxa"/>
            <w:gridSpan w:val="14"/>
            <w:tcBorders>
              <w:top w:val="single" w:sz="4" w:space="0" w:color="auto"/>
              <w:left w:val="nil"/>
              <w:bottom w:val="single" w:sz="4" w:space="0" w:color="auto"/>
              <w:right w:val="nil"/>
            </w:tcBorders>
            <w:noWrap/>
            <w:hideMark/>
          </w:tcPr>
          <w:p w14:paraId="538337F6" w14:textId="77777777" w:rsidR="002274D3" w:rsidRPr="00116F45" w:rsidRDefault="002274D3" w:rsidP="00604F94">
            <w:pPr>
              <w:spacing w:line="240" w:lineRule="auto"/>
              <w:rPr>
                <w:sz w:val="20"/>
                <w:szCs w:val="20"/>
                <w:lang w:val="en-GB"/>
              </w:rPr>
            </w:pPr>
            <w:r w:rsidRPr="00116F45">
              <w:rPr>
                <w:sz w:val="20"/>
                <w:szCs w:val="20"/>
                <w:lang w:val="en-GB"/>
              </w:rPr>
              <w:t xml:space="preserve">Amount: </w:t>
            </w:r>
          </w:p>
        </w:tc>
      </w:tr>
      <w:tr w:rsidR="00116F45" w:rsidRPr="009760D1" w14:paraId="4A5BD179"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5AC3CC56"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2</w:t>
            </w:r>
          </w:p>
        </w:tc>
        <w:tc>
          <w:tcPr>
            <w:tcW w:w="9463" w:type="dxa"/>
            <w:gridSpan w:val="14"/>
            <w:tcBorders>
              <w:top w:val="single" w:sz="4" w:space="0" w:color="auto"/>
              <w:left w:val="nil"/>
              <w:bottom w:val="single" w:sz="4" w:space="0" w:color="auto"/>
              <w:right w:val="nil"/>
            </w:tcBorders>
            <w:noWrap/>
            <w:hideMark/>
          </w:tcPr>
          <w:p w14:paraId="2482D616" w14:textId="77777777" w:rsidR="002274D3" w:rsidRPr="00116F45" w:rsidRDefault="002274D3" w:rsidP="00604F94">
            <w:pPr>
              <w:spacing w:line="240" w:lineRule="auto"/>
              <w:rPr>
                <w:b/>
                <w:bCs/>
                <w:sz w:val="20"/>
                <w:szCs w:val="20"/>
                <w:lang w:val="en-GB"/>
              </w:rPr>
            </w:pPr>
            <w:r w:rsidRPr="00116F45">
              <w:rPr>
                <w:b/>
                <w:bCs/>
                <w:sz w:val="20"/>
                <w:szCs w:val="20"/>
                <w:lang w:val="en-GB"/>
              </w:rPr>
              <w:t xml:space="preserve">How many slices of bread do you normally eat in a day? </w:t>
            </w:r>
          </w:p>
        </w:tc>
      </w:tr>
      <w:tr w:rsidR="00116F45" w:rsidRPr="00116F45" w14:paraId="307D5515"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3F7FF3BC" w14:textId="77777777" w:rsidR="002274D3" w:rsidRPr="00116F45" w:rsidRDefault="002274D3" w:rsidP="00604F94">
            <w:pPr>
              <w:spacing w:line="240" w:lineRule="auto"/>
              <w:rPr>
                <w:b/>
                <w:bCs/>
                <w:sz w:val="20"/>
                <w:szCs w:val="20"/>
                <w:lang w:val="en-GB"/>
              </w:rPr>
            </w:pPr>
          </w:p>
        </w:tc>
        <w:tc>
          <w:tcPr>
            <w:tcW w:w="9463" w:type="dxa"/>
            <w:gridSpan w:val="14"/>
            <w:tcBorders>
              <w:top w:val="single" w:sz="4" w:space="0" w:color="auto"/>
              <w:left w:val="nil"/>
              <w:bottom w:val="single" w:sz="4" w:space="0" w:color="auto"/>
              <w:right w:val="nil"/>
            </w:tcBorders>
            <w:noWrap/>
            <w:hideMark/>
          </w:tcPr>
          <w:p w14:paraId="2AB658E7" w14:textId="77777777" w:rsidR="002274D3" w:rsidRPr="00116F45" w:rsidRDefault="002274D3" w:rsidP="00604F94">
            <w:pPr>
              <w:spacing w:line="240" w:lineRule="auto"/>
              <w:rPr>
                <w:sz w:val="20"/>
                <w:szCs w:val="20"/>
                <w:lang w:val="en-GB"/>
              </w:rPr>
            </w:pPr>
            <w:r w:rsidRPr="00116F45">
              <w:rPr>
                <w:sz w:val="20"/>
                <w:szCs w:val="20"/>
                <w:lang w:val="en-GB"/>
              </w:rPr>
              <w:t xml:space="preserve">Amount: </w:t>
            </w:r>
          </w:p>
        </w:tc>
      </w:tr>
      <w:tr w:rsidR="00116F45" w:rsidRPr="009760D1" w14:paraId="66B67234"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5335E530"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3</w:t>
            </w:r>
          </w:p>
        </w:tc>
        <w:tc>
          <w:tcPr>
            <w:tcW w:w="9463" w:type="dxa"/>
            <w:gridSpan w:val="14"/>
            <w:tcBorders>
              <w:top w:val="single" w:sz="4" w:space="0" w:color="auto"/>
              <w:left w:val="nil"/>
              <w:bottom w:val="single" w:sz="4" w:space="0" w:color="auto"/>
              <w:right w:val="nil"/>
            </w:tcBorders>
            <w:noWrap/>
            <w:hideMark/>
          </w:tcPr>
          <w:p w14:paraId="55A6451E" w14:textId="77777777" w:rsidR="002274D3" w:rsidRPr="00116F45" w:rsidRDefault="002274D3" w:rsidP="00604F94">
            <w:pPr>
              <w:spacing w:line="240" w:lineRule="auto"/>
              <w:rPr>
                <w:b/>
                <w:bCs/>
                <w:sz w:val="20"/>
                <w:szCs w:val="20"/>
                <w:lang w:val="en-GB"/>
              </w:rPr>
            </w:pPr>
            <w:r w:rsidRPr="00116F45">
              <w:rPr>
                <w:b/>
                <w:bCs/>
                <w:sz w:val="20"/>
                <w:szCs w:val="20"/>
                <w:lang w:val="en-GB"/>
              </w:rPr>
              <w:t>What type of fat do you most often use on bread? (Please, only mark with one cross)</w:t>
            </w:r>
          </w:p>
        </w:tc>
      </w:tr>
      <w:tr w:rsidR="00116F45" w:rsidRPr="009760D1" w14:paraId="51CF5B34" w14:textId="77777777" w:rsidTr="00CA2C9A">
        <w:trPr>
          <w:trHeight w:val="300"/>
        </w:trPr>
        <w:tc>
          <w:tcPr>
            <w:tcW w:w="318" w:type="dxa"/>
            <w:tcBorders>
              <w:top w:val="single" w:sz="4" w:space="0" w:color="auto"/>
              <w:left w:val="nil"/>
              <w:bottom w:val="nil"/>
              <w:right w:val="nil"/>
            </w:tcBorders>
            <w:noWrap/>
            <w:vAlign w:val="center"/>
            <w:hideMark/>
          </w:tcPr>
          <w:p w14:paraId="00481AB9" w14:textId="77777777" w:rsidR="002274D3" w:rsidRPr="00116F45" w:rsidRDefault="002274D3" w:rsidP="00604F94">
            <w:pPr>
              <w:spacing w:line="240" w:lineRule="auto"/>
              <w:rPr>
                <w:b/>
                <w:bCs/>
                <w:sz w:val="20"/>
                <w:szCs w:val="20"/>
                <w:lang w:val="en-GB"/>
              </w:rPr>
            </w:pPr>
          </w:p>
        </w:tc>
        <w:tc>
          <w:tcPr>
            <w:tcW w:w="9463" w:type="dxa"/>
            <w:gridSpan w:val="14"/>
            <w:tcBorders>
              <w:top w:val="single" w:sz="4" w:space="0" w:color="auto"/>
              <w:left w:val="nil"/>
              <w:bottom w:val="nil"/>
              <w:right w:val="nil"/>
            </w:tcBorders>
            <w:noWrap/>
            <w:hideMark/>
          </w:tcPr>
          <w:p w14:paraId="6935D8E9"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65408" behindDoc="0" locked="0" layoutInCell="1" allowOverlap="1" wp14:anchorId="44517295" wp14:editId="03A58E9B">
                      <wp:simplePos x="0" y="0"/>
                      <wp:positionH relativeFrom="column">
                        <wp:posOffset>5302885</wp:posOffset>
                      </wp:positionH>
                      <wp:positionV relativeFrom="paragraph">
                        <wp:posOffset>194310</wp:posOffset>
                      </wp:positionV>
                      <wp:extent cx="125730" cy="125730"/>
                      <wp:effectExtent l="0" t="0" r="26670" b="26670"/>
                      <wp:wrapNone/>
                      <wp:docPr id="82" name="Rektangel 7"/>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BED14" id="Rektangel 7" o:spid="_x0000_s1026" style="position:absolute;margin-left:417.55pt;margin-top:15.3pt;width:9.9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" filled="f" strokecolor="windowText" strokeweight="1pt"/>
                  </w:pict>
                </mc:Fallback>
              </mc:AlternateContent>
            </w:r>
            <w:r w:rsidRPr="00116F45">
              <w:rPr>
                <w:noProof/>
                <w:lang w:val="en-GB"/>
              </w:rPr>
              <mc:AlternateContent>
                <mc:Choice Requires="wps">
                  <w:drawing>
                    <wp:anchor distT="0" distB="0" distL="114300" distR="114300" simplePos="0" relativeHeight="251662336" behindDoc="0" locked="0" layoutInCell="1" allowOverlap="1" wp14:anchorId="015C86EF" wp14:editId="55B14242">
                      <wp:simplePos x="0" y="0"/>
                      <wp:positionH relativeFrom="column">
                        <wp:posOffset>3475355</wp:posOffset>
                      </wp:positionH>
                      <wp:positionV relativeFrom="paragraph">
                        <wp:posOffset>192405</wp:posOffset>
                      </wp:positionV>
                      <wp:extent cx="125730" cy="125730"/>
                      <wp:effectExtent l="0" t="0" r="26670" b="26670"/>
                      <wp:wrapNone/>
                      <wp:docPr id="81" name="Rektangel 4"/>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CF902" id="Rektangel 4" o:spid="_x0000_s1026" style="position:absolute;margin-left:273.65pt;margin-top:15.15pt;width:9.9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" filled="f" strokecolor="windowText" strokeweight="1pt"/>
                  </w:pict>
                </mc:Fallback>
              </mc:AlternateContent>
            </w:r>
            <w:r w:rsidRPr="00116F45">
              <w:rPr>
                <w:noProof/>
                <w:lang w:val="en-GB"/>
              </w:rPr>
              <mc:AlternateContent>
                <mc:Choice Requires="wps">
                  <w:drawing>
                    <wp:anchor distT="0" distB="0" distL="114300" distR="114300" simplePos="0" relativeHeight="251664384" behindDoc="0" locked="0" layoutInCell="1" allowOverlap="1" wp14:anchorId="0C47CA1A" wp14:editId="39210A82">
                      <wp:simplePos x="0" y="0"/>
                      <wp:positionH relativeFrom="column">
                        <wp:posOffset>2314575</wp:posOffset>
                      </wp:positionH>
                      <wp:positionV relativeFrom="paragraph">
                        <wp:posOffset>194310</wp:posOffset>
                      </wp:positionV>
                      <wp:extent cx="125730" cy="125730"/>
                      <wp:effectExtent l="0" t="0" r="26670" b="26670"/>
                      <wp:wrapNone/>
                      <wp:docPr id="80" name="Rektangel 6"/>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23968" id="Rektangel 6" o:spid="_x0000_s1026" style="position:absolute;margin-left:182.25pt;margin-top:15.3pt;width:9.9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" filled="f" strokecolor="windowText" strokeweight="1pt"/>
                  </w:pict>
                </mc:Fallback>
              </mc:AlternateContent>
            </w:r>
            <w:r w:rsidRPr="00116F45">
              <w:rPr>
                <w:noProof/>
                <w:lang w:val="en-GB"/>
              </w:rPr>
              <mc:AlternateContent>
                <mc:Choice Requires="wps">
                  <w:drawing>
                    <wp:anchor distT="0" distB="0" distL="114300" distR="114300" simplePos="0" relativeHeight="251663360" behindDoc="0" locked="0" layoutInCell="1" allowOverlap="1" wp14:anchorId="439CE682" wp14:editId="7543D56D">
                      <wp:simplePos x="0" y="0"/>
                      <wp:positionH relativeFrom="column">
                        <wp:posOffset>1263650</wp:posOffset>
                      </wp:positionH>
                      <wp:positionV relativeFrom="paragraph">
                        <wp:posOffset>194310</wp:posOffset>
                      </wp:positionV>
                      <wp:extent cx="125730" cy="125730"/>
                      <wp:effectExtent l="0" t="0" r="26670" b="26670"/>
                      <wp:wrapNone/>
                      <wp:docPr id="79" name="Rektangel 5"/>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8247E" id="Rektangel 5" o:spid="_x0000_s1026" style="position:absolute;margin-left:99.5pt;margin-top:15.3pt;width:9.9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" filled="f" strokecolor="windowText" strokeweight="1pt"/>
                  </w:pict>
                </mc:Fallback>
              </mc:AlternateContent>
            </w:r>
            <w:r w:rsidRPr="00116F45">
              <w:rPr>
                <w:sz w:val="20"/>
                <w:szCs w:val="20"/>
                <w:lang w:val="en-GB"/>
              </w:rPr>
              <w:t xml:space="preserve">Nothing                          Butter                     </w:t>
            </w:r>
            <w:proofErr w:type="spellStart"/>
            <w:r w:rsidRPr="00116F45">
              <w:rPr>
                <w:sz w:val="20"/>
                <w:szCs w:val="20"/>
                <w:lang w:val="en-GB"/>
              </w:rPr>
              <w:t>Butter</w:t>
            </w:r>
            <w:proofErr w:type="spellEnd"/>
            <w:r w:rsidRPr="00116F45">
              <w:rPr>
                <w:sz w:val="20"/>
                <w:szCs w:val="20"/>
                <w:lang w:val="en-GB"/>
              </w:rPr>
              <w:t xml:space="preserve"> </w:t>
            </w:r>
            <w:proofErr w:type="gramStart"/>
            <w:r w:rsidRPr="00116F45">
              <w:rPr>
                <w:sz w:val="20"/>
                <w:szCs w:val="20"/>
                <w:lang w:val="en-GB"/>
              </w:rPr>
              <w:t>blend</w:t>
            </w:r>
            <w:proofErr w:type="gramEnd"/>
            <w:r w:rsidRPr="00116F45">
              <w:rPr>
                <w:sz w:val="20"/>
                <w:szCs w:val="20"/>
                <w:lang w:val="en-GB"/>
              </w:rPr>
              <w:t xml:space="preserve">                Plant margarine              Minarine            Other</w:t>
            </w:r>
          </w:p>
        </w:tc>
      </w:tr>
      <w:tr w:rsidR="00116F45" w:rsidRPr="009760D1" w14:paraId="7DB62829" w14:textId="77777777" w:rsidTr="00CA2C9A">
        <w:trPr>
          <w:trHeight w:val="300"/>
        </w:trPr>
        <w:tc>
          <w:tcPr>
            <w:tcW w:w="318" w:type="dxa"/>
            <w:tcBorders>
              <w:top w:val="nil"/>
              <w:left w:val="nil"/>
              <w:bottom w:val="nil"/>
              <w:right w:val="nil"/>
            </w:tcBorders>
            <w:noWrap/>
            <w:vAlign w:val="center"/>
            <w:hideMark/>
          </w:tcPr>
          <w:p w14:paraId="1AEACC15" w14:textId="77777777" w:rsidR="002274D3" w:rsidRPr="00116F45" w:rsidRDefault="002274D3" w:rsidP="00604F94">
            <w:pPr>
              <w:spacing w:line="240" w:lineRule="auto"/>
              <w:rPr>
                <w:sz w:val="20"/>
                <w:szCs w:val="20"/>
                <w:lang w:val="en-GB"/>
              </w:rPr>
            </w:pPr>
          </w:p>
        </w:tc>
        <w:tc>
          <w:tcPr>
            <w:tcW w:w="9463" w:type="dxa"/>
            <w:gridSpan w:val="14"/>
            <w:tcBorders>
              <w:top w:val="nil"/>
              <w:left w:val="nil"/>
              <w:bottom w:val="nil"/>
              <w:right w:val="nil"/>
            </w:tcBorders>
            <w:noWrap/>
            <w:hideMark/>
          </w:tcPr>
          <w:p w14:paraId="3CA41493"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700224" behindDoc="0" locked="0" layoutInCell="1" allowOverlap="1" wp14:anchorId="465FAC63" wp14:editId="5F651A1F">
                      <wp:simplePos x="0" y="0"/>
                      <wp:positionH relativeFrom="column">
                        <wp:posOffset>4566920</wp:posOffset>
                      </wp:positionH>
                      <wp:positionV relativeFrom="paragraph">
                        <wp:posOffset>6350</wp:posOffset>
                      </wp:positionV>
                      <wp:extent cx="125730" cy="125730"/>
                      <wp:effectExtent l="0" t="0" r="26670" b="26670"/>
                      <wp:wrapNone/>
                      <wp:docPr id="78" name="Rektangel 2"/>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C1C12" id="Rektangel 2" o:spid="_x0000_s1026" style="position:absolute;margin-left:359.6pt;margin-top:.5pt;width:9.9pt;height: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" filled="f" strokecolor="windowText" strokeweight="1pt"/>
                  </w:pict>
                </mc:Fallback>
              </mc:AlternateContent>
            </w:r>
            <w:r w:rsidRPr="00116F45">
              <w:rPr>
                <w:noProof/>
                <w:lang w:val="en-GB"/>
              </w:rPr>
              <mc:AlternateContent>
                <mc:Choice Requires="wps">
                  <w:drawing>
                    <wp:anchor distT="0" distB="0" distL="114300" distR="114300" simplePos="0" relativeHeight="251661312" behindDoc="0" locked="0" layoutInCell="1" allowOverlap="1" wp14:anchorId="44A7EE07" wp14:editId="7963696B">
                      <wp:simplePos x="0" y="0"/>
                      <wp:positionH relativeFrom="column">
                        <wp:posOffset>134620</wp:posOffset>
                      </wp:positionH>
                      <wp:positionV relativeFrom="paragraph">
                        <wp:posOffset>1905</wp:posOffset>
                      </wp:positionV>
                      <wp:extent cx="125730" cy="125730"/>
                      <wp:effectExtent l="0" t="0" r="26670" b="26670"/>
                      <wp:wrapNone/>
                      <wp:docPr id="77" name="Rektangel 1"/>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E48AB" id="Rektangel 1" o:spid="_x0000_s1026" style="position:absolute;margin-left:10.6pt;margin-top:.15pt;width:9.9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" filled="f" strokecolor="windowText" strokeweight="1pt"/>
                  </w:pict>
                </mc:Fallback>
              </mc:AlternateContent>
            </w:r>
          </w:p>
        </w:tc>
      </w:tr>
      <w:tr w:rsidR="00116F45" w:rsidRPr="009760D1" w14:paraId="32917D97"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502FA827"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4</w:t>
            </w:r>
          </w:p>
        </w:tc>
        <w:tc>
          <w:tcPr>
            <w:tcW w:w="9463" w:type="dxa"/>
            <w:gridSpan w:val="14"/>
            <w:tcBorders>
              <w:top w:val="single" w:sz="4" w:space="0" w:color="auto"/>
              <w:left w:val="nil"/>
              <w:bottom w:val="single" w:sz="4" w:space="0" w:color="auto"/>
              <w:right w:val="nil"/>
            </w:tcBorders>
            <w:noWrap/>
            <w:hideMark/>
          </w:tcPr>
          <w:p w14:paraId="4F52B25D" w14:textId="77777777" w:rsidR="002274D3" w:rsidRPr="00116F45" w:rsidRDefault="002274D3" w:rsidP="00604F94">
            <w:pPr>
              <w:spacing w:line="240" w:lineRule="auto"/>
              <w:rPr>
                <w:b/>
                <w:bCs/>
                <w:sz w:val="20"/>
                <w:szCs w:val="20"/>
                <w:lang w:val="en-GB"/>
              </w:rPr>
            </w:pPr>
            <w:r w:rsidRPr="00116F45">
              <w:rPr>
                <w:b/>
                <w:bCs/>
                <w:sz w:val="20"/>
                <w:szCs w:val="20"/>
                <w:lang w:val="en-GB"/>
              </w:rPr>
              <w:t xml:space="preserve">How many times a week do you eat the type of cold cuts mentioned below? </w:t>
            </w:r>
          </w:p>
        </w:tc>
      </w:tr>
      <w:tr w:rsidR="00116F45" w:rsidRPr="009760D1" w14:paraId="78DF28B1" w14:textId="77777777" w:rsidTr="00CA2C9A">
        <w:trPr>
          <w:trHeight w:val="300"/>
        </w:trPr>
        <w:tc>
          <w:tcPr>
            <w:tcW w:w="318" w:type="dxa"/>
            <w:tcBorders>
              <w:top w:val="single" w:sz="4" w:space="0" w:color="auto"/>
              <w:left w:val="nil"/>
              <w:bottom w:val="nil"/>
              <w:right w:val="nil"/>
            </w:tcBorders>
            <w:noWrap/>
            <w:vAlign w:val="center"/>
            <w:hideMark/>
          </w:tcPr>
          <w:p w14:paraId="128BE199" w14:textId="77777777" w:rsidR="002274D3" w:rsidRPr="00116F45" w:rsidRDefault="002274D3" w:rsidP="00604F94">
            <w:pPr>
              <w:spacing w:line="240" w:lineRule="auto"/>
              <w:rPr>
                <w:b/>
                <w:bCs/>
                <w:sz w:val="20"/>
                <w:szCs w:val="20"/>
                <w:lang w:val="en-GB"/>
              </w:rPr>
            </w:pPr>
          </w:p>
        </w:tc>
        <w:tc>
          <w:tcPr>
            <w:tcW w:w="9463" w:type="dxa"/>
            <w:gridSpan w:val="14"/>
            <w:tcBorders>
              <w:top w:val="single" w:sz="4" w:space="0" w:color="auto"/>
              <w:left w:val="nil"/>
              <w:bottom w:val="nil"/>
              <w:right w:val="nil"/>
            </w:tcBorders>
            <w:noWrap/>
            <w:hideMark/>
          </w:tcPr>
          <w:p w14:paraId="1B5A78F6"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99200" behindDoc="0" locked="0" layoutInCell="1" allowOverlap="1" wp14:anchorId="75D016C5" wp14:editId="4B0668CB">
                      <wp:simplePos x="0" y="0"/>
                      <wp:positionH relativeFrom="column">
                        <wp:posOffset>1676400</wp:posOffset>
                      </wp:positionH>
                      <wp:positionV relativeFrom="paragraph">
                        <wp:posOffset>177800</wp:posOffset>
                      </wp:positionV>
                      <wp:extent cx="125730" cy="125730"/>
                      <wp:effectExtent l="0" t="0" r="26670" b="26670"/>
                      <wp:wrapNone/>
                      <wp:docPr id="76" name="Rektangel 46"/>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06E0F" id="Rektangel 46" o:spid="_x0000_s1026" style="position:absolute;margin-left:132pt;margin-top:14pt;width:9.9pt;height: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" filled="f" strokecolor="windowText" strokeweight="1pt"/>
                  </w:pict>
                </mc:Fallback>
              </mc:AlternateContent>
            </w:r>
            <w:r w:rsidRPr="00116F45">
              <w:rPr>
                <w:noProof/>
                <w:lang w:val="en-GB"/>
              </w:rPr>
              <mc:AlternateContent>
                <mc:Choice Requires="wps">
                  <w:drawing>
                    <wp:anchor distT="0" distB="0" distL="114300" distR="114300" simplePos="0" relativeHeight="251698176" behindDoc="0" locked="0" layoutInCell="1" allowOverlap="1" wp14:anchorId="4FEF1CDF" wp14:editId="23336AC9">
                      <wp:simplePos x="0" y="0"/>
                      <wp:positionH relativeFrom="column">
                        <wp:posOffset>320675</wp:posOffset>
                      </wp:positionH>
                      <wp:positionV relativeFrom="paragraph">
                        <wp:posOffset>182880</wp:posOffset>
                      </wp:positionV>
                      <wp:extent cx="125730" cy="125730"/>
                      <wp:effectExtent l="0" t="0" r="26670" b="26670"/>
                      <wp:wrapNone/>
                      <wp:docPr id="75" name="Rektangel 11"/>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5ED4" id="Rektangel 11" o:spid="_x0000_s1026" style="position:absolute;margin-left:25.25pt;margin-top:14.4pt;width:9.9pt;height: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" filled="f" strokecolor="windowText" strokeweight="1pt"/>
                  </w:pict>
                </mc:Fallback>
              </mc:AlternateContent>
            </w:r>
            <w:r w:rsidRPr="00116F45">
              <w:rPr>
                <w:noProof/>
                <w:lang w:val="en-GB"/>
              </w:rPr>
              <mc:AlternateContent>
                <mc:Choice Requires="wps">
                  <w:drawing>
                    <wp:anchor distT="0" distB="0" distL="114300" distR="114300" simplePos="0" relativeHeight="251666432" behindDoc="0" locked="0" layoutInCell="1" allowOverlap="1" wp14:anchorId="06945759" wp14:editId="5CB2A357">
                      <wp:simplePos x="0" y="0"/>
                      <wp:positionH relativeFrom="column">
                        <wp:posOffset>5114925</wp:posOffset>
                      </wp:positionH>
                      <wp:positionV relativeFrom="paragraph">
                        <wp:posOffset>180975</wp:posOffset>
                      </wp:positionV>
                      <wp:extent cx="125730" cy="125730"/>
                      <wp:effectExtent l="0" t="0" r="26670" b="26670"/>
                      <wp:wrapNone/>
                      <wp:docPr id="74" name="Rektangel 9"/>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B8A3B" id="Rektangel 9" o:spid="_x0000_s1026" style="position:absolute;margin-left:402.75pt;margin-top:14.25pt;width:9.9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" filled="f" strokecolor="#747070 [1614]" strokeweight="1pt"/>
                  </w:pict>
                </mc:Fallback>
              </mc:AlternateContent>
            </w:r>
            <w:r w:rsidRPr="00116F45">
              <w:rPr>
                <w:noProof/>
                <w:lang w:val="en-GB"/>
              </w:rPr>
              <mc:AlternateContent>
                <mc:Choice Requires="wps">
                  <w:drawing>
                    <wp:anchor distT="0" distB="0" distL="114300" distR="114300" simplePos="0" relativeHeight="251697152" behindDoc="0" locked="0" layoutInCell="1" allowOverlap="1" wp14:anchorId="66E15F6F" wp14:editId="4C3126CC">
                      <wp:simplePos x="0" y="0"/>
                      <wp:positionH relativeFrom="column">
                        <wp:posOffset>3383280</wp:posOffset>
                      </wp:positionH>
                      <wp:positionV relativeFrom="paragraph">
                        <wp:posOffset>180975</wp:posOffset>
                      </wp:positionV>
                      <wp:extent cx="125730" cy="125730"/>
                      <wp:effectExtent l="0" t="0" r="26670" b="26670"/>
                      <wp:wrapNone/>
                      <wp:docPr id="73" name="Rektangel 10"/>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B0D89" id="Rektangel 10" o:spid="_x0000_s1026" style="position:absolute;margin-left:266.4pt;margin-top:14.25pt;width:9.9pt;height: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" filled="f" strokecolor="windowText" strokeweight="1pt"/>
                  </w:pict>
                </mc:Fallback>
              </mc:AlternateContent>
            </w:r>
            <w:r w:rsidRPr="00116F45">
              <w:rPr>
                <w:sz w:val="20"/>
                <w:szCs w:val="20"/>
                <w:lang w:val="en-GB"/>
              </w:rPr>
              <w:t>Cold meat cuts                              Pate                                            Cold fish cuts                                         Cheese</w:t>
            </w:r>
          </w:p>
        </w:tc>
      </w:tr>
      <w:tr w:rsidR="00116F45" w:rsidRPr="009760D1" w14:paraId="4DE1276A" w14:textId="77777777" w:rsidTr="00CA2C9A">
        <w:trPr>
          <w:trHeight w:val="300"/>
        </w:trPr>
        <w:tc>
          <w:tcPr>
            <w:tcW w:w="318" w:type="dxa"/>
            <w:tcBorders>
              <w:top w:val="nil"/>
              <w:left w:val="nil"/>
              <w:bottom w:val="nil"/>
              <w:right w:val="nil"/>
            </w:tcBorders>
            <w:noWrap/>
            <w:vAlign w:val="center"/>
            <w:hideMark/>
          </w:tcPr>
          <w:p w14:paraId="2428F867" w14:textId="77777777" w:rsidR="002274D3" w:rsidRPr="00116F45" w:rsidRDefault="002274D3" w:rsidP="00604F94">
            <w:pPr>
              <w:spacing w:line="240" w:lineRule="auto"/>
              <w:rPr>
                <w:sz w:val="20"/>
                <w:szCs w:val="20"/>
                <w:lang w:val="en-GB"/>
              </w:rPr>
            </w:pPr>
          </w:p>
        </w:tc>
        <w:tc>
          <w:tcPr>
            <w:tcW w:w="9463" w:type="dxa"/>
            <w:gridSpan w:val="14"/>
            <w:tcBorders>
              <w:top w:val="nil"/>
              <w:left w:val="nil"/>
              <w:bottom w:val="nil"/>
              <w:right w:val="nil"/>
            </w:tcBorders>
            <w:noWrap/>
            <w:hideMark/>
          </w:tcPr>
          <w:p w14:paraId="52CE42AF" w14:textId="77777777" w:rsidR="002274D3" w:rsidRPr="00116F45" w:rsidRDefault="002274D3" w:rsidP="00604F94">
            <w:pPr>
              <w:spacing w:line="240" w:lineRule="auto"/>
              <w:rPr>
                <w:sz w:val="20"/>
                <w:szCs w:val="20"/>
                <w:lang w:val="en-GB" w:eastAsia="da-DK"/>
              </w:rPr>
            </w:pPr>
          </w:p>
        </w:tc>
      </w:tr>
      <w:tr w:rsidR="00116F45" w:rsidRPr="009760D1" w14:paraId="2CDC0508"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51B1E04E"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5</w:t>
            </w:r>
          </w:p>
        </w:tc>
        <w:tc>
          <w:tcPr>
            <w:tcW w:w="9463" w:type="dxa"/>
            <w:gridSpan w:val="14"/>
            <w:tcBorders>
              <w:top w:val="single" w:sz="4" w:space="0" w:color="auto"/>
              <w:left w:val="nil"/>
              <w:bottom w:val="single" w:sz="4" w:space="0" w:color="auto"/>
              <w:right w:val="nil"/>
            </w:tcBorders>
            <w:noWrap/>
            <w:hideMark/>
          </w:tcPr>
          <w:p w14:paraId="2FF6DF29" w14:textId="77777777" w:rsidR="002274D3" w:rsidRPr="00116F45" w:rsidRDefault="002274D3" w:rsidP="00604F94">
            <w:pPr>
              <w:spacing w:line="240" w:lineRule="auto"/>
              <w:rPr>
                <w:b/>
                <w:bCs/>
                <w:sz w:val="20"/>
                <w:szCs w:val="20"/>
                <w:lang w:val="en-GB"/>
              </w:rPr>
            </w:pPr>
            <w:r w:rsidRPr="00116F45">
              <w:rPr>
                <w:b/>
                <w:bCs/>
                <w:sz w:val="20"/>
                <w:szCs w:val="20"/>
                <w:lang w:val="en-GB"/>
              </w:rPr>
              <w:t>How many times a week do you eat the type of warm foods mentioned below?</w:t>
            </w:r>
          </w:p>
        </w:tc>
      </w:tr>
      <w:tr w:rsidR="00116F45" w:rsidRPr="009760D1" w14:paraId="66E5ED31" w14:textId="77777777" w:rsidTr="00CA2C9A">
        <w:trPr>
          <w:trHeight w:val="300"/>
        </w:trPr>
        <w:tc>
          <w:tcPr>
            <w:tcW w:w="318" w:type="dxa"/>
            <w:tcBorders>
              <w:top w:val="single" w:sz="4" w:space="0" w:color="auto"/>
              <w:left w:val="nil"/>
              <w:bottom w:val="nil"/>
              <w:right w:val="nil"/>
            </w:tcBorders>
            <w:noWrap/>
            <w:vAlign w:val="center"/>
            <w:hideMark/>
          </w:tcPr>
          <w:p w14:paraId="0FB9D548" w14:textId="77777777" w:rsidR="002274D3" w:rsidRPr="00116F45" w:rsidRDefault="002274D3" w:rsidP="00604F94">
            <w:pPr>
              <w:spacing w:line="240" w:lineRule="auto"/>
              <w:rPr>
                <w:b/>
                <w:bCs/>
                <w:sz w:val="20"/>
                <w:szCs w:val="20"/>
                <w:lang w:val="en-GB"/>
              </w:rPr>
            </w:pPr>
          </w:p>
        </w:tc>
        <w:tc>
          <w:tcPr>
            <w:tcW w:w="9463" w:type="dxa"/>
            <w:gridSpan w:val="14"/>
            <w:tcBorders>
              <w:top w:val="single" w:sz="4" w:space="0" w:color="auto"/>
              <w:left w:val="nil"/>
              <w:bottom w:val="nil"/>
              <w:right w:val="nil"/>
            </w:tcBorders>
            <w:noWrap/>
            <w:hideMark/>
          </w:tcPr>
          <w:p w14:paraId="6737E8AC" w14:textId="77777777" w:rsidR="002274D3" w:rsidRPr="00116F45" w:rsidRDefault="002274D3" w:rsidP="00604F94">
            <w:pPr>
              <w:spacing w:line="240" w:lineRule="auto"/>
              <w:rPr>
                <w:sz w:val="20"/>
                <w:szCs w:val="20"/>
                <w:lang w:val="en-GB"/>
              </w:rPr>
            </w:pPr>
            <w:r w:rsidRPr="00116F45">
              <w:rPr>
                <w:sz w:val="20"/>
                <w:szCs w:val="20"/>
                <w:lang w:val="en-GB"/>
              </w:rPr>
              <w:t>Beef/veal                              Pork                               Poultry                               Fish                                        Fast food</w:t>
            </w:r>
          </w:p>
        </w:tc>
      </w:tr>
      <w:tr w:rsidR="00116F45" w:rsidRPr="009760D1" w14:paraId="2CF4FA67" w14:textId="77777777" w:rsidTr="00CA2C9A">
        <w:trPr>
          <w:trHeight w:val="300"/>
        </w:trPr>
        <w:tc>
          <w:tcPr>
            <w:tcW w:w="318" w:type="dxa"/>
            <w:tcBorders>
              <w:top w:val="nil"/>
              <w:left w:val="nil"/>
              <w:bottom w:val="nil"/>
              <w:right w:val="nil"/>
            </w:tcBorders>
            <w:noWrap/>
            <w:vAlign w:val="center"/>
            <w:hideMark/>
          </w:tcPr>
          <w:p w14:paraId="1DC9616C" w14:textId="77777777" w:rsidR="002274D3" w:rsidRPr="00116F45" w:rsidRDefault="002274D3" w:rsidP="00604F94">
            <w:pPr>
              <w:spacing w:line="240" w:lineRule="auto"/>
              <w:rPr>
                <w:sz w:val="20"/>
                <w:szCs w:val="20"/>
                <w:lang w:val="en-GB"/>
              </w:rPr>
            </w:pPr>
          </w:p>
        </w:tc>
        <w:tc>
          <w:tcPr>
            <w:tcW w:w="9463" w:type="dxa"/>
            <w:gridSpan w:val="14"/>
            <w:tcBorders>
              <w:top w:val="nil"/>
              <w:left w:val="nil"/>
              <w:bottom w:val="nil"/>
              <w:right w:val="nil"/>
            </w:tcBorders>
            <w:noWrap/>
            <w:hideMark/>
          </w:tcPr>
          <w:p w14:paraId="51AB1FEF"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1552" behindDoc="0" locked="0" layoutInCell="1" allowOverlap="1" wp14:anchorId="60AC5B67" wp14:editId="14AA47BD">
                      <wp:simplePos x="0" y="0"/>
                      <wp:positionH relativeFrom="column">
                        <wp:posOffset>5250180</wp:posOffset>
                      </wp:positionH>
                      <wp:positionV relativeFrom="paragraph">
                        <wp:posOffset>12700</wp:posOffset>
                      </wp:positionV>
                      <wp:extent cx="125730" cy="125730"/>
                      <wp:effectExtent l="0" t="0" r="26670" b="26670"/>
                      <wp:wrapNone/>
                      <wp:docPr id="72" name="Rektangel 17"/>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E9BAA" id="Rektangel 17" o:spid="_x0000_s1026" style="position:absolute;margin-left:413.4pt;margin-top:1pt;width:9.9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" filled="f" strokecolor="windowText" strokeweight="1pt"/>
                  </w:pict>
                </mc:Fallback>
              </mc:AlternateContent>
            </w:r>
            <w:r w:rsidRPr="00116F45">
              <w:rPr>
                <w:noProof/>
                <w:lang w:val="en-GB"/>
              </w:rPr>
              <mc:AlternateContent>
                <mc:Choice Requires="wps">
                  <w:drawing>
                    <wp:anchor distT="0" distB="0" distL="114300" distR="114300" simplePos="0" relativeHeight="251668480" behindDoc="0" locked="0" layoutInCell="1" allowOverlap="1" wp14:anchorId="3408DE64" wp14:editId="638ED927">
                      <wp:simplePos x="0" y="0"/>
                      <wp:positionH relativeFrom="column">
                        <wp:posOffset>3780155</wp:posOffset>
                      </wp:positionH>
                      <wp:positionV relativeFrom="paragraph">
                        <wp:posOffset>10795</wp:posOffset>
                      </wp:positionV>
                      <wp:extent cx="125730" cy="125730"/>
                      <wp:effectExtent l="0" t="0" r="26670" b="26670"/>
                      <wp:wrapNone/>
                      <wp:docPr id="71" name="Rektangel 14"/>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08164" id="Rektangel 14" o:spid="_x0000_s1026" style="position:absolute;margin-left:297.65pt;margin-top:.85pt;width:9.9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" filled="f" strokecolor="windowText" strokeweight="1pt"/>
                  </w:pict>
                </mc:Fallback>
              </mc:AlternateContent>
            </w:r>
            <w:r w:rsidRPr="00116F45">
              <w:rPr>
                <w:noProof/>
                <w:lang w:val="en-GB"/>
              </w:rPr>
              <mc:AlternateContent>
                <mc:Choice Requires="wps">
                  <w:drawing>
                    <wp:anchor distT="0" distB="0" distL="114300" distR="114300" simplePos="0" relativeHeight="251670528" behindDoc="0" locked="0" layoutInCell="1" allowOverlap="1" wp14:anchorId="1ADC7CD1" wp14:editId="7A2D8F8C">
                      <wp:simplePos x="0" y="0"/>
                      <wp:positionH relativeFrom="column">
                        <wp:posOffset>2567305</wp:posOffset>
                      </wp:positionH>
                      <wp:positionV relativeFrom="paragraph">
                        <wp:posOffset>12700</wp:posOffset>
                      </wp:positionV>
                      <wp:extent cx="125730" cy="125730"/>
                      <wp:effectExtent l="0" t="0" r="26670" b="26670"/>
                      <wp:wrapNone/>
                      <wp:docPr id="70" name="Rektangel 16"/>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99A02" id="Rektangel 16" o:spid="_x0000_s1026" style="position:absolute;margin-left:202.15pt;margin-top:1pt;width:9.9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" filled="f" strokecolor="#747070 [1614]" strokeweight="1pt"/>
                  </w:pict>
                </mc:Fallback>
              </mc:AlternateContent>
            </w:r>
            <w:r w:rsidRPr="00116F45">
              <w:rPr>
                <w:noProof/>
                <w:lang w:val="en-GB"/>
              </w:rPr>
              <mc:AlternateContent>
                <mc:Choice Requires="wps">
                  <w:drawing>
                    <wp:anchor distT="0" distB="0" distL="114300" distR="114300" simplePos="0" relativeHeight="251669504" behindDoc="0" locked="0" layoutInCell="1" allowOverlap="1" wp14:anchorId="6A1BF910" wp14:editId="40E8DAA8">
                      <wp:simplePos x="0" y="0"/>
                      <wp:positionH relativeFrom="column">
                        <wp:posOffset>1397635</wp:posOffset>
                      </wp:positionH>
                      <wp:positionV relativeFrom="paragraph">
                        <wp:posOffset>12700</wp:posOffset>
                      </wp:positionV>
                      <wp:extent cx="125730" cy="125730"/>
                      <wp:effectExtent l="0" t="0" r="26670" b="26670"/>
                      <wp:wrapNone/>
                      <wp:docPr id="69" name="Rektangel 15"/>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D160B" id="Rektangel 15" o:spid="_x0000_s1026" style="position:absolute;margin-left:110.05pt;margin-top:1pt;width:9.9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" filled="f" strokecolor="#747070 [1614]" strokeweight="1pt"/>
                  </w:pict>
                </mc:Fallback>
              </mc:AlternateContent>
            </w:r>
            <w:r w:rsidRPr="00116F45">
              <w:rPr>
                <w:noProof/>
                <w:lang w:val="en-GB"/>
              </w:rPr>
              <mc:AlternateContent>
                <mc:Choice Requires="wps">
                  <w:drawing>
                    <wp:anchor distT="0" distB="0" distL="114300" distR="114300" simplePos="0" relativeHeight="251667456" behindDoc="0" locked="0" layoutInCell="1" allowOverlap="1" wp14:anchorId="76447DBE" wp14:editId="40192EFB">
                      <wp:simplePos x="0" y="0"/>
                      <wp:positionH relativeFrom="column">
                        <wp:posOffset>180340</wp:posOffset>
                      </wp:positionH>
                      <wp:positionV relativeFrom="paragraph">
                        <wp:posOffset>10795</wp:posOffset>
                      </wp:positionV>
                      <wp:extent cx="125730" cy="125730"/>
                      <wp:effectExtent l="0" t="0" r="26670" b="26670"/>
                      <wp:wrapNone/>
                      <wp:docPr id="68" name="Rektangel 13"/>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EF5F0" id="Rektangel 13" o:spid="_x0000_s1026" style="position:absolute;margin-left:14.2pt;margin-top:.85pt;width:9.9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" filled="f" strokecolor="#747070 [1614]" strokeweight="1pt"/>
                  </w:pict>
                </mc:Fallback>
              </mc:AlternateContent>
            </w:r>
          </w:p>
        </w:tc>
      </w:tr>
      <w:tr w:rsidR="00116F45" w:rsidRPr="00116F45" w14:paraId="1C6DF265"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4D370E72"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6</w:t>
            </w:r>
          </w:p>
        </w:tc>
        <w:tc>
          <w:tcPr>
            <w:tcW w:w="9463" w:type="dxa"/>
            <w:gridSpan w:val="14"/>
            <w:tcBorders>
              <w:top w:val="single" w:sz="4" w:space="0" w:color="auto"/>
              <w:left w:val="nil"/>
              <w:bottom w:val="single" w:sz="4" w:space="0" w:color="auto"/>
              <w:right w:val="nil"/>
            </w:tcBorders>
            <w:noWrap/>
            <w:hideMark/>
          </w:tcPr>
          <w:p w14:paraId="5431FAC3" w14:textId="77777777" w:rsidR="002274D3" w:rsidRPr="00116F45" w:rsidRDefault="002274D3" w:rsidP="00604F94">
            <w:pPr>
              <w:spacing w:line="240" w:lineRule="auto"/>
              <w:rPr>
                <w:b/>
                <w:bCs/>
                <w:sz w:val="20"/>
                <w:szCs w:val="20"/>
                <w:lang w:val="en-GB"/>
              </w:rPr>
            </w:pPr>
            <w:r w:rsidRPr="00116F45">
              <w:rPr>
                <w:b/>
                <w:bCs/>
                <w:sz w:val="20"/>
                <w:szCs w:val="20"/>
                <w:lang w:val="en-GB"/>
              </w:rPr>
              <w:t>What type of fat do you most often use when preparing a warm meal? (Please, only mark with one cross)</w:t>
            </w:r>
          </w:p>
        </w:tc>
      </w:tr>
      <w:tr w:rsidR="00116F45" w:rsidRPr="00116F45" w14:paraId="04D1A013" w14:textId="77777777" w:rsidTr="00CA2C9A">
        <w:trPr>
          <w:trHeight w:val="300"/>
        </w:trPr>
        <w:tc>
          <w:tcPr>
            <w:tcW w:w="318" w:type="dxa"/>
            <w:tcBorders>
              <w:top w:val="single" w:sz="4" w:space="0" w:color="auto"/>
              <w:left w:val="nil"/>
              <w:bottom w:val="nil"/>
              <w:right w:val="nil"/>
            </w:tcBorders>
            <w:noWrap/>
            <w:vAlign w:val="center"/>
            <w:hideMark/>
          </w:tcPr>
          <w:p w14:paraId="40F8C137" w14:textId="77777777" w:rsidR="002274D3" w:rsidRPr="00116F45" w:rsidRDefault="002274D3" w:rsidP="00604F94">
            <w:pPr>
              <w:spacing w:line="240" w:lineRule="auto"/>
              <w:rPr>
                <w:b/>
                <w:bCs/>
                <w:sz w:val="20"/>
                <w:szCs w:val="20"/>
                <w:lang w:val="en-GB"/>
              </w:rPr>
            </w:pPr>
          </w:p>
        </w:tc>
        <w:tc>
          <w:tcPr>
            <w:tcW w:w="958" w:type="dxa"/>
            <w:tcBorders>
              <w:top w:val="single" w:sz="4" w:space="0" w:color="auto"/>
              <w:left w:val="nil"/>
              <w:bottom w:val="nil"/>
              <w:right w:val="nil"/>
            </w:tcBorders>
            <w:noWrap/>
            <w:hideMark/>
          </w:tcPr>
          <w:p w14:paraId="2219417C" w14:textId="77777777" w:rsidR="002274D3" w:rsidRPr="00116F45" w:rsidRDefault="002274D3" w:rsidP="00604F94">
            <w:pPr>
              <w:spacing w:line="240" w:lineRule="auto"/>
              <w:rPr>
                <w:sz w:val="20"/>
                <w:szCs w:val="20"/>
                <w:lang w:val="en-GB"/>
              </w:rPr>
            </w:pPr>
            <w:r w:rsidRPr="00116F45">
              <w:rPr>
                <w:sz w:val="20"/>
                <w:szCs w:val="20"/>
                <w:lang w:val="en-GB"/>
              </w:rPr>
              <w:t>Nothing</w:t>
            </w:r>
          </w:p>
        </w:tc>
        <w:tc>
          <w:tcPr>
            <w:tcW w:w="851" w:type="dxa"/>
            <w:gridSpan w:val="2"/>
            <w:tcBorders>
              <w:top w:val="single" w:sz="4" w:space="0" w:color="auto"/>
              <w:left w:val="nil"/>
              <w:bottom w:val="nil"/>
              <w:right w:val="nil"/>
            </w:tcBorders>
            <w:hideMark/>
          </w:tcPr>
          <w:p w14:paraId="3DF1F81B"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4624" behindDoc="0" locked="0" layoutInCell="1" allowOverlap="1" wp14:anchorId="5025DD13" wp14:editId="579F0A80">
                      <wp:simplePos x="0" y="0"/>
                      <wp:positionH relativeFrom="column">
                        <wp:posOffset>93980</wp:posOffset>
                      </wp:positionH>
                      <wp:positionV relativeFrom="paragraph">
                        <wp:posOffset>184785</wp:posOffset>
                      </wp:positionV>
                      <wp:extent cx="125730" cy="125730"/>
                      <wp:effectExtent l="0" t="0" r="26670" b="26670"/>
                      <wp:wrapNone/>
                      <wp:docPr id="67" name="Rektangel 20"/>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D65DE" id="Rektangel 20" o:spid="_x0000_s1026" style="position:absolute;margin-left:7.4pt;margin-top:14.55pt;width:9.9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" filled="f" strokecolor="windowText" strokeweight="1pt"/>
                  </w:pict>
                </mc:Fallback>
              </mc:AlternateContent>
            </w:r>
            <w:r w:rsidRPr="00116F45">
              <w:rPr>
                <w:sz w:val="20"/>
                <w:szCs w:val="20"/>
                <w:lang w:val="en-GB"/>
              </w:rPr>
              <w:t>Butter</w:t>
            </w:r>
          </w:p>
        </w:tc>
        <w:tc>
          <w:tcPr>
            <w:tcW w:w="1275" w:type="dxa"/>
            <w:gridSpan w:val="2"/>
            <w:tcBorders>
              <w:top w:val="single" w:sz="4" w:space="0" w:color="auto"/>
              <w:left w:val="nil"/>
              <w:bottom w:val="nil"/>
              <w:right w:val="nil"/>
            </w:tcBorders>
            <w:hideMark/>
          </w:tcPr>
          <w:p w14:paraId="06C7F748"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8720" behindDoc="0" locked="0" layoutInCell="1" allowOverlap="1" wp14:anchorId="0B62C039" wp14:editId="6674F783">
                      <wp:simplePos x="0" y="0"/>
                      <wp:positionH relativeFrom="column">
                        <wp:posOffset>233680</wp:posOffset>
                      </wp:positionH>
                      <wp:positionV relativeFrom="paragraph">
                        <wp:posOffset>184785</wp:posOffset>
                      </wp:positionV>
                      <wp:extent cx="125730" cy="125730"/>
                      <wp:effectExtent l="0" t="0" r="26670" b="26670"/>
                      <wp:wrapNone/>
                      <wp:docPr id="66" name="Rektangel 27"/>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9EA4" id="Rektangel 27" o:spid="_x0000_s1026" style="position:absolute;margin-left:18.4pt;margin-top:14.55pt;width:9.9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" filled="f" strokecolor="windowText" strokeweight="1pt"/>
                  </w:pict>
                </mc:Fallback>
              </mc:AlternateContent>
            </w:r>
            <w:r w:rsidRPr="00116F45">
              <w:rPr>
                <w:sz w:val="20"/>
                <w:szCs w:val="20"/>
                <w:lang w:val="en-GB"/>
              </w:rPr>
              <w:t>Butter blend</w:t>
            </w:r>
          </w:p>
        </w:tc>
        <w:tc>
          <w:tcPr>
            <w:tcW w:w="1701" w:type="dxa"/>
            <w:gridSpan w:val="3"/>
            <w:tcBorders>
              <w:top w:val="single" w:sz="4" w:space="0" w:color="auto"/>
              <w:left w:val="nil"/>
              <w:bottom w:val="nil"/>
              <w:right w:val="nil"/>
            </w:tcBorders>
            <w:hideMark/>
          </w:tcPr>
          <w:p w14:paraId="406645F8"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5648" behindDoc="0" locked="0" layoutInCell="1" allowOverlap="1" wp14:anchorId="30484E42" wp14:editId="60EF0281">
                      <wp:simplePos x="0" y="0"/>
                      <wp:positionH relativeFrom="column">
                        <wp:posOffset>351155</wp:posOffset>
                      </wp:positionH>
                      <wp:positionV relativeFrom="paragraph">
                        <wp:posOffset>184785</wp:posOffset>
                      </wp:positionV>
                      <wp:extent cx="125730" cy="125730"/>
                      <wp:effectExtent l="0" t="0" r="26670" b="26670"/>
                      <wp:wrapNone/>
                      <wp:docPr id="65" name="Rektangel 21"/>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0538" id="Rektangel 21" o:spid="_x0000_s1026" style="position:absolute;margin-left:27.65pt;margin-top:14.55pt;width:9.9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" filled="f" strokecolor="windowText" strokeweight="1pt"/>
                  </w:pict>
                </mc:Fallback>
              </mc:AlternateContent>
            </w:r>
            <w:r w:rsidRPr="00116F45">
              <w:rPr>
                <w:sz w:val="20"/>
                <w:szCs w:val="20"/>
                <w:lang w:val="en-GB"/>
              </w:rPr>
              <w:t>Frying margarine</w:t>
            </w:r>
          </w:p>
        </w:tc>
        <w:tc>
          <w:tcPr>
            <w:tcW w:w="1560" w:type="dxa"/>
            <w:gridSpan w:val="2"/>
            <w:tcBorders>
              <w:top w:val="single" w:sz="4" w:space="0" w:color="auto"/>
              <w:left w:val="nil"/>
              <w:bottom w:val="nil"/>
              <w:right w:val="nil"/>
            </w:tcBorders>
            <w:hideMark/>
          </w:tcPr>
          <w:p w14:paraId="2E971981"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3600" behindDoc="0" locked="0" layoutInCell="1" allowOverlap="1" wp14:anchorId="4C400879" wp14:editId="4F91DC3A">
                      <wp:simplePos x="0" y="0"/>
                      <wp:positionH relativeFrom="column">
                        <wp:posOffset>330200</wp:posOffset>
                      </wp:positionH>
                      <wp:positionV relativeFrom="paragraph">
                        <wp:posOffset>182880</wp:posOffset>
                      </wp:positionV>
                      <wp:extent cx="125730" cy="125730"/>
                      <wp:effectExtent l="0" t="0" r="26670" b="26670"/>
                      <wp:wrapNone/>
                      <wp:docPr id="64" name="Rektangel 19"/>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582D6" id="Rektangel 19" o:spid="_x0000_s1026" style="position:absolute;margin-left:26pt;margin-top:14.4pt;width:9.9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" filled="f" strokecolor="windowText" strokeweight="1pt"/>
                  </w:pict>
                </mc:Fallback>
              </mc:AlternateContent>
            </w:r>
            <w:r w:rsidRPr="00116F45">
              <w:rPr>
                <w:sz w:val="20"/>
                <w:szCs w:val="20"/>
                <w:lang w:val="en-GB"/>
              </w:rPr>
              <w:t>Plant margarine</w:t>
            </w:r>
          </w:p>
        </w:tc>
        <w:tc>
          <w:tcPr>
            <w:tcW w:w="992" w:type="dxa"/>
            <w:tcBorders>
              <w:top w:val="single" w:sz="4" w:space="0" w:color="auto"/>
              <w:left w:val="nil"/>
              <w:bottom w:val="nil"/>
              <w:right w:val="nil"/>
            </w:tcBorders>
            <w:hideMark/>
          </w:tcPr>
          <w:p w14:paraId="75BA3E9B"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6672" behindDoc="0" locked="0" layoutInCell="1" allowOverlap="1" wp14:anchorId="29BA87D8" wp14:editId="73FA3D16">
                      <wp:simplePos x="0" y="0"/>
                      <wp:positionH relativeFrom="column">
                        <wp:posOffset>160655</wp:posOffset>
                      </wp:positionH>
                      <wp:positionV relativeFrom="paragraph">
                        <wp:posOffset>184785</wp:posOffset>
                      </wp:positionV>
                      <wp:extent cx="125730" cy="125730"/>
                      <wp:effectExtent l="0" t="0" r="26670" b="26670"/>
                      <wp:wrapNone/>
                      <wp:docPr id="63" name="Rektangel 22"/>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28F4E" id="Rektangel 22" o:spid="_x0000_s1026" style="position:absolute;margin-left:12.65pt;margin-top:14.55pt;width:9.9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" filled="f" strokecolor="windowText" strokeweight="1pt"/>
                  </w:pict>
                </mc:Fallback>
              </mc:AlternateContent>
            </w:r>
            <w:r w:rsidRPr="00116F45">
              <w:rPr>
                <w:sz w:val="20"/>
                <w:szCs w:val="20"/>
                <w:lang w:val="en-GB"/>
              </w:rPr>
              <w:t>Minarine</w:t>
            </w:r>
          </w:p>
        </w:tc>
        <w:tc>
          <w:tcPr>
            <w:tcW w:w="1134" w:type="dxa"/>
            <w:gridSpan w:val="2"/>
            <w:tcBorders>
              <w:top w:val="single" w:sz="4" w:space="0" w:color="auto"/>
              <w:left w:val="nil"/>
              <w:bottom w:val="nil"/>
              <w:right w:val="nil"/>
            </w:tcBorders>
            <w:hideMark/>
          </w:tcPr>
          <w:p w14:paraId="0500AADC"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7696" behindDoc="0" locked="0" layoutInCell="1" allowOverlap="1" wp14:anchorId="62066A1A" wp14:editId="2B21640D">
                      <wp:simplePos x="0" y="0"/>
                      <wp:positionH relativeFrom="column">
                        <wp:posOffset>241935</wp:posOffset>
                      </wp:positionH>
                      <wp:positionV relativeFrom="paragraph">
                        <wp:posOffset>184785</wp:posOffset>
                      </wp:positionV>
                      <wp:extent cx="125730" cy="125730"/>
                      <wp:effectExtent l="0" t="0" r="26670" b="26670"/>
                      <wp:wrapNone/>
                      <wp:docPr id="62" name="Rektangel 23"/>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454D9" id="Rektangel 23" o:spid="_x0000_s1026" style="position:absolute;margin-left:19.05pt;margin-top:14.55pt;width:9.9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" filled="f" strokecolor="windowText" strokeweight="1pt"/>
                  </w:pict>
                </mc:Fallback>
              </mc:AlternateContent>
            </w:r>
            <w:r w:rsidRPr="00116F45">
              <w:rPr>
                <w:sz w:val="20"/>
                <w:szCs w:val="20"/>
                <w:lang w:val="en-GB"/>
              </w:rPr>
              <w:t>Cooking oil</w:t>
            </w:r>
          </w:p>
        </w:tc>
        <w:tc>
          <w:tcPr>
            <w:tcW w:w="992" w:type="dxa"/>
            <w:tcBorders>
              <w:top w:val="single" w:sz="4" w:space="0" w:color="auto"/>
              <w:left w:val="nil"/>
              <w:bottom w:val="nil"/>
              <w:right w:val="nil"/>
            </w:tcBorders>
            <w:hideMark/>
          </w:tcPr>
          <w:p w14:paraId="05A778CA" w14:textId="77777777" w:rsidR="002274D3" w:rsidRPr="00116F45" w:rsidRDefault="002274D3" w:rsidP="00604F94">
            <w:pPr>
              <w:spacing w:line="240" w:lineRule="auto"/>
              <w:rPr>
                <w:sz w:val="20"/>
                <w:szCs w:val="20"/>
                <w:lang w:val="en-GB"/>
              </w:rPr>
            </w:pPr>
            <w:r w:rsidRPr="00116F45">
              <w:rPr>
                <w:sz w:val="20"/>
                <w:szCs w:val="20"/>
                <w:lang w:val="en-GB"/>
              </w:rPr>
              <w:t>Other</w:t>
            </w:r>
          </w:p>
        </w:tc>
      </w:tr>
      <w:tr w:rsidR="00116F45" w:rsidRPr="00116F45" w14:paraId="7A48890E" w14:textId="77777777" w:rsidTr="00CA2C9A">
        <w:trPr>
          <w:trHeight w:val="300"/>
        </w:trPr>
        <w:tc>
          <w:tcPr>
            <w:tcW w:w="318" w:type="dxa"/>
            <w:tcBorders>
              <w:top w:val="nil"/>
              <w:left w:val="nil"/>
              <w:bottom w:val="nil"/>
              <w:right w:val="nil"/>
            </w:tcBorders>
            <w:noWrap/>
            <w:vAlign w:val="center"/>
            <w:hideMark/>
          </w:tcPr>
          <w:p w14:paraId="78F69F56" w14:textId="77777777" w:rsidR="002274D3" w:rsidRPr="00116F45" w:rsidRDefault="002274D3" w:rsidP="00604F94">
            <w:pPr>
              <w:spacing w:line="240" w:lineRule="auto"/>
              <w:rPr>
                <w:sz w:val="20"/>
                <w:szCs w:val="20"/>
                <w:lang w:val="en-GB"/>
              </w:rPr>
            </w:pPr>
          </w:p>
        </w:tc>
        <w:tc>
          <w:tcPr>
            <w:tcW w:w="9463" w:type="dxa"/>
            <w:gridSpan w:val="14"/>
            <w:tcBorders>
              <w:top w:val="nil"/>
              <w:left w:val="nil"/>
              <w:bottom w:val="nil"/>
              <w:right w:val="nil"/>
            </w:tcBorders>
            <w:noWrap/>
            <w:hideMark/>
          </w:tcPr>
          <w:p w14:paraId="284BAD6A"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79744" behindDoc="0" locked="0" layoutInCell="1" allowOverlap="1" wp14:anchorId="3B08232F" wp14:editId="423AA175">
                      <wp:simplePos x="0" y="0"/>
                      <wp:positionH relativeFrom="column">
                        <wp:posOffset>5382260</wp:posOffset>
                      </wp:positionH>
                      <wp:positionV relativeFrom="paragraph">
                        <wp:posOffset>-5715</wp:posOffset>
                      </wp:positionV>
                      <wp:extent cx="125730" cy="125730"/>
                      <wp:effectExtent l="0" t="0" r="26670" b="26670"/>
                      <wp:wrapNone/>
                      <wp:docPr id="61" name="Rektangel 29"/>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84BBA" id="Rektangel 29" o:spid="_x0000_s1026" style="position:absolute;margin-left:423.8pt;margin-top:-.45pt;width:9.9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" filled="f" strokecolor="windowText" strokeweight="1pt"/>
                  </w:pict>
                </mc:Fallback>
              </mc:AlternateContent>
            </w:r>
            <w:r w:rsidRPr="00116F45">
              <w:rPr>
                <w:noProof/>
                <w:lang w:val="en-GB"/>
              </w:rPr>
              <mc:AlternateContent>
                <mc:Choice Requires="wps">
                  <w:drawing>
                    <wp:anchor distT="0" distB="0" distL="114300" distR="114300" simplePos="0" relativeHeight="251672576" behindDoc="0" locked="0" layoutInCell="1" allowOverlap="1" wp14:anchorId="5E50E81C" wp14:editId="60E55582">
                      <wp:simplePos x="0" y="0"/>
                      <wp:positionH relativeFrom="column">
                        <wp:posOffset>135890</wp:posOffset>
                      </wp:positionH>
                      <wp:positionV relativeFrom="paragraph">
                        <wp:posOffset>-7620</wp:posOffset>
                      </wp:positionV>
                      <wp:extent cx="125730" cy="125730"/>
                      <wp:effectExtent l="0" t="0" r="26670" b="26670"/>
                      <wp:wrapNone/>
                      <wp:docPr id="60" name="Rektangel 18"/>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10DE8" id="Rektangel 18" o:spid="_x0000_s1026" style="position:absolute;margin-left:10.7pt;margin-top:-.6pt;width:9.9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" filled="f" strokecolor="windowText" strokeweight="1pt"/>
                  </w:pict>
                </mc:Fallback>
              </mc:AlternateContent>
            </w:r>
          </w:p>
        </w:tc>
      </w:tr>
      <w:tr w:rsidR="00116F45" w:rsidRPr="00116F45" w14:paraId="15C30CD4"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4BBEDE37"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7</w:t>
            </w:r>
          </w:p>
        </w:tc>
        <w:tc>
          <w:tcPr>
            <w:tcW w:w="9463" w:type="dxa"/>
            <w:gridSpan w:val="14"/>
            <w:tcBorders>
              <w:top w:val="single" w:sz="4" w:space="0" w:color="auto"/>
              <w:left w:val="nil"/>
              <w:bottom w:val="single" w:sz="4" w:space="0" w:color="auto"/>
              <w:right w:val="nil"/>
            </w:tcBorders>
            <w:noWrap/>
            <w:hideMark/>
          </w:tcPr>
          <w:p w14:paraId="745FAED5" w14:textId="77777777" w:rsidR="002274D3" w:rsidRPr="00116F45" w:rsidRDefault="002274D3" w:rsidP="00604F94">
            <w:pPr>
              <w:spacing w:line="240" w:lineRule="auto"/>
              <w:rPr>
                <w:b/>
                <w:bCs/>
                <w:sz w:val="20"/>
                <w:szCs w:val="20"/>
                <w:lang w:val="en-GB"/>
              </w:rPr>
            </w:pPr>
            <w:r w:rsidRPr="00116F45">
              <w:rPr>
                <w:b/>
                <w:bCs/>
                <w:sz w:val="20"/>
                <w:szCs w:val="20"/>
                <w:lang w:val="en-GB"/>
              </w:rPr>
              <w:t>How often do you eat vegetables as a part of a snack, breakfast, lunch or as a bigger part of a warm meal? (Please, only mark with one cross)</w:t>
            </w:r>
          </w:p>
        </w:tc>
      </w:tr>
      <w:tr w:rsidR="00116F45" w:rsidRPr="00116F45" w14:paraId="57928DEF" w14:textId="77777777" w:rsidTr="00CA2C9A">
        <w:trPr>
          <w:trHeight w:val="300"/>
        </w:trPr>
        <w:tc>
          <w:tcPr>
            <w:tcW w:w="318" w:type="dxa"/>
            <w:tcBorders>
              <w:top w:val="single" w:sz="4" w:space="0" w:color="auto"/>
              <w:left w:val="nil"/>
              <w:bottom w:val="nil"/>
              <w:right w:val="nil"/>
            </w:tcBorders>
            <w:noWrap/>
            <w:vAlign w:val="center"/>
            <w:hideMark/>
          </w:tcPr>
          <w:p w14:paraId="76CFE6C5" w14:textId="77777777" w:rsidR="002274D3" w:rsidRPr="00116F45" w:rsidRDefault="002274D3" w:rsidP="00604F94">
            <w:pPr>
              <w:spacing w:line="240" w:lineRule="auto"/>
              <w:rPr>
                <w:b/>
                <w:bCs/>
                <w:sz w:val="20"/>
                <w:szCs w:val="20"/>
                <w:lang w:val="en-GB"/>
              </w:rPr>
            </w:pPr>
          </w:p>
        </w:tc>
        <w:tc>
          <w:tcPr>
            <w:tcW w:w="1383" w:type="dxa"/>
            <w:gridSpan w:val="2"/>
            <w:tcBorders>
              <w:top w:val="single" w:sz="4" w:space="0" w:color="auto"/>
              <w:left w:val="nil"/>
              <w:bottom w:val="nil"/>
              <w:right w:val="nil"/>
            </w:tcBorders>
            <w:noWrap/>
            <w:hideMark/>
          </w:tcPr>
          <w:p w14:paraId="20D517E4" w14:textId="77777777" w:rsidR="002274D3" w:rsidRPr="00116F45" w:rsidRDefault="002274D3" w:rsidP="00604F94">
            <w:pPr>
              <w:spacing w:line="240" w:lineRule="auto"/>
              <w:rPr>
                <w:sz w:val="20"/>
                <w:szCs w:val="20"/>
                <w:lang w:val="en-GB"/>
              </w:rPr>
            </w:pPr>
            <w:r w:rsidRPr="00116F45">
              <w:rPr>
                <w:sz w:val="20"/>
                <w:szCs w:val="20"/>
                <w:lang w:val="en-GB"/>
              </w:rPr>
              <w:t>Almost never</w:t>
            </w:r>
          </w:p>
        </w:tc>
        <w:tc>
          <w:tcPr>
            <w:tcW w:w="1276" w:type="dxa"/>
            <w:gridSpan w:val="2"/>
            <w:tcBorders>
              <w:top w:val="single" w:sz="4" w:space="0" w:color="auto"/>
              <w:left w:val="nil"/>
              <w:bottom w:val="nil"/>
              <w:right w:val="nil"/>
            </w:tcBorders>
            <w:hideMark/>
          </w:tcPr>
          <w:p w14:paraId="2A025747"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2816" behindDoc="0" locked="0" layoutInCell="1" allowOverlap="1" wp14:anchorId="590E462D" wp14:editId="13A7000C">
                      <wp:simplePos x="0" y="0"/>
                      <wp:positionH relativeFrom="column">
                        <wp:posOffset>195580</wp:posOffset>
                      </wp:positionH>
                      <wp:positionV relativeFrom="paragraph">
                        <wp:posOffset>179705</wp:posOffset>
                      </wp:positionV>
                      <wp:extent cx="125730" cy="125730"/>
                      <wp:effectExtent l="0" t="0" r="26670" b="26670"/>
                      <wp:wrapNone/>
                      <wp:docPr id="59" name="Rektangel 32"/>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E961B" id="Rektangel 32" o:spid="_x0000_s1026" style="position:absolute;margin-left:15.4pt;margin-top:14.15pt;width:9.9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" filled="f" strokecolor="windowText" strokeweight="1pt"/>
                  </w:pict>
                </mc:Fallback>
              </mc:AlternateContent>
            </w:r>
            <w:r w:rsidRPr="00116F45">
              <w:rPr>
                <w:sz w:val="20"/>
                <w:szCs w:val="20"/>
                <w:lang w:val="en-GB"/>
              </w:rPr>
              <w:t>1-3/month</w:t>
            </w:r>
          </w:p>
        </w:tc>
        <w:tc>
          <w:tcPr>
            <w:tcW w:w="1276" w:type="dxa"/>
            <w:gridSpan w:val="2"/>
            <w:tcBorders>
              <w:top w:val="single" w:sz="4" w:space="0" w:color="auto"/>
              <w:left w:val="nil"/>
              <w:bottom w:val="nil"/>
              <w:right w:val="nil"/>
            </w:tcBorders>
            <w:hideMark/>
          </w:tcPr>
          <w:p w14:paraId="36DB0347"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6912" behindDoc="0" locked="0" layoutInCell="1" allowOverlap="1" wp14:anchorId="08B97BB8" wp14:editId="4ECBED87">
                      <wp:simplePos x="0" y="0"/>
                      <wp:positionH relativeFrom="column">
                        <wp:posOffset>219075</wp:posOffset>
                      </wp:positionH>
                      <wp:positionV relativeFrom="paragraph">
                        <wp:posOffset>179705</wp:posOffset>
                      </wp:positionV>
                      <wp:extent cx="125730" cy="125730"/>
                      <wp:effectExtent l="0" t="0" r="26670" b="26670"/>
                      <wp:wrapNone/>
                      <wp:docPr id="58" name="Rektangel 36"/>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B3E8" id="Rektangel 36" o:spid="_x0000_s1026" style="position:absolute;margin-left:17.25pt;margin-top:14.15pt;width:9.9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" filled="f" strokecolor="windowText" strokeweight="1pt"/>
                  </w:pict>
                </mc:Fallback>
              </mc:AlternateContent>
            </w:r>
            <w:r w:rsidRPr="00116F45">
              <w:rPr>
                <w:sz w:val="20"/>
                <w:szCs w:val="20"/>
                <w:lang w:val="en-GB"/>
              </w:rPr>
              <w:t>1-2/month</w:t>
            </w:r>
          </w:p>
        </w:tc>
        <w:tc>
          <w:tcPr>
            <w:tcW w:w="1134" w:type="dxa"/>
            <w:gridSpan w:val="3"/>
            <w:tcBorders>
              <w:top w:val="single" w:sz="4" w:space="0" w:color="auto"/>
              <w:left w:val="nil"/>
              <w:bottom w:val="nil"/>
              <w:right w:val="nil"/>
            </w:tcBorders>
            <w:hideMark/>
          </w:tcPr>
          <w:p w14:paraId="0B199563"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3840" behindDoc="0" locked="0" layoutInCell="1" allowOverlap="1" wp14:anchorId="006429EA" wp14:editId="1DA8AFA1">
                      <wp:simplePos x="0" y="0"/>
                      <wp:positionH relativeFrom="column">
                        <wp:posOffset>181610</wp:posOffset>
                      </wp:positionH>
                      <wp:positionV relativeFrom="paragraph">
                        <wp:posOffset>179705</wp:posOffset>
                      </wp:positionV>
                      <wp:extent cx="125730" cy="125730"/>
                      <wp:effectExtent l="0" t="0" r="26670" b="26670"/>
                      <wp:wrapNone/>
                      <wp:docPr id="57" name="Rektangel 33"/>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6312" id="Rektangel 33" o:spid="_x0000_s1026" style="position:absolute;margin-left:14.3pt;margin-top:14.15pt;width:9.9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" filled="f" strokecolor="windowText" strokeweight="1pt"/>
                  </w:pict>
                </mc:Fallback>
              </mc:AlternateContent>
            </w:r>
            <w:r w:rsidRPr="00116F45">
              <w:rPr>
                <w:sz w:val="20"/>
                <w:szCs w:val="20"/>
                <w:lang w:val="en-GB"/>
              </w:rPr>
              <w:t>2-3/week</w:t>
            </w:r>
          </w:p>
        </w:tc>
        <w:tc>
          <w:tcPr>
            <w:tcW w:w="1276" w:type="dxa"/>
            <w:tcBorders>
              <w:top w:val="single" w:sz="4" w:space="0" w:color="auto"/>
              <w:left w:val="nil"/>
              <w:bottom w:val="nil"/>
              <w:right w:val="nil"/>
            </w:tcBorders>
            <w:hideMark/>
          </w:tcPr>
          <w:p w14:paraId="6F849B3A"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1792" behindDoc="0" locked="0" layoutInCell="1" allowOverlap="1" wp14:anchorId="6B66811D" wp14:editId="567424A7">
                      <wp:simplePos x="0" y="0"/>
                      <wp:positionH relativeFrom="column">
                        <wp:posOffset>193675</wp:posOffset>
                      </wp:positionH>
                      <wp:positionV relativeFrom="paragraph">
                        <wp:posOffset>177800</wp:posOffset>
                      </wp:positionV>
                      <wp:extent cx="125730" cy="125730"/>
                      <wp:effectExtent l="0" t="0" r="26670" b="26670"/>
                      <wp:wrapNone/>
                      <wp:docPr id="56" name="Rektangel 31"/>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903F" id="Rektangel 31" o:spid="_x0000_s1026" style="position:absolute;margin-left:15.25pt;margin-top:14pt;width:9.9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" filled="f" strokecolor="windowText" strokeweight="1pt"/>
                  </w:pict>
                </mc:Fallback>
              </mc:AlternateContent>
            </w:r>
            <w:r w:rsidRPr="00116F45">
              <w:rPr>
                <w:sz w:val="20"/>
                <w:szCs w:val="20"/>
                <w:lang w:val="en-GB"/>
              </w:rPr>
              <w:t>5-6/week</w:t>
            </w:r>
          </w:p>
        </w:tc>
        <w:tc>
          <w:tcPr>
            <w:tcW w:w="992" w:type="dxa"/>
            <w:tcBorders>
              <w:top w:val="single" w:sz="4" w:space="0" w:color="auto"/>
              <w:left w:val="nil"/>
              <w:bottom w:val="nil"/>
              <w:right w:val="nil"/>
            </w:tcBorders>
            <w:hideMark/>
          </w:tcPr>
          <w:p w14:paraId="4D43FCFA"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4864" behindDoc="0" locked="0" layoutInCell="1" allowOverlap="1" wp14:anchorId="40AF02E5" wp14:editId="150ED812">
                      <wp:simplePos x="0" y="0"/>
                      <wp:positionH relativeFrom="column">
                        <wp:posOffset>68580</wp:posOffset>
                      </wp:positionH>
                      <wp:positionV relativeFrom="paragraph">
                        <wp:posOffset>179705</wp:posOffset>
                      </wp:positionV>
                      <wp:extent cx="125730" cy="125730"/>
                      <wp:effectExtent l="0" t="0" r="26670" b="26670"/>
                      <wp:wrapNone/>
                      <wp:docPr id="55" name="Rektangel 34"/>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1763" id="Rektangel 34" o:spid="_x0000_s1026" style="position:absolute;margin-left:5.4pt;margin-top:14.15pt;width:9.9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" filled="f" strokecolor="windowText" strokeweight="1pt"/>
                  </w:pict>
                </mc:Fallback>
              </mc:AlternateContent>
            </w:r>
            <w:r w:rsidRPr="00116F45">
              <w:rPr>
                <w:sz w:val="20"/>
                <w:szCs w:val="20"/>
                <w:lang w:val="en-GB"/>
              </w:rPr>
              <w:t>1/day</w:t>
            </w:r>
          </w:p>
        </w:tc>
        <w:tc>
          <w:tcPr>
            <w:tcW w:w="943" w:type="dxa"/>
            <w:tcBorders>
              <w:top w:val="single" w:sz="4" w:space="0" w:color="auto"/>
              <w:left w:val="nil"/>
              <w:bottom w:val="nil"/>
              <w:right w:val="nil"/>
            </w:tcBorders>
            <w:hideMark/>
          </w:tcPr>
          <w:p w14:paraId="444CD4DE"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5888" behindDoc="0" locked="0" layoutInCell="1" allowOverlap="1" wp14:anchorId="7583EBF3" wp14:editId="60FFB912">
                      <wp:simplePos x="0" y="0"/>
                      <wp:positionH relativeFrom="column">
                        <wp:posOffset>105410</wp:posOffset>
                      </wp:positionH>
                      <wp:positionV relativeFrom="paragraph">
                        <wp:posOffset>179705</wp:posOffset>
                      </wp:positionV>
                      <wp:extent cx="125730" cy="125730"/>
                      <wp:effectExtent l="0" t="0" r="26670" b="26670"/>
                      <wp:wrapNone/>
                      <wp:docPr id="54" name="Rektangel 35"/>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9D20A" id="Rektangel 35" o:spid="_x0000_s1026" style="position:absolute;margin-left:8.3pt;margin-top:14.15pt;width:9.9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" filled="f" strokecolor="windowText" strokeweight="1pt"/>
                  </w:pict>
                </mc:Fallback>
              </mc:AlternateContent>
            </w:r>
            <w:r w:rsidRPr="00116F45">
              <w:rPr>
                <w:sz w:val="20"/>
                <w:szCs w:val="20"/>
                <w:lang w:val="en-GB"/>
              </w:rPr>
              <w:t>2-3/day</w:t>
            </w:r>
          </w:p>
        </w:tc>
        <w:tc>
          <w:tcPr>
            <w:tcW w:w="1183" w:type="dxa"/>
            <w:gridSpan w:val="2"/>
            <w:tcBorders>
              <w:top w:val="single" w:sz="4" w:space="0" w:color="auto"/>
              <w:left w:val="nil"/>
              <w:bottom w:val="nil"/>
              <w:right w:val="nil"/>
            </w:tcBorders>
            <w:hideMark/>
          </w:tcPr>
          <w:p w14:paraId="528F1E84"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7936" behindDoc="0" locked="0" layoutInCell="1" allowOverlap="1" wp14:anchorId="4D6BC1AD" wp14:editId="39F1F765">
                      <wp:simplePos x="0" y="0"/>
                      <wp:positionH relativeFrom="column">
                        <wp:posOffset>114935</wp:posOffset>
                      </wp:positionH>
                      <wp:positionV relativeFrom="paragraph">
                        <wp:posOffset>179705</wp:posOffset>
                      </wp:positionV>
                      <wp:extent cx="125730" cy="125730"/>
                      <wp:effectExtent l="0" t="0" r="26670" b="26670"/>
                      <wp:wrapNone/>
                      <wp:docPr id="53" name="Rektangel 37"/>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D99C1" id="Rektangel 37" o:spid="_x0000_s1026" style="position:absolute;margin-left:9.05pt;margin-top:14.15pt;width:9.9pt;height: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" filled="f" strokecolor="windowText" strokeweight="1pt"/>
                  </w:pict>
                </mc:Fallback>
              </mc:AlternateContent>
            </w:r>
            <w:r w:rsidRPr="00116F45">
              <w:rPr>
                <w:sz w:val="20"/>
                <w:szCs w:val="20"/>
                <w:lang w:val="en-GB"/>
              </w:rPr>
              <w:t>&gt;3/day</w:t>
            </w:r>
          </w:p>
        </w:tc>
      </w:tr>
      <w:tr w:rsidR="00116F45" w:rsidRPr="00116F45" w14:paraId="04E32B32" w14:textId="77777777" w:rsidTr="00CA2C9A">
        <w:trPr>
          <w:trHeight w:val="300"/>
        </w:trPr>
        <w:tc>
          <w:tcPr>
            <w:tcW w:w="318" w:type="dxa"/>
            <w:tcBorders>
              <w:top w:val="nil"/>
              <w:left w:val="nil"/>
              <w:bottom w:val="nil"/>
              <w:right w:val="nil"/>
            </w:tcBorders>
            <w:noWrap/>
            <w:vAlign w:val="center"/>
            <w:hideMark/>
          </w:tcPr>
          <w:p w14:paraId="2C5BFDD1" w14:textId="77777777" w:rsidR="002274D3" w:rsidRPr="00116F45" w:rsidRDefault="002274D3" w:rsidP="00604F94">
            <w:pPr>
              <w:spacing w:line="240" w:lineRule="auto"/>
              <w:rPr>
                <w:sz w:val="20"/>
                <w:szCs w:val="20"/>
                <w:lang w:val="en-GB"/>
              </w:rPr>
            </w:pPr>
          </w:p>
        </w:tc>
        <w:tc>
          <w:tcPr>
            <w:tcW w:w="9463" w:type="dxa"/>
            <w:gridSpan w:val="14"/>
            <w:tcBorders>
              <w:top w:val="nil"/>
              <w:left w:val="nil"/>
              <w:bottom w:val="nil"/>
              <w:right w:val="nil"/>
            </w:tcBorders>
            <w:noWrap/>
            <w:hideMark/>
          </w:tcPr>
          <w:p w14:paraId="6024F54B"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80768" behindDoc="0" locked="0" layoutInCell="1" allowOverlap="1" wp14:anchorId="12ACA69A" wp14:editId="04800B4F">
                      <wp:simplePos x="0" y="0"/>
                      <wp:positionH relativeFrom="column">
                        <wp:posOffset>320040</wp:posOffset>
                      </wp:positionH>
                      <wp:positionV relativeFrom="paragraph">
                        <wp:posOffset>-12700</wp:posOffset>
                      </wp:positionV>
                      <wp:extent cx="125730" cy="125730"/>
                      <wp:effectExtent l="0" t="0" r="26670" b="26670"/>
                      <wp:wrapNone/>
                      <wp:docPr id="52" name="Rektangel 30"/>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FE94" id="Rektangel 30" o:spid="_x0000_s1026" style="position:absolute;margin-left:25.2pt;margin-top:-1pt;width:9.9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" filled="f" strokecolor="windowText" strokeweight="1pt"/>
                  </w:pict>
                </mc:Fallback>
              </mc:AlternateContent>
            </w:r>
          </w:p>
        </w:tc>
      </w:tr>
      <w:tr w:rsidR="00116F45" w:rsidRPr="00116F45" w14:paraId="0493C7BD"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19FCD4B0"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8</w:t>
            </w:r>
          </w:p>
        </w:tc>
        <w:tc>
          <w:tcPr>
            <w:tcW w:w="9463" w:type="dxa"/>
            <w:gridSpan w:val="14"/>
            <w:tcBorders>
              <w:top w:val="single" w:sz="4" w:space="0" w:color="auto"/>
              <w:left w:val="nil"/>
              <w:bottom w:val="single" w:sz="4" w:space="0" w:color="auto"/>
              <w:right w:val="nil"/>
            </w:tcBorders>
            <w:noWrap/>
            <w:hideMark/>
          </w:tcPr>
          <w:p w14:paraId="13782E45" w14:textId="77777777" w:rsidR="002274D3" w:rsidRPr="00116F45" w:rsidRDefault="002274D3" w:rsidP="00604F94">
            <w:pPr>
              <w:spacing w:line="240" w:lineRule="auto"/>
              <w:rPr>
                <w:b/>
                <w:bCs/>
                <w:sz w:val="20"/>
                <w:szCs w:val="20"/>
                <w:lang w:val="en-GB"/>
              </w:rPr>
            </w:pPr>
            <w:r w:rsidRPr="00116F45">
              <w:rPr>
                <w:b/>
                <w:bCs/>
                <w:sz w:val="20"/>
                <w:szCs w:val="20"/>
                <w:lang w:val="en-GB"/>
              </w:rPr>
              <w:t>How often do you eat fruit as a whole piece of fruit or as a portion of fruit? (Please, only mark with one cross)</w:t>
            </w:r>
          </w:p>
        </w:tc>
      </w:tr>
      <w:tr w:rsidR="00116F45" w:rsidRPr="00116F45" w14:paraId="6316F11A" w14:textId="77777777" w:rsidTr="00CA2C9A">
        <w:trPr>
          <w:trHeight w:val="300"/>
        </w:trPr>
        <w:tc>
          <w:tcPr>
            <w:tcW w:w="318" w:type="dxa"/>
            <w:tcBorders>
              <w:top w:val="single" w:sz="4" w:space="0" w:color="auto"/>
              <w:left w:val="nil"/>
              <w:bottom w:val="nil"/>
              <w:right w:val="nil"/>
            </w:tcBorders>
            <w:noWrap/>
            <w:vAlign w:val="center"/>
            <w:hideMark/>
          </w:tcPr>
          <w:p w14:paraId="346259C1" w14:textId="77777777" w:rsidR="002274D3" w:rsidRPr="00116F45" w:rsidRDefault="002274D3" w:rsidP="00604F94">
            <w:pPr>
              <w:spacing w:line="240" w:lineRule="auto"/>
              <w:rPr>
                <w:b/>
                <w:bCs/>
                <w:sz w:val="20"/>
                <w:szCs w:val="20"/>
                <w:lang w:val="en-GB"/>
              </w:rPr>
            </w:pPr>
          </w:p>
        </w:tc>
        <w:tc>
          <w:tcPr>
            <w:tcW w:w="1383" w:type="dxa"/>
            <w:gridSpan w:val="2"/>
            <w:tcBorders>
              <w:top w:val="single" w:sz="4" w:space="0" w:color="auto"/>
              <w:left w:val="nil"/>
              <w:bottom w:val="nil"/>
              <w:right w:val="nil"/>
            </w:tcBorders>
            <w:noWrap/>
            <w:hideMark/>
          </w:tcPr>
          <w:p w14:paraId="3C1A0E84" w14:textId="77777777" w:rsidR="002274D3" w:rsidRPr="00116F45" w:rsidRDefault="002274D3" w:rsidP="00604F94">
            <w:pPr>
              <w:spacing w:line="240" w:lineRule="auto"/>
              <w:rPr>
                <w:sz w:val="20"/>
                <w:szCs w:val="20"/>
                <w:lang w:val="en-GB"/>
              </w:rPr>
            </w:pPr>
            <w:r w:rsidRPr="00116F45">
              <w:rPr>
                <w:sz w:val="20"/>
                <w:szCs w:val="20"/>
                <w:lang w:val="en-GB"/>
              </w:rPr>
              <w:t>Almost never</w:t>
            </w:r>
          </w:p>
        </w:tc>
        <w:tc>
          <w:tcPr>
            <w:tcW w:w="1276" w:type="dxa"/>
            <w:gridSpan w:val="2"/>
            <w:tcBorders>
              <w:top w:val="single" w:sz="4" w:space="0" w:color="auto"/>
              <w:left w:val="nil"/>
              <w:bottom w:val="nil"/>
              <w:right w:val="nil"/>
            </w:tcBorders>
            <w:hideMark/>
          </w:tcPr>
          <w:p w14:paraId="4EABA9C8" w14:textId="77777777" w:rsidR="002274D3" w:rsidRPr="00116F45" w:rsidRDefault="002274D3" w:rsidP="00604F94">
            <w:pPr>
              <w:spacing w:line="240" w:lineRule="auto"/>
              <w:rPr>
                <w:sz w:val="20"/>
                <w:szCs w:val="20"/>
                <w:lang w:val="en-GB"/>
              </w:rPr>
            </w:pPr>
            <w:r w:rsidRPr="00116F45">
              <w:rPr>
                <w:sz w:val="20"/>
                <w:szCs w:val="20"/>
                <w:lang w:val="en-GB"/>
              </w:rPr>
              <w:t>1-3/month</w:t>
            </w:r>
          </w:p>
        </w:tc>
        <w:tc>
          <w:tcPr>
            <w:tcW w:w="1276" w:type="dxa"/>
            <w:gridSpan w:val="2"/>
            <w:tcBorders>
              <w:top w:val="single" w:sz="4" w:space="0" w:color="auto"/>
              <w:left w:val="nil"/>
              <w:bottom w:val="nil"/>
              <w:right w:val="nil"/>
            </w:tcBorders>
            <w:hideMark/>
          </w:tcPr>
          <w:p w14:paraId="2A9D309A" w14:textId="77777777" w:rsidR="002274D3" w:rsidRPr="00116F45" w:rsidRDefault="002274D3" w:rsidP="00604F94">
            <w:pPr>
              <w:spacing w:line="240" w:lineRule="auto"/>
              <w:rPr>
                <w:sz w:val="20"/>
                <w:szCs w:val="20"/>
                <w:lang w:val="en-GB"/>
              </w:rPr>
            </w:pPr>
            <w:r w:rsidRPr="00116F45">
              <w:rPr>
                <w:sz w:val="20"/>
                <w:szCs w:val="20"/>
                <w:lang w:val="en-GB"/>
              </w:rPr>
              <w:t>1-2/month</w:t>
            </w:r>
          </w:p>
        </w:tc>
        <w:tc>
          <w:tcPr>
            <w:tcW w:w="1134" w:type="dxa"/>
            <w:gridSpan w:val="3"/>
            <w:tcBorders>
              <w:top w:val="single" w:sz="4" w:space="0" w:color="auto"/>
              <w:left w:val="nil"/>
              <w:bottom w:val="nil"/>
              <w:right w:val="nil"/>
            </w:tcBorders>
            <w:hideMark/>
          </w:tcPr>
          <w:p w14:paraId="6B5E60B4" w14:textId="77777777" w:rsidR="002274D3" w:rsidRPr="00116F45" w:rsidRDefault="002274D3" w:rsidP="00604F94">
            <w:pPr>
              <w:spacing w:line="240" w:lineRule="auto"/>
              <w:rPr>
                <w:sz w:val="20"/>
                <w:szCs w:val="20"/>
                <w:lang w:val="en-GB"/>
              </w:rPr>
            </w:pPr>
            <w:r w:rsidRPr="00116F45">
              <w:rPr>
                <w:sz w:val="20"/>
                <w:szCs w:val="20"/>
                <w:lang w:val="en-GB"/>
              </w:rPr>
              <w:t>2-3/week</w:t>
            </w:r>
          </w:p>
        </w:tc>
        <w:tc>
          <w:tcPr>
            <w:tcW w:w="1276" w:type="dxa"/>
            <w:tcBorders>
              <w:top w:val="single" w:sz="4" w:space="0" w:color="auto"/>
              <w:left w:val="nil"/>
              <w:bottom w:val="nil"/>
              <w:right w:val="nil"/>
            </w:tcBorders>
            <w:hideMark/>
          </w:tcPr>
          <w:p w14:paraId="1EB0D4A6" w14:textId="77777777" w:rsidR="002274D3" w:rsidRPr="00116F45" w:rsidRDefault="002274D3" w:rsidP="00604F94">
            <w:pPr>
              <w:spacing w:line="240" w:lineRule="auto"/>
              <w:rPr>
                <w:sz w:val="20"/>
                <w:szCs w:val="20"/>
                <w:lang w:val="en-GB"/>
              </w:rPr>
            </w:pPr>
            <w:r w:rsidRPr="00116F45">
              <w:rPr>
                <w:sz w:val="20"/>
                <w:szCs w:val="20"/>
                <w:lang w:val="en-GB"/>
              </w:rPr>
              <w:t>5-6/week</w:t>
            </w:r>
          </w:p>
        </w:tc>
        <w:tc>
          <w:tcPr>
            <w:tcW w:w="992" w:type="dxa"/>
            <w:tcBorders>
              <w:top w:val="single" w:sz="4" w:space="0" w:color="auto"/>
              <w:left w:val="nil"/>
              <w:bottom w:val="nil"/>
              <w:right w:val="nil"/>
            </w:tcBorders>
            <w:hideMark/>
          </w:tcPr>
          <w:p w14:paraId="00DAB681" w14:textId="77777777" w:rsidR="002274D3" w:rsidRPr="00116F45" w:rsidRDefault="002274D3" w:rsidP="00604F94">
            <w:pPr>
              <w:spacing w:line="240" w:lineRule="auto"/>
              <w:rPr>
                <w:sz w:val="20"/>
                <w:szCs w:val="20"/>
                <w:lang w:val="en-GB"/>
              </w:rPr>
            </w:pPr>
            <w:r w:rsidRPr="00116F45">
              <w:rPr>
                <w:sz w:val="20"/>
                <w:szCs w:val="20"/>
                <w:lang w:val="en-GB"/>
              </w:rPr>
              <w:t>1/day</w:t>
            </w:r>
          </w:p>
        </w:tc>
        <w:tc>
          <w:tcPr>
            <w:tcW w:w="943" w:type="dxa"/>
            <w:tcBorders>
              <w:top w:val="single" w:sz="4" w:space="0" w:color="auto"/>
              <w:left w:val="nil"/>
              <w:bottom w:val="nil"/>
              <w:right w:val="nil"/>
            </w:tcBorders>
            <w:hideMark/>
          </w:tcPr>
          <w:p w14:paraId="6198304E" w14:textId="77777777" w:rsidR="002274D3" w:rsidRPr="00116F45" w:rsidRDefault="002274D3" w:rsidP="00604F94">
            <w:pPr>
              <w:spacing w:line="240" w:lineRule="auto"/>
              <w:rPr>
                <w:sz w:val="20"/>
                <w:szCs w:val="20"/>
                <w:lang w:val="en-GB"/>
              </w:rPr>
            </w:pPr>
            <w:r w:rsidRPr="00116F45">
              <w:rPr>
                <w:sz w:val="20"/>
                <w:szCs w:val="20"/>
                <w:lang w:val="en-GB"/>
              </w:rPr>
              <w:t>2-3/day</w:t>
            </w:r>
          </w:p>
        </w:tc>
        <w:tc>
          <w:tcPr>
            <w:tcW w:w="1183" w:type="dxa"/>
            <w:gridSpan w:val="2"/>
            <w:tcBorders>
              <w:top w:val="single" w:sz="4" w:space="0" w:color="auto"/>
              <w:left w:val="nil"/>
              <w:bottom w:val="nil"/>
              <w:right w:val="nil"/>
            </w:tcBorders>
            <w:hideMark/>
          </w:tcPr>
          <w:p w14:paraId="2681F814" w14:textId="77777777" w:rsidR="002274D3" w:rsidRPr="00116F45" w:rsidRDefault="002274D3" w:rsidP="00604F94">
            <w:pPr>
              <w:spacing w:line="240" w:lineRule="auto"/>
              <w:rPr>
                <w:sz w:val="20"/>
                <w:szCs w:val="20"/>
                <w:lang w:val="en-GB"/>
              </w:rPr>
            </w:pPr>
            <w:r w:rsidRPr="00116F45">
              <w:rPr>
                <w:sz w:val="20"/>
                <w:szCs w:val="20"/>
                <w:lang w:val="en-GB"/>
              </w:rPr>
              <w:t>&gt;3/day</w:t>
            </w:r>
          </w:p>
        </w:tc>
      </w:tr>
      <w:tr w:rsidR="00116F45" w:rsidRPr="00116F45" w14:paraId="2F3E0922" w14:textId="77777777" w:rsidTr="00CA2C9A">
        <w:trPr>
          <w:trHeight w:val="300"/>
        </w:trPr>
        <w:tc>
          <w:tcPr>
            <w:tcW w:w="318" w:type="dxa"/>
            <w:tcBorders>
              <w:top w:val="nil"/>
              <w:left w:val="nil"/>
              <w:bottom w:val="single" w:sz="4" w:space="0" w:color="auto"/>
              <w:right w:val="nil"/>
            </w:tcBorders>
            <w:noWrap/>
            <w:vAlign w:val="center"/>
            <w:hideMark/>
          </w:tcPr>
          <w:p w14:paraId="022C6A7C" w14:textId="77777777" w:rsidR="002274D3" w:rsidRPr="00116F45" w:rsidRDefault="002274D3" w:rsidP="00604F94">
            <w:pPr>
              <w:spacing w:line="240" w:lineRule="auto"/>
              <w:rPr>
                <w:sz w:val="20"/>
                <w:szCs w:val="20"/>
                <w:lang w:val="en-GB"/>
              </w:rPr>
            </w:pPr>
          </w:p>
        </w:tc>
        <w:tc>
          <w:tcPr>
            <w:tcW w:w="9463" w:type="dxa"/>
            <w:gridSpan w:val="14"/>
            <w:tcBorders>
              <w:top w:val="nil"/>
              <w:left w:val="nil"/>
              <w:bottom w:val="single" w:sz="4" w:space="0" w:color="auto"/>
              <w:right w:val="nil"/>
            </w:tcBorders>
            <w:noWrap/>
            <w:hideMark/>
          </w:tcPr>
          <w:p w14:paraId="7CFDCA12" w14:textId="77777777" w:rsidR="002274D3" w:rsidRPr="00116F45" w:rsidRDefault="002274D3" w:rsidP="00604F94">
            <w:pPr>
              <w:spacing w:line="240" w:lineRule="auto"/>
              <w:rPr>
                <w:sz w:val="20"/>
                <w:szCs w:val="20"/>
                <w:lang w:val="en-GB"/>
              </w:rPr>
            </w:pPr>
            <w:r w:rsidRPr="00116F45">
              <w:rPr>
                <w:noProof/>
                <w:lang w:val="en-GB"/>
              </w:rPr>
              <mc:AlternateContent>
                <mc:Choice Requires="wps">
                  <w:drawing>
                    <wp:anchor distT="0" distB="0" distL="114300" distR="114300" simplePos="0" relativeHeight="251693056" behindDoc="0" locked="0" layoutInCell="1" allowOverlap="1" wp14:anchorId="3F3E935E" wp14:editId="5EA8436E">
                      <wp:simplePos x="0" y="0"/>
                      <wp:positionH relativeFrom="column">
                        <wp:posOffset>4095750</wp:posOffset>
                      </wp:positionH>
                      <wp:positionV relativeFrom="paragraph">
                        <wp:posOffset>6350</wp:posOffset>
                      </wp:positionV>
                      <wp:extent cx="125730" cy="125730"/>
                      <wp:effectExtent l="0" t="0" r="26670" b="26670"/>
                      <wp:wrapNone/>
                      <wp:docPr id="51" name="Rektangel 42"/>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7E4A3" id="Rektangel 42" o:spid="_x0000_s1026" style="position:absolute;margin-left:322.5pt;margin-top:.5pt;width:9.9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" filled="f" strokecolor="windowText" strokeweight="1pt"/>
                  </w:pict>
                </mc:Fallback>
              </mc:AlternateContent>
            </w:r>
            <w:r w:rsidRPr="00116F45">
              <w:rPr>
                <w:noProof/>
                <w:lang w:val="en-GB"/>
              </w:rPr>
              <mc:AlternateContent>
                <mc:Choice Requires="wps">
                  <w:drawing>
                    <wp:anchor distT="0" distB="0" distL="114300" distR="114300" simplePos="0" relativeHeight="251696128" behindDoc="0" locked="0" layoutInCell="1" allowOverlap="1" wp14:anchorId="782FBB55" wp14:editId="5A32AD0E">
                      <wp:simplePos x="0" y="0"/>
                      <wp:positionH relativeFrom="column">
                        <wp:posOffset>5377815</wp:posOffset>
                      </wp:positionH>
                      <wp:positionV relativeFrom="paragraph">
                        <wp:posOffset>6350</wp:posOffset>
                      </wp:positionV>
                      <wp:extent cx="125730" cy="125730"/>
                      <wp:effectExtent l="0" t="0" r="26670" b="26670"/>
                      <wp:wrapNone/>
                      <wp:docPr id="50" name="Rektangel 45"/>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F94CA" id="Rektangel 45" o:spid="_x0000_s1026" style="position:absolute;margin-left:423.45pt;margin-top:.5pt;width:9.9pt;height: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" filled="f" strokecolor="windowText" strokeweight="1pt"/>
                  </w:pict>
                </mc:Fallback>
              </mc:AlternateContent>
            </w:r>
            <w:r w:rsidRPr="00116F45">
              <w:rPr>
                <w:noProof/>
                <w:lang w:val="en-GB"/>
              </w:rPr>
              <mc:AlternateContent>
                <mc:Choice Requires="wps">
                  <w:drawing>
                    <wp:anchor distT="0" distB="0" distL="114300" distR="114300" simplePos="0" relativeHeight="251695104" behindDoc="0" locked="0" layoutInCell="1" allowOverlap="1" wp14:anchorId="6525D19E" wp14:editId="76E78AF0">
                      <wp:simplePos x="0" y="0"/>
                      <wp:positionH relativeFrom="column">
                        <wp:posOffset>1906270</wp:posOffset>
                      </wp:positionH>
                      <wp:positionV relativeFrom="paragraph">
                        <wp:posOffset>6350</wp:posOffset>
                      </wp:positionV>
                      <wp:extent cx="125730" cy="125730"/>
                      <wp:effectExtent l="0" t="0" r="26670" b="26670"/>
                      <wp:wrapNone/>
                      <wp:docPr id="91" name="Rektangel 44"/>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6E359" id="Rektangel 44" o:spid="_x0000_s1026" style="position:absolute;margin-left:150.1pt;margin-top:.5pt;width:9.9pt;height: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" filled="f" strokecolor="windowText" strokeweight="1pt"/>
                  </w:pict>
                </mc:Fallback>
              </mc:AlternateContent>
            </w:r>
            <w:r w:rsidRPr="00116F45">
              <w:rPr>
                <w:noProof/>
                <w:lang w:val="en-GB"/>
              </w:rPr>
              <mc:AlternateContent>
                <mc:Choice Requires="wps">
                  <w:drawing>
                    <wp:anchor distT="0" distB="0" distL="114300" distR="114300" simplePos="0" relativeHeight="251694080" behindDoc="0" locked="0" layoutInCell="1" allowOverlap="1" wp14:anchorId="2BCA12A6" wp14:editId="023A2EB8">
                      <wp:simplePos x="0" y="0"/>
                      <wp:positionH relativeFrom="column">
                        <wp:posOffset>4679315</wp:posOffset>
                      </wp:positionH>
                      <wp:positionV relativeFrom="paragraph">
                        <wp:posOffset>6350</wp:posOffset>
                      </wp:positionV>
                      <wp:extent cx="125730" cy="125730"/>
                      <wp:effectExtent l="0" t="0" r="26670" b="26670"/>
                      <wp:wrapNone/>
                      <wp:docPr id="92" name="Rektangel 43"/>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7295" id="Rektangel 43" o:spid="_x0000_s1026" style="position:absolute;margin-left:368.45pt;margin-top:.5pt;width:9.9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" filled="f" strokecolor="windowText" strokeweight="1pt"/>
                  </w:pict>
                </mc:Fallback>
              </mc:AlternateContent>
            </w:r>
            <w:r w:rsidRPr="00116F45">
              <w:rPr>
                <w:noProof/>
                <w:lang w:val="en-GB"/>
              </w:rPr>
              <mc:AlternateContent>
                <mc:Choice Requires="wps">
                  <w:drawing>
                    <wp:anchor distT="0" distB="0" distL="114300" distR="114300" simplePos="0" relativeHeight="251692032" behindDoc="0" locked="0" layoutInCell="1" allowOverlap="1" wp14:anchorId="0D1EF61B" wp14:editId="77D41232">
                      <wp:simplePos x="0" y="0"/>
                      <wp:positionH relativeFrom="column">
                        <wp:posOffset>2685415</wp:posOffset>
                      </wp:positionH>
                      <wp:positionV relativeFrom="paragraph">
                        <wp:posOffset>6350</wp:posOffset>
                      </wp:positionV>
                      <wp:extent cx="125730" cy="125730"/>
                      <wp:effectExtent l="0" t="0" r="26670" b="26670"/>
                      <wp:wrapNone/>
                      <wp:docPr id="47" name="Rektangel 41"/>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D1FA" id="Rektangel 41" o:spid="_x0000_s1026" style="position:absolute;margin-left:211.45pt;margin-top:.5pt;width:9.9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" filled="f" strokecolor="windowText" strokeweight="1pt"/>
                  </w:pict>
                </mc:Fallback>
              </mc:AlternateContent>
            </w:r>
            <w:r w:rsidRPr="00116F45">
              <w:rPr>
                <w:noProof/>
                <w:lang w:val="en-GB"/>
              </w:rPr>
              <mc:AlternateContent>
                <mc:Choice Requires="wps">
                  <w:drawing>
                    <wp:anchor distT="0" distB="0" distL="114300" distR="114300" simplePos="0" relativeHeight="251691008" behindDoc="0" locked="0" layoutInCell="1" allowOverlap="1" wp14:anchorId="1DCAF554" wp14:editId="0E3254BC">
                      <wp:simplePos x="0" y="0"/>
                      <wp:positionH relativeFrom="column">
                        <wp:posOffset>1078865</wp:posOffset>
                      </wp:positionH>
                      <wp:positionV relativeFrom="paragraph">
                        <wp:posOffset>6350</wp:posOffset>
                      </wp:positionV>
                      <wp:extent cx="125730" cy="125730"/>
                      <wp:effectExtent l="0" t="0" r="26670" b="26670"/>
                      <wp:wrapNone/>
                      <wp:docPr id="28" name="Rektangel 40"/>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C43E" id="Rektangel 40" o:spid="_x0000_s1026" style="position:absolute;margin-left:84.95pt;margin-top:.5pt;width:9.9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" filled="f" strokecolor="windowText" strokeweight="1pt"/>
                  </w:pict>
                </mc:Fallback>
              </mc:AlternateContent>
            </w:r>
            <w:r w:rsidRPr="00116F45">
              <w:rPr>
                <w:noProof/>
                <w:lang w:val="en-GB"/>
              </w:rPr>
              <mc:AlternateContent>
                <mc:Choice Requires="wps">
                  <w:drawing>
                    <wp:anchor distT="0" distB="0" distL="114300" distR="114300" simplePos="0" relativeHeight="251689984" behindDoc="0" locked="0" layoutInCell="1" allowOverlap="1" wp14:anchorId="3BE97322" wp14:editId="05F2BA18">
                      <wp:simplePos x="0" y="0"/>
                      <wp:positionH relativeFrom="column">
                        <wp:posOffset>3411220</wp:posOffset>
                      </wp:positionH>
                      <wp:positionV relativeFrom="paragraph">
                        <wp:posOffset>4445</wp:posOffset>
                      </wp:positionV>
                      <wp:extent cx="125730" cy="125730"/>
                      <wp:effectExtent l="0" t="0" r="26670" b="26670"/>
                      <wp:wrapNone/>
                      <wp:docPr id="26" name="Rektangel 39"/>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F66EE" id="Rektangel 39" o:spid="_x0000_s1026" style="position:absolute;margin-left:268.6pt;margin-top:.35pt;width:9.9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" filled="f" strokecolor="windowText" strokeweight="1pt"/>
                  </w:pict>
                </mc:Fallback>
              </mc:AlternateContent>
            </w:r>
            <w:r w:rsidRPr="00116F45">
              <w:rPr>
                <w:noProof/>
                <w:lang w:val="en-GB"/>
              </w:rPr>
              <mc:AlternateContent>
                <mc:Choice Requires="wps">
                  <w:drawing>
                    <wp:anchor distT="0" distB="0" distL="114300" distR="114300" simplePos="0" relativeHeight="251688960" behindDoc="0" locked="0" layoutInCell="1" allowOverlap="1" wp14:anchorId="4BD9DCEC" wp14:editId="7FFD1808">
                      <wp:simplePos x="0" y="0"/>
                      <wp:positionH relativeFrom="column">
                        <wp:posOffset>318770</wp:posOffset>
                      </wp:positionH>
                      <wp:positionV relativeFrom="paragraph">
                        <wp:posOffset>4445</wp:posOffset>
                      </wp:positionV>
                      <wp:extent cx="125730" cy="125730"/>
                      <wp:effectExtent l="0" t="0" r="26670" b="26670"/>
                      <wp:wrapNone/>
                      <wp:docPr id="25" name="Rektangel 38"/>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FE12" id="Rektangel 38" o:spid="_x0000_s1026" style="position:absolute;margin-left:25.1pt;margin-top:.35pt;width:9.9pt;height: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" filled="f" strokecolor="windowText" strokeweight="1pt"/>
                  </w:pict>
                </mc:Fallback>
              </mc:AlternateContent>
            </w:r>
          </w:p>
        </w:tc>
      </w:tr>
      <w:tr w:rsidR="00116F45" w:rsidRPr="009760D1" w14:paraId="70B4EA5B" w14:textId="77777777" w:rsidTr="00CA2C9A">
        <w:trPr>
          <w:trHeight w:val="300"/>
        </w:trPr>
        <w:tc>
          <w:tcPr>
            <w:tcW w:w="318" w:type="dxa"/>
            <w:tcBorders>
              <w:top w:val="single" w:sz="4" w:space="0" w:color="auto"/>
              <w:left w:val="nil"/>
              <w:bottom w:val="single" w:sz="4" w:space="0" w:color="auto"/>
              <w:right w:val="nil"/>
            </w:tcBorders>
            <w:noWrap/>
            <w:vAlign w:val="center"/>
            <w:hideMark/>
          </w:tcPr>
          <w:p w14:paraId="79F119D1" w14:textId="77777777" w:rsidR="002274D3" w:rsidRPr="00116F45" w:rsidRDefault="002274D3" w:rsidP="00604F94">
            <w:pPr>
              <w:spacing w:line="240" w:lineRule="auto"/>
              <w:jc w:val="center"/>
              <w:rPr>
                <w:b/>
                <w:bCs/>
                <w:sz w:val="20"/>
                <w:szCs w:val="20"/>
                <w:lang w:val="en-GB"/>
              </w:rPr>
            </w:pPr>
            <w:r w:rsidRPr="00116F45">
              <w:rPr>
                <w:b/>
                <w:bCs/>
                <w:sz w:val="20"/>
                <w:szCs w:val="20"/>
                <w:lang w:val="en-GB"/>
              </w:rPr>
              <w:t>9</w:t>
            </w:r>
          </w:p>
        </w:tc>
        <w:tc>
          <w:tcPr>
            <w:tcW w:w="9463" w:type="dxa"/>
            <w:gridSpan w:val="14"/>
            <w:tcBorders>
              <w:top w:val="single" w:sz="4" w:space="0" w:color="auto"/>
              <w:left w:val="nil"/>
              <w:bottom w:val="single" w:sz="4" w:space="0" w:color="auto"/>
              <w:right w:val="nil"/>
            </w:tcBorders>
            <w:noWrap/>
            <w:hideMark/>
          </w:tcPr>
          <w:p w14:paraId="3178572B" w14:textId="59709205" w:rsidR="002274D3" w:rsidRPr="00116F45" w:rsidRDefault="00721F2B" w:rsidP="00604F94">
            <w:pPr>
              <w:spacing w:line="240" w:lineRule="auto"/>
              <w:rPr>
                <w:b/>
                <w:bCs/>
                <w:noProof/>
                <w:sz w:val="20"/>
                <w:szCs w:val="20"/>
                <w:lang w:val="en-GB"/>
              </w:rPr>
            </w:pPr>
            <w:r w:rsidRPr="00116F45">
              <w:rPr>
                <w:b/>
                <w:bCs/>
                <w:noProof/>
                <w:sz w:val="20"/>
                <w:szCs w:val="20"/>
                <w:lang w:val="en-GB"/>
              </w:rPr>
              <w:t>Wh</w:t>
            </w:r>
            <w:r w:rsidR="00812496" w:rsidRPr="00116F45">
              <w:rPr>
                <w:b/>
                <w:bCs/>
                <w:noProof/>
                <w:sz w:val="20"/>
                <w:szCs w:val="20"/>
                <w:lang w:val="en-GB"/>
              </w:rPr>
              <w:t>at</w:t>
            </w:r>
            <w:r w:rsidRPr="00116F45">
              <w:rPr>
                <w:b/>
                <w:bCs/>
                <w:noProof/>
                <w:sz w:val="20"/>
                <w:szCs w:val="20"/>
                <w:lang w:val="en-GB"/>
              </w:rPr>
              <w:t xml:space="preserve"> amount</w:t>
            </w:r>
            <w:r w:rsidR="00D131D9" w:rsidRPr="00116F45">
              <w:rPr>
                <w:b/>
                <w:bCs/>
                <w:noProof/>
                <w:sz w:val="20"/>
                <w:szCs w:val="20"/>
                <w:lang w:val="en-GB"/>
              </w:rPr>
              <w:t xml:space="preserve"> of the following</w:t>
            </w:r>
            <w:r w:rsidR="002274D3" w:rsidRPr="00116F45">
              <w:rPr>
                <w:b/>
                <w:bCs/>
                <w:noProof/>
                <w:sz w:val="20"/>
                <w:szCs w:val="20"/>
                <w:lang w:val="en-GB"/>
              </w:rPr>
              <w:t xml:space="preserve"> beverages </w:t>
            </w:r>
            <w:r w:rsidR="00D131D9" w:rsidRPr="00116F45">
              <w:rPr>
                <w:b/>
                <w:bCs/>
                <w:noProof/>
                <w:sz w:val="20"/>
                <w:szCs w:val="20"/>
                <w:lang w:val="en-GB"/>
              </w:rPr>
              <w:t>do you drink per week</w:t>
            </w:r>
            <w:r w:rsidR="002274D3" w:rsidRPr="00116F45">
              <w:rPr>
                <w:b/>
                <w:bCs/>
                <w:noProof/>
                <w:sz w:val="20"/>
                <w:szCs w:val="20"/>
                <w:lang w:val="en-GB"/>
              </w:rPr>
              <w:t>?</w:t>
            </w:r>
          </w:p>
        </w:tc>
      </w:tr>
      <w:tr w:rsidR="00116F45" w:rsidRPr="009760D1" w14:paraId="3BB68201" w14:textId="77777777" w:rsidTr="00CA2C9A">
        <w:trPr>
          <w:trHeight w:val="300"/>
        </w:trPr>
        <w:tc>
          <w:tcPr>
            <w:tcW w:w="318" w:type="dxa"/>
            <w:tcBorders>
              <w:top w:val="single" w:sz="4" w:space="0" w:color="auto"/>
              <w:left w:val="nil"/>
              <w:bottom w:val="single" w:sz="4" w:space="0" w:color="auto"/>
              <w:right w:val="nil"/>
            </w:tcBorders>
            <w:noWrap/>
            <w:vAlign w:val="center"/>
          </w:tcPr>
          <w:p w14:paraId="678F87D0" w14:textId="77777777" w:rsidR="002274D3" w:rsidRPr="00116F45" w:rsidRDefault="002274D3" w:rsidP="00604F94">
            <w:pPr>
              <w:spacing w:line="240" w:lineRule="auto"/>
              <w:jc w:val="center"/>
              <w:rPr>
                <w:sz w:val="20"/>
                <w:szCs w:val="20"/>
                <w:lang w:val="en-GB"/>
              </w:rPr>
            </w:pPr>
          </w:p>
        </w:tc>
        <w:tc>
          <w:tcPr>
            <w:tcW w:w="4731" w:type="dxa"/>
            <w:gridSpan w:val="7"/>
            <w:tcBorders>
              <w:top w:val="single" w:sz="4" w:space="0" w:color="auto"/>
              <w:left w:val="nil"/>
              <w:bottom w:val="single" w:sz="4" w:space="0" w:color="auto"/>
              <w:right w:val="nil"/>
            </w:tcBorders>
            <w:noWrap/>
            <w:hideMark/>
          </w:tcPr>
          <w:p w14:paraId="085A1FFE" w14:textId="77777777" w:rsidR="002274D3" w:rsidRPr="00116F45" w:rsidRDefault="002274D3" w:rsidP="00604F94">
            <w:pPr>
              <w:spacing w:line="240" w:lineRule="auto"/>
              <w:rPr>
                <w:noProof/>
                <w:sz w:val="20"/>
                <w:szCs w:val="20"/>
                <w:lang w:val="en-GB"/>
              </w:rPr>
            </w:pPr>
            <w:r w:rsidRPr="00116F45">
              <w:rPr>
                <w:noProof/>
                <w:lang w:val="en-GB"/>
              </w:rPr>
              <mc:AlternateContent>
                <mc:Choice Requires="wps">
                  <w:drawing>
                    <wp:anchor distT="0" distB="0" distL="114300" distR="114300" simplePos="0" relativeHeight="251701248" behindDoc="0" locked="0" layoutInCell="1" allowOverlap="1" wp14:anchorId="2B8FE3FE" wp14:editId="4A2A4F21">
                      <wp:simplePos x="0" y="0"/>
                      <wp:positionH relativeFrom="column">
                        <wp:posOffset>579120</wp:posOffset>
                      </wp:positionH>
                      <wp:positionV relativeFrom="paragraph">
                        <wp:posOffset>25400</wp:posOffset>
                      </wp:positionV>
                      <wp:extent cx="125730" cy="125730"/>
                      <wp:effectExtent l="0" t="0" r="26670" b="26670"/>
                      <wp:wrapNone/>
                      <wp:docPr id="24" name="Rektangel 38"/>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35479" id="Rektangel 38" o:spid="_x0000_s1026" style="position:absolute;margin-left:45.6pt;margin-top:2pt;width:9.9pt;height: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" filled="f" strokecolor="windowText" strokeweight="1pt"/>
                  </w:pict>
                </mc:Fallback>
              </mc:AlternateContent>
            </w:r>
            <w:r w:rsidRPr="00116F45">
              <w:rPr>
                <w:noProof/>
                <w:sz w:val="20"/>
                <w:szCs w:val="20"/>
                <w:lang w:val="en-GB"/>
              </w:rPr>
              <w:t>Coca Cola         x ½ L</w:t>
            </w:r>
          </w:p>
        </w:tc>
        <w:tc>
          <w:tcPr>
            <w:tcW w:w="4732" w:type="dxa"/>
            <w:gridSpan w:val="7"/>
            <w:tcBorders>
              <w:top w:val="single" w:sz="4" w:space="0" w:color="auto"/>
              <w:left w:val="nil"/>
              <w:bottom w:val="single" w:sz="4" w:space="0" w:color="auto"/>
              <w:right w:val="nil"/>
            </w:tcBorders>
            <w:hideMark/>
          </w:tcPr>
          <w:p w14:paraId="0489F632" w14:textId="77777777" w:rsidR="002274D3" w:rsidRPr="00116F45" w:rsidRDefault="002274D3" w:rsidP="00604F94">
            <w:pPr>
              <w:spacing w:line="240" w:lineRule="auto"/>
              <w:rPr>
                <w:noProof/>
                <w:sz w:val="20"/>
                <w:szCs w:val="20"/>
                <w:lang w:val="en-GB"/>
              </w:rPr>
            </w:pPr>
            <w:r w:rsidRPr="00116F45">
              <w:rPr>
                <w:noProof/>
                <w:lang w:val="en-GB"/>
              </w:rPr>
              <mc:AlternateContent>
                <mc:Choice Requires="wps">
                  <w:drawing>
                    <wp:anchor distT="0" distB="0" distL="114300" distR="114300" simplePos="0" relativeHeight="251702272" behindDoc="0" locked="0" layoutInCell="1" allowOverlap="1" wp14:anchorId="542A863F" wp14:editId="7E6CEFE1">
                      <wp:simplePos x="0" y="0"/>
                      <wp:positionH relativeFrom="column">
                        <wp:posOffset>965835</wp:posOffset>
                      </wp:positionH>
                      <wp:positionV relativeFrom="paragraph">
                        <wp:posOffset>29845</wp:posOffset>
                      </wp:positionV>
                      <wp:extent cx="125730" cy="125730"/>
                      <wp:effectExtent l="0" t="0" r="26670" b="26670"/>
                      <wp:wrapNone/>
                      <wp:docPr id="12" name="Rektangel 38"/>
                      <wp:cNvGraphicFramePr/>
                      <a:graphic xmlns:a="http://schemas.openxmlformats.org/drawingml/2006/main">
                        <a:graphicData uri="http://schemas.microsoft.com/office/word/2010/wordprocessingShape">
                          <wps:wsp>
                            <wps:cNvSpPr/>
                            <wps:spPr>
                              <a:xfrm>
                                <a:off x="0" y="0"/>
                                <a:ext cx="125730" cy="1257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FFCDE" id="Rektangel 38" o:spid="_x0000_s1026" style="position:absolute;margin-left:76.05pt;margin-top:2.35pt;width:9.9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" filled="f" strokecolor="windowText" strokeweight="1pt"/>
                  </w:pict>
                </mc:Fallback>
              </mc:AlternateContent>
            </w:r>
            <w:r w:rsidRPr="00116F45">
              <w:rPr>
                <w:noProof/>
                <w:sz w:val="20"/>
                <w:szCs w:val="20"/>
                <w:lang w:val="en-GB"/>
              </w:rPr>
              <w:t>Other soft drinks          x ½ L</w:t>
            </w:r>
          </w:p>
        </w:tc>
      </w:tr>
      <w:tr w:rsidR="00116F45" w:rsidRPr="009760D1" w14:paraId="5CE124E6" w14:textId="77777777" w:rsidTr="00CA2C9A">
        <w:trPr>
          <w:trHeight w:val="300"/>
        </w:trPr>
        <w:tc>
          <w:tcPr>
            <w:tcW w:w="318" w:type="dxa"/>
            <w:tcBorders>
              <w:top w:val="single" w:sz="4" w:space="0" w:color="auto"/>
              <w:left w:val="nil"/>
              <w:bottom w:val="nil"/>
              <w:right w:val="nil"/>
            </w:tcBorders>
            <w:noWrap/>
            <w:vAlign w:val="center"/>
          </w:tcPr>
          <w:p w14:paraId="63A62FC9" w14:textId="77777777" w:rsidR="002274D3" w:rsidRPr="00116F45" w:rsidRDefault="002274D3" w:rsidP="00604F94">
            <w:pPr>
              <w:spacing w:line="240" w:lineRule="auto"/>
              <w:jc w:val="center"/>
              <w:rPr>
                <w:sz w:val="20"/>
                <w:szCs w:val="20"/>
                <w:lang w:val="en-GB"/>
              </w:rPr>
            </w:pPr>
          </w:p>
        </w:tc>
        <w:tc>
          <w:tcPr>
            <w:tcW w:w="9463" w:type="dxa"/>
            <w:gridSpan w:val="14"/>
            <w:tcBorders>
              <w:top w:val="single" w:sz="4" w:space="0" w:color="auto"/>
              <w:left w:val="nil"/>
              <w:bottom w:val="nil"/>
              <w:right w:val="nil"/>
            </w:tcBorders>
            <w:noWrap/>
          </w:tcPr>
          <w:p w14:paraId="79842089" w14:textId="77777777" w:rsidR="002274D3" w:rsidRPr="00116F45" w:rsidRDefault="002274D3" w:rsidP="00604F94">
            <w:pPr>
              <w:spacing w:line="240" w:lineRule="auto"/>
              <w:rPr>
                <w:noProof/>
                <w:sz w:val="20"/>
                <w:szCs w:val="20"/>
                <w:lang w:val="en-GB"/>
              </w:rPr>
            </w:pPr>
          </w:p>
        </w:tc>
        <w:bookmarkEnd w:id="15"/>
      </w:tr>
    </w:tbl>
    <w:p w14:paraId="32A8843E" w14:textId="6B0B0332" w:rsidR="000B558F" w:rsidRPr="00116F45" w:rsidRDefault="000B558F" w:rsidP="00604F94">
      <w:pPr>
        <w:tabs>
          <w:tab w:val="left" w:pos="4089"/>
        </w:tabs>
        <w:spacing w:line="240" w:lineRule="auto"/>
        <w:rPr>
          <w:rFonts w:cs="Times New Roman"/>
          <w:szCs w:val="24"/>
          <w:lang w:val="en-US"/>
        </w:rPr>
      </w:pPr>
      <w:r w:rsidRPr="00116F45">
        <w:rPr>
          <w:rFonts w:cs="Times New Roman"/>
          <w:sz w:val="20"/>
          <w:szCs w:val="20"/>
          <w:lang w:val="en-US"/>
        </w:rPr>
        <w:t>The food frequency questionnaire</w:t>
      </w:r>
      <w:r w:rsidR="00995809" w:rsidRPr="00116F45">
        <w:rPr>
          <w:rFonts w:cs="Times New Roman"/>
          <w:sz w:val="20"/>
          <w:szCs w:val="20"/>
          <w:lang w:val="en-US"/>
        </w:rPr>
        <w:t xml:space="preserve"> (FFQ)</w:t>
      </w:r>
      <w:r w:rsidRPr="00116F45">
        <w:rPr>
          <w:rFonts w:cs="Times New Roman"/>
          <w:sz w:val="20"/>
          <w:szCs w:val="20"/>
          <w:lang w:val="en-US"/>
        </w:rPr>
        <w:t xml:space="preserve"> was filled out by </w:t>
      </w:r>
      <w:proofErr w:type="gramStart"/>
      <w:r w:rsidRPr="00116F45">
        <w:rPr>
          <w:rFonts w:cs="Times New Roman"/>
          <w:sz w:val="20"/>
          <w:szCs w:val="20"/>
          <w:lang w:val="en-US"/>
        </w:rPr>
        <w:t>each individual</w:t>
      </w:r>
      <w:proofErr w:type="gramEnd"/>
      <w:r w:rsidRPr="00116F45">
        <w:rPr>
          <w:rFonts w:cs="Times New Roman"/>
          <w:sz w:val="20"/>
          <w:szCs w:val="20"/>
          <w:lang w:val="en-US"/>
        </w:rPr>
        <w:t xml:space="preserve"> at baseline. The extensive self-administered questionnaire</w:t>
      </w:r>
      <w:r w:rsidR="00995809" w:rsidRPr="00116F45">
        <w:rPr>
          <w:rFonts w:cs="Times New Roman"/>
          <w:sz w:val="20"/>
          <w:szCs w:val="20"/>
          <w:lang w:val="en-US"/>
        </w:rPr>
        <w:t>,</w:t>
      </w:r>
      <w:r w:rsidRPr="00116F45">
        <w:rPr>
          <w:rFonts w:cs="Times New Roman"/>
          <w:sz w:val="20"/>
          <w:szCs w:val="20"/>
          <w:lang w:val="en-US"/>
        </w:rPr>
        <w:t xml:space="preserve"> </w:t>
      </w:r>
      <w:r w:rsidR="00995809" w:rsidRPr="00116F45">
        <w:rPr>
          <w:rFonts w:cs="Times New Roman"/>
          <w:sz w:val="20"/>
          <w:szCs w:val="20"/>
          <w:lang w:val="en-US"/>
        </w:rPr>
        <w:t xml:space="preserve">including the FFQ, </w:t>
      </w:r>
      <w:r w:rsidRPr="00116F45">
        <w:rPr>
          <w:rFonts w:cs="Times New Roman"/>
          <w:sz w:val="20"/>
          <w:szCs w:val="20"/>
          <w:lang w:val="en-US"/>
        </w:rPr>
        <w:t>was reviewed together with an investigator on the day of attendance (</w:t>
      </w:r>
      <w:r w:rsidR="002B6574" w:rsidRPr="00116F45">
        <w:rPr>
          <w:rFonts w:cs="Times New Roman"/>
          <w:sz w:val="20"/>
          <w:szCs w:val="20"/>
          <w:lang w:val="en-US"/>
        </w:rPr>
        <w:t xml:space="preserve">baseline; </w:t>
      </w:r>
      <w:r w:rsidRPr="00116F45">
        <w:rPr>
          <w:rFonts w:cs="Times New Roman"/>
          <w:sz w:val="20"/>
          <w:szCs w:val="20"/>
          <w:lang w:val="en-US"/>
        </w:rPr>
        <w:t xml:space="preserve">inclusion in the study). </w:t>
      </w:r>
      <w:r w:rsidR="008821B0" w:rsidRPr="00116F45">
        <w:rPr>
          <w:rFonts w:cs="Times New Roman"/>
          <w:sz w:val="20"/>
          <w:szCs w:val="20"/>
          <w:lang w:val="en-US"/>
        </w:rPr>
        <w:t>Questions that were not included in the dietary assessment are grey</w:t>
      </w:r>
      <w:r w:rsidR="00194FF7" w:rsidRPr="00116F45">
        <w:rPr>
          <w:rFonts w:cs="Times New Roman"/>
          <w:sz w:val="20"/>
          <w:szCs w:val="20"/>
          <w:lang w:val="en-US"/>
        </w:rPr>
        <w:t xml:space="preserve">. </w:t>
      </w:r>
      <w:r w:rsidRPr="00116F45">
        <w:rPr>
          <w:rFonts w:cs="Times New Roman"/>
          <w:szCs w:val="24"/>
          <w:lang w:val="en-US"/>
        </w:rPr>
        <w:tab/>
      </w:r>
    </w:p>
    <w:p w14:paraId="3FCB02CE" w14:textId="77777777" w:rsidR="000B558F" w:rsidRPr="00116F45" w:rsidRDefault="000B558F" w:rsidP="000B558F">
      <w:pPr>
        <w:rPr>
          <w:rFonts w:cs="Times New Roman"/>
          <w:szCs w:val="24"/>
          <w:lang w:val="en-US"/>
        </w:rPr>
      </w:pPr>
    </w:p>
    <w:p w14:paraId="01CABD1D" w14:textId="77777777" w:rsidR="00D92E46" w:rsidRPr="00116F45" w:rsidRDefault="00D92E46">
      <w:pPr>
        <w:spacing w:after="160" w:line="259" w:lineRule="auto"/>
        <w:rPr>
          <w:rFonts w:eastAsiaTheme="majorEastAsia" w:cstheme="majorBidi"/>
          <w:b/>
          <w:szCs w:val="26"/>
          <w:lang w:val="en-US"/>
        </w:rPr>
      </w:pPr>
      <w:r w:rsidRPr="00116F45">
        <w:rPr>
          <w:lang w:val="en-US"/>
        </w:rPr>
        <w:br w:type="page"/>
      </w:r>
    </w:p>
    <w:p w14:paraId="6F94C0C7" w14:textId="5F4C00E2" w:rsidR="00B85AB0" w:rsidRPr="00116F45" w:rsidRDefault="001777C1" w:rsidP="00E5295E">
      <w:pPr>
        <w:pStyle w:val="Heading2"/>
        <w:rPr>
          <w:lang w:val="en-US"/>
        </w:rPr>
      </w:pPr>
      <w:bookmarkStart w:id="16" w:name="_Toc110945226"/>
      <w:r w:rsidRPr="00116F45">
        <w:rPr>
          <w:lang w:val="en-US"/>
        </w:rPr>
        <w:lastRenderedPageBreak/>
        <w:t>Supplement</w:t>
      </w:r>
      <w:r w:rsidR="000F36F5" w:rsidRPr="00116F45">
        <w:rPr>
          <w:lang w:val="en-US"/>
        </w:rPr>
        <w:t>ary</w:t>
      </w:r>
      <w:r w:rsidRPr="00116F45">
        <w:rPr>
          <w:lang w:val="en-US"/>
        </w:rPr>
        <w:t xml:space="preserve"> </w:t>
      </w:r>
      <w:r w:rsidR="00B85AB0" w:rsidRPr="00116F45">
        <w:rPr>
          <w:lang w:val="en-US"/>
        </w:rPr>
        <w:t xml:space="preserve">Table </w:t>
      </w:r>
      <w:r w:rsidR="00E66AC7" w:rsidRPr="00116F45">
        <w:rPr>
          <w:lang w:val="en-US"/>
        </w:rPr>
        <w:t>3</w:t>
      </w:r>
      <w:r w:rsidR="00B85AB0" w:rsidRPr="00116F45">
        <w:rPr>
          <w:lang w:val="en-US"/>
        </w:rPr>
        <w:t>. Details of dietary food components</w:t>
      </w:r>
      <w:bookmarkEnd w:id="16"/>
      <w:r w:rsidR="00B85AB0" w:rsidRPr="00116F45">
        <w:rPr>
          <w:lang w:val="en-US"/>
        </w:rPr>
        <w:t xml:space="preserve"> </w:t>
      </w:r>
    </w:p>
    <w:p w14:paraId="38B47C9E" w14:textId="77777777" w:rsidR="00B85AB0" w:rsidRPr="00116F45" w:rsidRDefault="00B85AB0" w:rsidP="00B85AB0">
      <w:pPr>
        <w:rPr>
          <w:sz w:val="20"/>
          <w:szCs w:val="20"/>
          <w:lang w:val="en-US"/>
        </w:rPr>
      </w:pPr>
    </w:p>
    <w:tbl>
      <w:tblPr>
        <w:tblW w:w="9498" w:type="dxa"/>
        <w:tblLayout w:type="fixed"/>
        <w:tblCellMar>
          <w:left w:w="0" w:type="dxa"/>
          <w:right w:w="0" w:type="dxa"/>
        </w:tblCellMar>
        <w:tblLook w:val="0420" w:firstRow="1" w:lastRow="0" w:firstColumn="0" w:lastColumn="0" w:noHBand="0" w:noVBand="1"/>
      </w:tblPr>
      <w:tblGrid>
        <w:gridCol w:w="1209"/>
        <w:gridCol w:w="4178"/>
        <w:gridCol w:w="2055"/>
        <w:gridCol w:w="2056"/>
      </w:tblGrid>
      <w:tr w:rsidR="00116F45" w:rsidRPr="00116F45" w14:paraId="3AED740B" w14:textId="77777777" w:rsidTr="00CD5FE9">
        <w:trPr>
          <w:trHeight w:val="20"/>
        </w:trPr>
        <w:tc>
          <w:tcPr>
            <w:tcW w:w="120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F1D89A5"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br w:type="page"/>
            </w:r>
            <w:r w:rsidRPr="00116F45">
              <w:rPr>
                <w:rFonts w:cs="Times New Roman"/>
                <w:b/>
                <w:bCs/>
                <w:szCs w:val="24"/>
                <w:lang w:val="en-US"/>
              </w:rPr>
              <w:t>Question priority</w:t>
            </w:r>
          </w:p>
        </w:tc>
        <w:tc>
          <w:tcPr>
            <w:tcW w:w="417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B366D63" w14:textId="77777777" w:rsidR="00B85AB0" w:rsidRPr="00116F45" w:rsidRDefault="00B85AB0" w:rsidP="00CD5FE9">
            <w:pPr>
              <w:spacing w:line="240" w:lineRule="auto"/>
              <w:rPr>
                <w:rFonts w:cs="Times New Roman"/>
                <w:szCs w:val="24"/>
                <w:lang w:val="en-US"/>
              </w:rPr>
            </w:pPr>
            <w:r w:rsidRPr="00116F45">
              <w:rPr>
                <w:rFonts w:cs="Times New Roman"/>
                <w:b/>
                <w:bCs/>
                <w:szCs w:val="24"/>
                <w:lang w:val="en-US"/>
              </w:rPr>
              <w:t>Dietary food component</w:t>
            </w:r>
          </w:p>
        </w:tc>
        <w:tc>
          <w:tcPr>
            <w:tcW w:w="205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20F3EE9" w14:textId="77777777" w:rsidR="00B85AB0" w:rsidRPr="00116F45" w:rsidRDefault="00B85AB0" w:rsidP="00CD5FE9">
            <w:pPr>
              <w:spacing w:line="240" w:lineRule="auto"/>
              <w:jc w:val="center"/>
              <w:rPr>
                <w:rFonts w:cs="Times New Roman"/>
                <w:szCs w:val="24"/>
                <w:lang w:val="en-US"/>
              </w:rPr>
            </w:pPr>
            <w:r w:rsidRPr="00116F45">
              <w:rPr>
                <w:rFonts w:cs="Times New Roman"/>
                <w:b/>
                <w:bCs/>
                <w:szCs w:val="24"/>
                <w:lang w:val="en-US"/>
              </w:rPr>
              <w:t>In agreement</w:t>
            </w:r>
          </w:p>
          <w:p w14:paraId="7DED6993" w14:textId="77777777" w:rsidR="00B85AB0" w:rsidRPr="00116F45" w:rsidRDefault="00B85AB0" w:rsidP="00CD5FE9">
            <w:pPr>
              <w:spacing w:line="240" w:lineRule="auto"/>
              <w:jc w:val="center"/>
              <w:rPr>
                <w:rFonts w:cs="Times New Roman"/>
                <w:szCs w:val="24"/>
                <w:lang w:val="en-US"/>
              </w:rPr>
            </w:pPr>
            <w:r w:rsidRPr="00116F45">
              <w:rPr>
                <w:rFonts w:cs="Times New Roman"/>
                <w:b/>
                <w:bCs/>
                <w:szCs w:val="24"/>
                <w:lang w:val="en-US"/>
              </w:rPr>
              <w:t>with guidelines</w:t>
            </w:r>
          </w:p>
        </w:tc>
        <w:tc>
          <w:tcPr>
            <w:tcW w:w="205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7F8330D" w14:textId="77777777" w:rsidR="00B85AB0" w:rsidRPr="00116F45" w:rsidRDefault="00B85AB0" w:rsidP="00CD5FE9">
            <w:pPr>
              <w:spacing w:line="240" w:lineRule="auto"/>
              <w:jc w:val="center"/>
              <w:rPr>
                <w:rFonts w:cs="Times New Roman"/>
                <w:szCs w:val="24"/>
                <w:lang w:val="en-US"/>
              </w:rPr>
            </w:pPr>
            <w:r w:rsidRPr="00116F45">
              <w:rPr>
                <w:rFonts w:cs="Times New Roman"/>
                <w:b/>
                <w:bCs/>
                <w:szCs w:val="24"/>
                <w:lang w:val="en-US"/>
              </w:rPr>
              <w:t>In disagreement</w:t>
            </w:r>
          </w:p>
          <w:p w14:paraId="27CB3CEF" w14:textId="77777777" w:rsidR="00B85AB0" w:rsidRPr="00116F45" w:rsidRDefault="00B85AB0" w:rsidP="00CD5FE9">
            <w:pPr>
              <w:spacing w:line="240" w:lineRule="auto"/>
              <w:jc w:val="center"/>
              <w:rPr>
                <w:rFonts w:cs="Times New Roman"/>
                <w:szCs w:val="24"/>
                <w:lang w:val="en-US"/>
              </w:rPr>
            </w:pPr>
            <w:r w:rsidRPr="00116F45">
              <w:rPr>
                <w:rFonts w:cs="Times New Roman"/>
                <w:b/>
                <w:bCs/>
                <w:szCs w:val="24"/>
                <w:lang w:val="en-US"/>
              </w:rPr>
              <w:t>with guidelines</w:t>
            </w:r>
          </w:p>
        </w:tc>
      </w:tr>
      <w:tr w:rsidR="00116F45" w:rsidRPr="00116F45" w14:paraId="39E882AA" w14:textId="77777777" w:rsidTr="00CD5FE9">
        <w:trPr>
          <w:trHeight w:val="20"/>
        </w:trPr>
        <w:tc>
          <w:tcPr>
            <w:tcW w:w="120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2898DF5"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A</w:t>
            </w:r>
          </w:p>
        </w:tc>
        <w:tc>
          <w:tcPr>
            <w:tcW w:w="417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217C02E" w14:textId="77777777" w:rsidR="00B85AB0" w:rsidRPr="00116F45" w:rsidRDefault="00B85AB0" w:rsidP="00CD5FE9">
            <w:pPr>
              <w:spacing w:line="240" w:lineRule="auto"/>
              <w:rPr>
                <w:rFonts w:cs="Times New Roman"/>
                <w:szCs w:val="24"/>
                <w:lang w:val="en-US"/>
              </w:rPr>
            </w:pPr>
            <w:r w:rsidRPr="00116F45">
              <w:rPr>
                <w:rFonts w:cs="Times New Roman"/>
                <w:szCs w:val="24"/>
                <w:lang w:val="en-US"/>
              </w:rPr>
              <w:t>Fats for cold meals</w:t>
            </w:r>
          </w:p>
        </w:tc>
        <w:tc>
          <w:tcPr>
            <w:tcW w:w="205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43465D3" w14:textId="77777777" w:rsidR="00B85AB0" w:rsidRPr="00116F45" w:rsidRDefault="00B85AB0" w:rsidP="00CD5FE9">
            <w:pPr>
              <w:spacing w:line="240" w:lineRule="auto"/>
              <w:jc w:val="center"/>
              <w:rPr>
                <w:rFonts w:cs="Times New Roman"/>
                <w:szCs w:val="24"/>
                <w:lang w:val="en-US"/>
              </w:rPr>
            </w:pPr>
            <w:proofErr w:type="spellStart"/>
            <w:r w:rsidRPr="00116F45">
              <w:rPr>
                <w:rFonts w:cs="Times New Roman"/>
                <w:szCs w:val="24"/>
                <w:lang w:val="en-US"/>
              </w:rPr>
              <w:t>Unsaturated</w:t>
            </w:r>
            <w:r w:rsidRPr="00116F45">
              <w:rPr>
                <w:rFonts w:cs="Times New Roman"/>
                <w:szCs w:val="24"/>
                <w:vertAlign w:val="superscript"/>
                <w:lang w:val="en-US"/>
              </w:rPr>
              <w:t>a</w:t>
            </w:r>
            <w:proofErr w:type="spellEnd"/>
          </w:p>
        </w:tc>
        <w:tc>
          <w:tcPr>
            <w:tcW w:w="205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9332392" w14:textId="77777777" w:rsidR="00B85AB0" w:rsidRPr="00116F45" w:rsidRDefault="00B85AB0" w:rsidP="00CD5FE9">
            <w:pPr>
              <w:spacing w:line="240" w:lineRule="auto"/>
              <w:jc w:val="center"/>
              <w:rPr>
                <w:rFonts w:cs="Times New Roman"/>
                <w:szCs w:val="24"/>
                <w:lang w:val="en-US"/>
              </w:rPr>
            </w:pPr>
            <w:proofErr w:type="spellStart"/>
            <w:r w:rsidRPr="00116F45">
              <w:rPr>
                <w:rFonts w:cs="Times New Roman"/>
                <w:szCs w:val="24"/>
                <w:lang w:val="en-US"/>
              </w:rPr>
              <w:t>Saturated</w:t>
            </w:r>
            <w:r w:rsidRPr="00116F45">
              <w:rPr>
                <w:rFonts w:cs="Times New Roman"/>
                <w:szCs w:val="24"/>
                <w:vertAlign w:val="superscript"/>
                <w:lang w:val="en-US"/>
              </w:rPr>
              <w:t>c</w:t>
            </w:r>
            <w:proofErr w:type="spellEnd"/>
          </w:p>
        </w:tc>
      </w:tr>
      <w:tr w:rsidR="00116F45" w:rsidRPr="00116F45" w14:paraId="153800B8" w14:textId="77777777" w:rsidTr="00CD5FE9">
        <w:trPr>
          <w:trHeight w:val="20"/>
        </w:trPr>
        <w:tc>
          <w:tcPr>
            <w:tcW w:w="1209" w:type="dxa"/>
            <w:tcBorders>
              <w:top w:val="nil"/>
              <w:left w:val="nil"/>
              <w:bottom w:val="nil"/>
              <w:right w:val="nil"/>
            </w:tcBorders>
            <w:shd w:val="clear" w:color="auto" w:fill="auto"/>
            <w:tcMar>
              <w:top w:w="72" w:type="dxa"/>
              <w:left w:w="144" w:type="dxa"/>
              <w:bottom w:w="72" w:type="dxa"/>
              <w:right w:w="144" w:type="dxa"/>
            </w:tcMar>
            <w:vAlign w:val="center"/>
            <w:hideMark/>
          </w:tcPr>
          <w:p w14:paraId="27E97985"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A</w:t>
            </w:r>
          </w:p>
        </w:tc>
        <w:tc>
          <w:tcPr>
            <w:tcW w:w="4178" w:type="dxa"/>
            <w:tcBorders>
              <w:top w:val="nil"/>
              <w:left w:val="nil"/>
              <w:bottom w:val="nil"/>
              <w:right w:val="nil"/>
            </w:tcBorders>
            <w:shd w:val="clear" w:color="auto" w:fill="auto"/>
            <w:tcMar>
              <w:top w:w="72" w:type="dxa"/>
              <w:left w:w="144" w:type="dxa"/>
              <w:bottom w:w="72" w:type="dxa"/>
              <w:right w:w="144" w:type="dxa"/>
            </w:tcMar>
            <w:vAlign w:val="center"/>
            <w:hideMark/>
          </w:tcPr>
          <w:p w14:paraId="42E79AEA" w14:textId="77777777" w:rsidR="00B85AB0" w:rsidRPr="00116F45" w:rsidRDefault="00B85AB0" w:rsidP="00CD5FE9">
            <w:pPr>
              <w:spacing w:line="240" w:lineRule="auto"/>
              <w:rPr>
                <w:rFonts w:cs="Times New Roman"/>
                <w:szCs w:val="24"/>
                <w:lang w:val="en-US"/>
              </w:rPr>
            </w:pPr>
            <w:r w:rsidRPr="00116F45">
              <w:rPr>
                <w:rFonts w:cs="Times New Roman"/>
                <w:szCs w:val="24"/>
                <w:lang w:val="en-US"/>
              </w:rPr>
              <w:t>Fats for warm meals</w:t>
            </w:r>
          </w:p>
        </w:tc>
        <w:tc>
          <w:tcPr>
            <w:tcW w:w="2055" w:type="dxa"/>
            <w:tcBorders>
              <w:top w:val="nil"/>
              <w:left w:val="nil"/>
              <w:bottom w:val="nil"/>
              <w:right w:val="nil"/>
            </w:tcBorders>
            <w:shd w:val="clear" w:color="auto" w:fill="auto"/>
            <w:tcMar>
              <w:top w:w="72" w:type="dxa"/>
              <w:left w:w="144" w:type="dxa"/>
              <w:bottom w:w="72" w:type="dxa"/>
              <w:right w:w="144" w:type="dxa"/>
            </w:tcMar>
            <w:vAlign w:val="center"/>
            <w:hideMark/>
          </w:tcPr>
          <w:p w14:paraId="4A2ED44E" w14:textId="77777777" w:rsidR="00B85AB0" w:rsidRPr="00116F45" w:rsidRDefault="00B85AB0" w:rsidP="00CD5FE9">
            <w:pPr>
              <w:spacing w:line="240" w:lineRule="auto"/>
              <w:jc w:val="center"/>
              <w:rPr>
                <w:rFonts w:cs="Times New Roman"/>
                <w:szCs w:val="24"/>
                <w:lang w:val="en-US"/>
              </w:rPr>
            </w:pPr>
            <w:proofErr w:type="spellStart"/>
            <w:r w:rsidRPr="00116F45">
              <w:rPr>
                <w:rFonts w:cs="Times New Roman"/>
                <w:szCs w:val="24"/>
                <w:lang w:val="en-US"/>
              </w:rPr>
              <w:t>Unsaturated</w:t>
            </w:r>
            <w:r w:rsidRPr="00116F45">
              <w:rPr>
                <w:rFonts w:cs="Times New Roman"/>
                <w:szCs w:val="24"/>
                <w:vertAlign w:val="superscript"/>
                <w:lang w:val="en-US"/>
              </w:rPr>
              <w:t>b</w:t>
            </w:r>
            <w:proofErr w:type="spellEnd"/>
          </w:p>
        </w:tc>
        <w:tc>
          <w:tcPr>
            <w:tcW w:w="2056" w:type="dxa"/>
            <w:tcBorders>
              <w:top w:val="nil"/>
              <w:left w:val="nil"/>
              <w:bottom w:val="nil"/>
              <w:right w:val="nil"/>
            </w:tcBorders>
            <w:shd w:val="clear" w:color="auto" w:fill="auto"/>
            <w:tcMar>
              <w:top w:w="72" w:type="dxa"/>
              <w:left w:w="144" w:type="dxa"/>
              <w:bottom w:w="72" w:type="dxa"/>
              <w:right w:w="144" w:type="dxa"/>
            </w:tcMar>
            <w:vAlign w:val="center"/>
            <w:hideMark/>
          </w:tcPr>
          <w:p w14:paraId="01939140" w14:textId="77777777" w:rsidR="00B85AB0" w:rsidRPr="00116F45" w:rsidRDefault="00B85AB0" w:rsidP="00CD5FE9">
            <w:pPr>
              <w:spacing w:line="240" w:lineRule="auto"/>
              <w:jc w:val="center"/>
              <w:rPr>
                <w:rFonts w:cs="Times New Roman"/>
                <w:szCs w:val="24"/>
                <w:lang w:val="en-US"/>
              </w:rPr>
            </w:pPr>
            <w:proofErr w:type="spellStart"/>
            <w:r w:rsidRPr="00116F45">
              <w:rPr>
                <w:rFonts w:cs="Times New Roman"/>
                <w:szCs w:val="24"/>
                <w:lang w:val="en-US"/>
              </w:rPr>
              <w:t>Saturated</w:t>
            </w:r>
            <w:r w:rsidRPr="00116F45">
              <w:rPr>
                <w:rFonts w:cs="Times New Roman"/>
                <w:szCs w:val="24"/>
                <w:vertAlign w:val="superscript"/>
                <w:lang w:val="en-US"/>
              </w:rPr>
              <w:t>d</w:t>
            </w:r>
            <w:proofErr w:type="spellEnd"/>
          </w:p>
        </w:tc>
      </w:tr>
      <w:tr w:rsidR="00116F45" w:rsidRPr="00116F45" w14:paraId="60B7C81B" w14:textId="77777777" w:rsidTr="00CD5FE9">
        <w:trPr>
          <w:trHeight w:val="20"/>
        </w:trPr>
        <w:tc>
          <w:tcPr>
            <w:tcW w:w="1209" w:type="dxa"/>
            <w:tcBorders>
              <w:top w:val="nil"/>
              <w:left w:val="nil"/>
              <w:bottom w:val="nil"/>
              <w:right w:val="nil"/>
            </w:tcBorders>
            <w:shd w:val="clear" w:color="auto" w:fill="auto"/>
            <w:tcMar>
              <w:top w:w="72" w:type="dxa"/>
              <w:left w:w="144" w:type="dxa"/>
              <w:bottom w:w="72" w:type="dxa"/>
              <w:right w:w="144" w:type="dxa"/>
            </w:tcMar>
            <w:vAlign w:val="center"/>
            <w:hideMark/>
          </w:tcPr>
          <w:p w14:paraId="20805CBA"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A</w:t>
            </w:r>
          </w:p>
        </w:tc>
        <w:tc>
          <w:tcPr>
            <w:tcW w:w="4178" w:type="dxa"/>
            <w:tcBorders>
              <w:top w:val="nil"/>
              <w:left w:val="nil"/>
              <w:bottom w:val="nil"/>
              <w:right w:val="nil"/>
            </w:tcBorders>
            <w:shd w:val="clear" w:color="auto" w:fill="auto"/>
            <w:tcMar>
              <w:top w:w="72" w:type="dxa"/>
              <w:left w:w="144" w:type="dxa"/>
              <w:bottom w:w="72" w:type="dxa"/>
              <w:right w:w="144" w:type="dxa"/>
            </w:tcMar>
            <w:vAlign w:val="center"/>
            <w:hideMark/>
          </w:tcPr>
          <w:p w14:paraId="77720E4A" w14:textId="77777777" w:rsidR="00B85AB0" w:rsidRPr="00116F45" w:rsidRDefault="00B85AB0" w:rsidP="00CD5FE9">
            <w:pPr>
              <w:spacing w:line="240" w:lineRule="auto"/>
              <w:rPr>
                <w:rFonts w:cs="Times New Roman"/>
                <w:szCs w:val="24"/>
                <w:lang w:val="en-US"/>
              </w:rPr>
            </w:pPr>
            <w:r w:rsidRPr="00116F45">
              <w:rPr>
                <w:rFonts w:cs="Times New Roman"/>
                <w:szCs w:val="24"/>
                <w:lang w:val="en-US"/>
              </w:rPr>
              <w:t>Vegetables, weekly servings</w:t>
            </w:r>
          </w:p>
        </w:tc>
        <w:tc>
          <w:tcPr>
            <w:tcW w:w="2055" w:type="dxa"/>
            <w:tcBorders>
              <w:top w:val="nil"/>
              <w:left w:val="nil"/>
              <w:bottom w:val="nil"/>
              <w:right w:val="nil"/>
            </w:tcBorders>
            <w:shd w:val="clear" w:color="auto" w:fill="auto"/>
            <w:tcMar>
              <w:top w:w="72" w:type="dxa"/>
              <w:left w:w="144" w:type="dxa"/>
              <w:bottom w:w="72" w:type="dxa"/>
              <w:right w:w="144" w:type="dxa"/>
            </w:tcMar>
            <w:vAlign w:val="center"/>
            <w:hideMark/>
          </w:tcPr>
          <w:p w14:paraId="6D9B36B6"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&gt;</w:t>
            </w:r>
            <w:r w:rsidRPr="00116F45">
              <w:rPr>
                <w:rFonts w:cs="Times New Roman"/>
                <w:szCs w:val="24"/>
                <w:lang w:val="en-US"/>
              </w:rPr>
              <w:t>3</w:t>
            </w:r>
          </w:p>
        </w:tc>
        <w:tc>
          <w:tcPr>
            <w:tcW w:w="2056" w:type="dxa"/>
            <w:tcBorders>
              <w:top w:val="nil"/>
              <w:left w:val="nil"/>
              <w:bottom w:val="nil"/>
              <w:right w:val="nil"/>
            </w:tcBorders>
            <w:shd w:val="clear" w:color="auto" w:fill="auto"/>
            <w:tcMar>
              <w:top w:w="72" w:type="dxa"/>
              <w:left w:w="144" w:type="dxa"/>
              <w:bottom w:w="72" w:type="dxa"/>
              <w:right w:w="144" w:type="dxa"/>
            </w:tcMar>
            <w:vAlign w:val="center"/>
            <w:hideMark/>
          </w:tcPr>
          <w:p w14:paraId="768ED615"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&lt;</w:t>
            </w:r>
            <w:r w:rsidRPr="00116F45">
              <w:rPr>
                <w:rFonts w:cs="Times New Roman"/>
                <w:szCs w:val="24"/>
                <w:lang w:val="en-US"/>
              </w:rPr>
              <w:t>2</w:t>
            </w:r>
          </w:p>
        </w:tc>
      </w:tr>
      <w:tr w:rsidR="00116F45" w:rsidRPr="00116F45" w14:paraId="4584712F" w14:textId="77777777" w:rsidTr="00CD5FE9">
        <w:trPr>
          <w:trHeight w:val="20"/>
        </w:trPr>
        <w:tc>
          <w:tcPr>
            <w:tcW w:w="1209" w:type="dxa"/>
            <w:tcBorders>
              <w:top w:val="nil"/>
              <w:left w:val="nil"/>
              <w:bottom w:val="nil"/>
              <w:right w:val="nil"/>
            </w:tcBorders>
            <w:shd w:val="clear" w:color="auto" w:fill="auto"/>
            <w:tcMar>
              <w:top w:w="72" w:type="dxa"/>
              <w:left w:w="144" w:type="dxa"/>
              <w:bottom w:w="72" w:type="dxa"/>
              <w:right w:w="144" w:type="dxa"/>
            </w:tcMar>
            <w:vAlign w:val="center"/>
            <w:hideMark/>
          </w:tcPr>
          <w:p w14:paraId="0584A3FB"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A</w:t>
            </w:r>
          </w:p>
        </w:tc>
        <w:tc>
          <w:tcPr>
            <w:tcW w:w="4178" w:type="dxa"/>
            <w:tcBorders>
              <w:top w:val="nil"/>
              <w:left w:val="nil"/>
              <w:bottom w:val="nil"/>
              <w:right w:val="nil"/>
            </w:tcBorders>
            <w:shd w:val="clear" w:color="auto" w:fill="auto"/>
            <w:tcMar>
              <w:top w:w="72" w:type="dxa"/>
              <w:left w:w="144" w:type="dxa"/>
              <w:bottom w:w="72" w:type="dxa"/>
              <w:right w:w="144" w:type="dxa"/>
            </w:tcMar>
            <w:vAlign w:val="center"/>
            <w:hideMark/>
          </w:tcPr>
          <w:p w14:paraId="4C938470" w14:textId="77777777" w:rsidR="00B85AB0" w:rsidRPr="00116F45" w:rsidRDefault="00B85AB0" w:rsidP="00CD5FE9">
            <w:pPr>
              <w:spacing w:line="240" w:lineRule="auto"/>
              <w:rPr>
                <w:rFonts w:cs="Times New Roman"/>
                <w:szCs w:val="24"/>
                <w:lang w:val="en-US"/>
              </w:rPr>
            </w:pPr>
            <w:r w:rsidRPr="00116F45">
              <w:rPr>
                <w:rFonts w:cs="Times New Roman"/>
                <w:szCs w:val="24"/>
                <w:lang w:val="en-US"/>
              </w:rPr>
              <w:t>Fruit, weekly servings</w:t>
            </w:r>
          </w:p>
        </w:tc>
        <w:tc>
          <w:tcPr>
            <w:tcW w:w="2055" w:type="dxa"/>
            <w:tcBorders>
              <w:top w:val="nil"/>
              <w:left w:val="nil"/>
              <w:bottom w:val="nil"/>
              <w:right w:val="nil"/>
            </w:tcBorders>
            <w:shd w:val="clear" w:color="auto" w:fill="auto"/>
            <w:tcMar>
              <w:top w:w="72" w:type="dxa"/>
              <w:left w:w="144" w:type="dxa"/>
              <w:bottom w:w="72" w:type="dxa"/>
              <w:right w:w="144" w:type="dxa"/>
            </w:tcMar>
            <w:vAlign w:val="center"/>
            <w:hideMark/>
          </w:tcPr>
          <w:p w14:paraId="524C95A0"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&gt;</w:t>
            </w:r>
            <w:r w:rsidRPr="00116F45">
              <w:rPr>
                <w:rFonts w:cs="Times New Roman"/>
                <w:szCs w:val="24"/>
                <w:lang w:val="en-US"/>
              </w:rPr>
              <w:t>3</w:t>
            </w:r>
          </w:p>
        </w:tc>
        <w:tc>
          <w:tcPr>
            <w:tcW w:w="2056" w:type="dxa"/>
            <w:tcBorders>
              <w:top w:val="nil"/>
              <w:left w:val="nil"/>
              <w:bottom w:val="nil"/>
              <w:right w:val="nil"/>
            </w:tcBorders>
            <w:shd w:val="clear" w:color="auto" w:fill="auto"/>
            <w:tcMar>
              <w:top w:w="72" w:type="dxa"/>
              <w:left w:w="144" w:type="dxa"/>
              <w:bottom w:w="72" w:type="dxa"/>
              <w:right w:w="144" w:type="dxa"/>
            </w:tcMar>
            <w:vAlign w:val="center"/>
            <w:hideMark/>
          </w:tcPr>
          <w:p w14:paraId="5F150C44"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&lt;</w:t>
            </w:r>
            <w:r w:rsidRPr="00116F45">
              <w:rPr>
                <w:rFonts w:cs="Times New Roman"/>
                <w:szCs w:val="24"/>
                <w:lang w:val="en-US"/>
              </w:rPr>
              <w:t>2</w:t>
            </w:r>
          </w:p>
        </w:tc>
      </w:tr>
      <w:tr w:rsidR="00116F45" w:rsidRPr="00116F45" w14:paraId="1A70147B" w14:textId="77777777" w:rsidTr="00CD5FE9">
        <w:trPr>
          <w:trHeight w:val="20"/>
        </w:trPr>
        <w:tc>
          <w:tcPr>
            <w:tcW w:w="1209" w:type="dxa"/>
            <w:tcBorders>
              <w:top w:val="nil"/>
              <w:left w:val="nil"/>
              <w:bottom w:val="nil"/>
              <w:right w:val="nil"/>
            </w:tcBorders>
            <w:shd w:val="clear" w:color="auto" w:fill="auto"/>
            <w:tcMar>
              <w:top w:w="72" w:type="dxa"/>
              <w:left w:w="144" w:type="dxa"/>
              <w:bottom w:w="72" w:type="dxa"/>
              <w:right w:w="144" w:type="dxa"/>
            </w:tcMar>
            <w:vAlign w:val="center"/>
            <w:hideMark/>
          </w:tcPr>
          <w:p w14:paraId="04F6E1CF"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B</w:t>
            </w:r>
          </w:p>
        </w:tc>
        <w:tc>
          <w:tcPr>
            <w:tcW w:w="4178" w:type="dxa"/>
            <w:tcBorders>
              <w:top w:val="nil"/>
              <w:left w:val="nil"/>
              <w:bottom w:val="nil"/>
              <w:right w:val="nil"/>
            </w:tcBorders>
            <w:shd w:val="clear" w:color="auto" w:fill="auto"/>
            <w:tcMar>
              <w:top w:w="72" w:type="dxa"/>
              <w:left w:w="144" w:type="dxa"/>
              <w:bottom w:w="72" w:type="dxa"/>
              <w:right w:w="144" w:type="dxa"/>
            </w:tcMar>
            <w:vAlign w:val="center"/>
            <w:hideMark/>
          </w:tcPr>
          <w:p w14:paraId="0E416B7D" w14:textId="77777777" w:rsidR="00B85AB0" w:rsidRPr="00116F45" w:rsidRDefault="00B85AB0" w:rsidP="00CD5FE9">
            <w:pPr>
              <w:spacing w:line="240" w:lineRule="auto"/>
              <w:rPr>
                <w:rFonts w:cs="Times New Roman"/>
                <w:szCs w:val="24"/>
                <w:lang w:val="en-US"/>
              </w:rPr>
            </w:pPr>
            <w:r w:rsidRPr="00116F45">
              <w:rPr>
                <w:rFonts w:cs="Times New Roman"/>
                <w:szCs w:val="24"/>
                <w:lang w:val="en-US"/>
              </w:rPr>
              <w:t>Fish, weekly servings</w:t>
            </w:r>
          </w:p>
        </w:tc>
        <w:tc>
          <w:tcPr>
            <w:tcW w:w="2055" w:type="dxa"/>
            <w:tcBorders>
              <w:top w:val="nil"/>
              <w:left w:val="nil"/>
              <w:bottom w:val="nil"/>
              <w:right w:val="nil"/>
            </w:tcBorders>
            <w:shd w:val="clear" w:color="auto" w:fill="auto"/>
            <w:tcMar>
              <w:top w:w="72" w:type="dxa"/>
              <w:left w:w="144" w:type="dxa"/>
              <w:bottom w:w="72" w:type="dxa"/>
              <w:right w:w="144" w:type="dxa"/>
            </w:tcMar>
            <w:vAlign w:val="center"/>
            <w:hideMark/>
          </w:tcPr>
          <w:p w14:paraId="7EC5511B"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&gt;</w:t>
            </w:r>
            <w:r w:rsidRPr="00116F45">
              <w:rPr>
                <w:rFonts w:cs="Times New Roman"/>
                <w:szCs w:val="24"/>
                <w:lang w:val="en-US"/>
              </w:rPr>
              <w:t>3</w:t>
            </w:r>
          </w:p>
        </w:tc>
        <w:tc>
          <w:tcPr>
            <w:tcW w:w="2056" w:type="dxa"/>
            <w:tcBorders>
              <w:top w:val="nil"/>
              <w:left w:val="nil"/>
              <w:bottom w:val="nil"/>
              <w:right w:val="nil"/>
            </w:tcBorders>
            <w:shd w:val="clear" w:color="auto" w:fill="auto"/>
            <w:tcMar>
              <w:top w:w="72" w:type="dxa"/>
              <w:left w:w="144" w:type="dxa"/>
              <w:bottom w:w="72" w:type="dxa"/>
              <w:right w:w="144" w:type="dxa"/>
            </w:tcMar>
            <w:vAlign w:val="center"/>
            <w:hideMark/>
          </w:tcPr>
          <w:p w14:paraId="72C56993"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&lt;</w:t>
            </w:r>
            <w:r w:rsidRPr="00116F45">
              <w:rPr>
                <w:rFonts w:cs="Times New Roman"/>
                <w:szCs w:val="24"/>
                <w:lang w:val="en-US"/>
              </w:rPr>
              <w:t>1</w:t>
            </w:r>
          </w:p>
        </w:tc>
      </w:tr>
      <w:tr w:rsidR="00116F45" w:rsidRPr="00116F45" w14:paraId="5A51DAFF" w14:textId="77777777" w:rsidTr="00CD5FE9">
        <w:trPr>
          <w:trHeight w:val="20"/>
        </w:trPr>
        <w:tc>
          <w:tcPr>
            <w:tcW w:w="1209" w:type="dxa"/>
            <w:tcBorders>
              <w:top w:val="nil"/>
              <w:left w:val="nil"/>
              <w:bottom w:val="nil"/>
              <w:right w:val="nil"/>
            </w:tcBorders>
            <w:shd w:val="clear" w:color="auto" w:fill="auto"/>
            <w:tcMar>
              <w:top w:w="72" w:type="dxa"/>
              <w:left w:w="144" w:type="dxa"/>
              <w:bottom w:w="72" w:type="dxa"/>
              <w:right w:w="144" w:type="dxa"/>
            </w:tcMar>
            <w:vAlign w:val="center"/>
            <w:hideMark/>
          </w:tcPr>
          <w:p w14:paraId="58CE71B2"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B</w:t>
            </w:r>
          </w:p>
        </w:tc>
        <w:tc>
          <w:tcPr>
            <w:tcW w:w="4178" w:type="dxa"/>
            <w:tcBorders>
              <w:top w:val="nil"/>
              <w:left w:val="nil"/>
              <w:bottom w:val="nil"/>
              <w:right w:val="nil"/>
            </w:tcBorders>
            <w:shd w:val="clear" w:color="auto" w:fill="auto"/>
            <w:tcMar>
              <w:top w:w="72" w:type="dxa"/>
              <w:left w:w="144" w:type="dxa"/>
              <w:bottom w:w="72" w:type="dxa"/>
              <w:right w:w="144" w:type="dxa"/>
            </w:tcMar>
            <w:vAlign w:val="center"/>
            <w:hideMark/>
          </w:tcPr>
          <w:p w14:paraId="02ECB0A7" w14:textId="717C0032" w:rsidR="00B85AB0" w:rsidRPr="00116F45" w:rsidRDefault="00B85AB0" w:rsidP="00CD5FE9">
            <w:pPr>
              <w:spacing w:line="240" w:lineRule="auto"/>
              <w:rPr>
                <w:rFonts w:cs="Times New Roman"/>
                <w:szCs w:val="24"/>
                <w:lang w:val="en-US"/>
              </w:rPr>
            </w:pPr>
            <w:r w:rsidRPr="00116F45">
              <w:rPr>
                <w:rFonts w:cs="Times New Roman"/>
                <w:szCs w:val="24"/>
                <w:lang w:val="en-US"/>
              </w:rPr>
              <w:t xml:space="preserve">Sugar-sweetened beverages, </w:t>
            </w:r>
            <w:r w:rsidR="0003739B" w:rsidRPr="00116F45">
              <w:rPr>
                <w:rFonts w:cs="Times New Roman"/>
                <w:szCs w:val="24"/>
                <w:lang w:val="en-US"/>
              </w:rPr>
              <w:t>L</w:t>
            </w:r>
            <w:r w:rsidRPr="00116F45">
              <w:rPr>
                <w:rFonts w:cs="Times New Roman"/>
                <w:szCs w:val="24"/>
                <w:lang w:val="en-US"/>
              </w:rPr>
              <w:t>/week</w:t>
            </w:r>
          </w:p>
        </w:tc>
        <w:tc>
          <w:tcPr>
            <w:tcW w:w="2055" w:type="dxa"/>
            <w:tcBorders>
              <w:top w:val="nil"/>
              <w:left w:val="nil"/>
              <w:bottom w:val="nil"/>
              <w:right w:val="nil"/>
            </w:tcBorders>
            <w:shd w:val="clear" w:color="auto" w:fill="auto"/>
            <w:tcMar>
              <w:top w:w="72" w:type="dxa"/>
              <w:left w:w="144" w:type="dxa"/>
              <w:bottom w:w="72" w:type="dxa"/>
              <w:right w:w="144" w:type="dxa"/>
            </w:tcMar>
            <w:vAlign w:val="center"/>
            <w:hideMark/>
          </w:tcPr>
          <w:p w14:paraId="4D41BB3A" w14:textId="0F8D92A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&lt;0</w:t>
            </w:r>
            <w:r w:rsidR="002521F2" w:rsidRPr="00116F45">
              <w:rPr>
                <w:rFonts w:cs="Times New Roman"/>
                <w:szCs w:val="24"/>
                <w:lang w:val="en-US"/>
              </w:rPr>
              <w:t>.</w:t>
            </w:r>
            <w:r w:rsidRPr="00116F45">
              <w:rPr>
                <w:rFonts w:cs="Times New Roman"/>
                <w:szCs w:val="24"/>
                <w:lang w:val="en-US"/>
              </w:rPr>
              <w:t>5</w:t>
            </w:r>
          </w:p>
        </w:tc>
        <w:tc>
          <w:tcPr>
            <w:tcW w:w="2056" w:type="dxa"/>
            <w:tcBorders>
              <w:top w:val="nil"/>
              <w:left w:val="nil"/>
              <w:bottom w:val="nil"/>
              <w:right w:val="nil"/>
            </w:tcBorders>
            <w:shd w:val="clear" w:color="auto" w:fill="auto"/>
            <w:tcMar>
              <w:top w:w="72" w:type="dxa"/>
              <w:left w:w="144" w:type="dxa"/>
              <w:bottom w:w="72" w:type="dxa"/>
              <w:right w:w="144" w:type="dxa"/>
            </w:tcMar>
            <w:vAlign w:val="center"/>
            <w:hideMark/>
          </w:tcPr>
          <w:p w14:paraId="6DB881A0"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&gt;</w:t>
            </w:r>
            <w:r w:rsidRPr="00116F45">
              <w:rPr>
                <w:rFonts w:cs="Times New Roman"/>
                <w:szCs w:val="24"/>
                <w:lang w:val="en-US"/>
              </w:rPr>
              <w:t>1</w:t>
            </w:r>
          </w:p>
        </w:tc>
      </w:tr>
      <w:tr w:rsidR="00116F45" w:rsidRPr="00116F45" w14:paraId="1FECCC30" w14:textId="77777777" w:rsidTr="00CD5FE9">
        <w:trPr>
          <w:trHeight w:val="20"/>
        </w:trPr>
        <w:tc>
          <w:tcPr>
            <w:tcW w:w="1209" w:type="dxa"/>
            <w:tcBorders>
              <w:top w:val="nil"/>
              <w:left w:val="nil"/>
              <w:bottom w:val="nil"/>
              <w:right w:val="nil"/>
            </w:tcBorders>
            <w:shd w:val="clear" w:color="auto" w:fill="auto"/>
            <w:tcMar>
              <w:top w:w="72" w:type="dxa"/>
              <w:left w:w="144" w:type="dxa"/>
              <w:bottom w:w="72" w:type="dxa"/>
              <w:right w:w="144" w:type="dxa"/>
            </w:tcMar>
            <w:vAlign w:val="center"/>
            <w:hideMark/>
          </w:tcPr>
          <w:p w14:paraId="114B5CDB"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C</w:t>
            </w:r>
          </w:p>
        </w:tc>
        <w:tc>
          <w:tcPr>
            <w:tcW w:w="4178" w:type="dxa"/>
            <w:tcBorders>
              <w:top w:val="nil"/>
              <w:left w:val="nil"/>
              <w:bottom w:val="nil"/>
              <w:right w:val="nil"/>
            </w:tcBorders>
            <w:shd w:val="clear" w:color="auto" w:fill="auto"/>
            <w:tcMar>
              <w:top w:w="72" w:type="dxa"/>
              <w:left w:w="144" w:type="dxa"/>
              <w:bottom w:w="72" w:type="dxa"/>
              <w:right w:w="144" w:type="dxa"/>
            </w:tcMar>
            <w:vAlign w:val="center"/>
            <w:hideMark/>
          </w:tcPr>
          <w:p w14:paraId="1335E679" w14:textId="77777777" w:rsidR="00B85AB0" w:rsidRPr="00116F45" w:rsidRDefault="00B85AB0" w:rsidP="00CD5FE9">
            <w:pPr>
              <w:spacing w:line="240" w:lineRule="auto"/>
              <w:rPr>
                <w:rFonts w:cs="Times New Roman"/>
                <w:szCs w:val="24"/>
                <w:lang w:val="en-US"/>
              </w:rPr>
            </w:pPr>
            <w:r w:rsidRPr="00116F45">
              <w:rPr>
                <w:rFonts w:cs="Times New Roman"/>
                <w:szCs w:val="24"/>
                <w:lang w:val="en-US"/>
              </w:rPr>
              <w:t xml:space="preserve">Cold meat </w:t>
            </w:r>
            <w:proofErr w:type="spellStart"/>
            <w:proofErr w:type="gramStart"/>
            <w:r w:rsidRPr="00116F45">
              <w:rPr>
                <w:rFonts w:cs="Times New Roman"/>
                <w:szCs w:val="24"/>
                <w:lang w:val="en-US"/>
              </w:rPr>
              <w:t>cuts,</w:t>
            </w:r>
            <w:r w:rsidRPr="00116F45">
              <w:rPr>
                <w:rFonts w:cs="Times New Roman"/>
                <w:szCs w:val="24"/>
                <w:vertAlign w:val="superscript"/>
                <w:lang w:val="en-US"/>
              </w:rPr>
              <w:t>e</w:t>
            </w:r>
            <w:proofErr w:type="spellEnd"/>
            <w:proofErr w:type="gramEnd"/>
            <w:r w:rsidRPr="00116F45">
              <w:rPr>
                <w:rFonts w:cs="Times New Roman"/>
                <w:szCs w:val="24"/>
                <w:lang w:val="en-US"/>
              </w:rPr>
              <w:t xml:space="preserve"> weekly servings</w:t>
            </w:r>
          </w:p>
        </w:tc>
        <w:tc>
          <w:tcPr>
            <w:tcW w:w="2055" w:type="dxa"/>
            <w:tcBorders>
              <w:top w:val="nil"/>
              <w:left w:val="nil"/>
              <w:bottom w:val="nil"/>
              <w:right w:val="nil"/>
            </w:tcBorders>
            <w:shd w:val="clear" w:color="auto" w:fill="auto"/>
            <w:tcMar>
              <w:top w:w="72" w:type="dxa"/>
              <w:left w:w="144" w:type="dxa"/>
              <w:bottom w:w="72" w:type="dxa"/>
              <w:right w:w="144" w:type="dxa"/>
            </w:tcMar>
            <w:vAlign w:val="center"/>
            <w:hideMark/>
          </w:tcPr>
          <w:p w14:paraId="15D76A2E"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&lt;5</w:t>
            </w:r>
          </w:p>
        </w:tc>
        <w:tc>
          <w:tcPr>
            <w:tcW w:w="2056" w:type="dxa"/>
            <w:tcBorders>
              <w:top w:val="nil"/>
              <w:left w:val="nil"/>
              <w:bottom w:val="nil"/>
              <w:right w:val="nil"/>
            </w:tcBorders>
            <w:shd w:val="clear" w:color="auto" w:fill="auto"/>
            <w:tcMar>
              <w:top w:w="72" w:type="dxa"/>
              <w:left w:w="144" w:type="dxa"/>
              <w:bottom w:w="72" w:type="dxa"/>
              <w:right w:w="144" w:type="dxa"/>
            </w:tcMar>
            <w:vAlign w:val="center"/>
            <w:hideMark/>
          </w:tcPr>
          <w:p w14:paraId="04111F5C"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&gt;</w:t>
            </w:r>
            <w:r w:rsidRPr="00116F45">
              <w:rPr>
                <w:rFonts w:cs="Times New Roman"/>
                <w:szCs w:val="24"/>
                <w:lang w:val="en-US"/>
              </w:rPr>
              <w:t>7</w:t>
            </w:r>
          </w:p>
        </w:tc>
      </w:tr>
      <w:tr w:rsidR="00116F45" w:rsidRPr="00116F45" w14:paraId="7E4D6F4D" w14:textId="77777777" w:rsidTr="00CD5FE9">
        <w:trPr>
          <w:trHeight w:val="20"/>
        </w:trPr>
        <w:tc>
          <w:tcPr>
            <w:tcW w:w="1209"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A621704"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C</w:t>
            </w:r>
          </w:p>
        </w:tc>
        <w:tc>
          <w:tcPr>
            <w:tcW w:w="417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019DC88" w14:textId="77777777" w:rsidR="00B85AB0" w:rsidRPr="00116F45" w:rsidRDefault="00B85AB0" w:rsidP="00CD5FE9">
            <w:pPr>
              <w:spacing w:line="240" w:lineRule="auto"/>
              <w:rPr>
                <w:rFonts w:cs="Times New Roman"/>
                <w:szCs w:val="24"/>
                <w:lang w:val="en-US"/>
              </w:rPr>
            </w:pPr>
            <w:r w:rsidRPr="00116F45">
              <w:rPr>
                <w:rFonts w:cs="Times New Roman"/>
                <w:szCs w:val="24"/>
                <w:lang w:val="en-US"/>
              </w:rPr>
              <w:t xml:space="preserve">Fast </w:t>
            </w:r>
            <w:proofErr w:type="spellStart"/>
            <w:proofErr w:type="gramStart"/>
            <w:r w:rsidRPr="00116F45">
              <w:rPr>
                <w:rFonts w:cs="Times New Roman"/>
                <w:szCs w:val="24"/>
                <w:lang w:val="en-US"/>
              </w:rPr>
              <w:t>food,</w:t>
            </w:r>
            <w:r w:rsidRPr="00116F45">
              <w:rPr>
                <w:rFonts w:cs="Times New Roman"/>
                <w:szCs w:val="24"/>
                <w:vertAlign w:val="superscript"/>
                <w:lang w:val="en-US"/>
              </w:rPr>
              <w:t>f</w:t>
            </w:r>
            <w:proofErr w:type="spellEnd"/>
            <w:proofErr w:type="gramEnd"/>
            <w:r w:rsidRPr="00116F45">
              <w:rPr>
                <w:rFonts w:cs="Times New Roman"/>
                <w:szCs w:val="24"/>
                <w:lang w:val="en-US"/>
              </w:rPr>
              <w:t xml:space="preserve"> weekly servings</w:t>
            </w:r>
          </w:p>
        </w:tc>
        <w:tc>
          <w:tcPr>
            <w:tcW w:w="205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B2E0C58" w14:textId="77777777" w:rsidR="00B85AB0" w:rsidRPr="00116F45" w:rsidRDefault="00B85AB0" w:rsidP="00CD5FE9">
            <w:pPr>
              <w:spacing w:line="240" w:lineRule="auto"/>
              <w:jc w:val="center"/>
              <w:rPr>
                <w:rFonts w:cs="Times New Roman"/>
                <w:szCs w:val="24"/>
                <w:lang w:val="en-US"/>
              </w:rPr>
            </w:pPr>
            <w:r w:rsidRPr="00116F45">
              <w:rPr>
                <w:rFonts w:cs="Times New Roman"/>
                <w:szCs w:val="24"/>
                <w:lang w:val="en-US"/>
              </w:rPr>
              <w:t>&lt;1</w:t>
            </w:r>
          </w:p>
        </w:tc>
        <w:tc>
          <w:tcPr>
            <w:tcW w:w="205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09C7BFD" w14:textId="77777777" w:rsidR="00B85AB0" w:rsidRPr="00116F45" w:rsidRDefault="00B85AB0" w:rsidP="00CD5FE9">
            <w:pPr>
              <w:spacing w:line="240" w:lineRule="auto"/>
              <w:jc w:val="center"/>
              <w:rPr>
                <w:rFonts w:cs="Times New Roman"/>
                <w:szCs w:val="24"/>
                <w:lang w:val="en-US"/>
              </w:rPr>
            </w:pPr>
            <w:r w:rsidRPr="00116F45">
              <w:rPr>
                <w:rFonts w:cs="Times New Roman"/>
                <w:szCs w:val="24"/>
                <w:u w:val="single"/>
                <w:lang w:val="en-US"/>
              </w:rPr>
              <w:t>&gt;1</w:t>
            </w:r>
          </w:p>
        </w:tc>
      </w:tr>
    </w:tbl>
    <w:p w14:paraId="7BB3C75E" w14:textId="77777777" w:rsidR="00B85AB0" w:rsidRPr="00116F45" w:rsidRDefault="00B85AB0" w:rsidP="00604F94">
      <w:pPr>
        <w:spacing w:line="276" w:lineRule="auto"/>
        <w:rPr>
          <w:rFonts w:cs="Times New Roman"/>
          <w:sz w:val="20"/>
          <w:szCs w:val="20"/>
          <w:lang w:val="en-US"/>
        </w:rPr>
      </w:pPr>
      <w:proofErr w:type="spellStart"/>
      <w:r w:rsidRPr="00116F45">
        <w:rPr>
          <w:rFonts w:cs="Times New Roman"/>
          <w:sz w:val="20"/>
          <w:szCs w:val="20"/>
          <w:vertAlign w:val="superscript"/>
          <w:lang w:val="en-US"/>
        </w:rPr>
        <w:t>a</w:t>
      </w:r>
      <w:r w:rsidRPr="00116F45">
        <w:rPr>
          <w:rFonts w:cs="Times New Roman"/>
          <w:sz w:val="20"/>
          <w:szCs w:val="20"/>
          <w:lang w:val="en-US"/>
        </w:rPr>
        <w:t>Unsaturated</w:t>
      </w:r>
      <w:proofErr w:type="spellEnd"/>
      <w:r w:rsidRPr="00116F45">
        <w:rPr>
          <w:rFonts w:cs="Times New Roman"/>
          <w:sz w:val="20"/>
          <w:szCs w:val="20"/>
          <w:lang w:val="en-US"/>
        </w:rPr>
        <w:t xml:space="preserve"> fat spreads defined as soft margarines or no use of fat spread.</w:t>
      </w:r>
    </w:p>
    <w:p w14:paraId="3AF45EA7" w14:textId="77777777" w:rsidR="00B85AB0" w:rsidRPr="00116F45" w:rsidRDefault="00B85AB0" w:rsidP="00604F94">
      <w:pPr>
        <w:spacing w:line="276" w:lineRule="auto"/>
        <w:rPr>
          <w:rFonts w:cs="Times New Roman"/>
          <w:sz w:val="20"/>
          <w:szCs w:val="20"/>
          <w:lang w:val="en-US"/>
        </w:rPr>
      </w:pPr>
      <w:proofErr w:type="spellStart"/>
      <w:r w:rsidRPr="00116F45">
        <w:rPr>
          <w:rFonts w:cs="Times New Roman"/>
          <w:sz w:val="20"/>
          <w:szCs w:val="20"/>
          <w:vertAlign w:val="superscript"/>
          <w:lang w:val="en-US"/>
        </w:rPr>
        <w:t>b</w:t>
      </w:r>
      <w:r w:rsidRPr="00116F45">
        <w:rPr>
          <w:rFonts w:cs="Times New Roman"/>
          <w:sz w:val="20"/>
          <w:szCs w:val="20"/>
          <w:lang w:val="en-US"/>
        </w:rPr>
        <w:t>Unsaturated</w:t>
      </w:r>
      <w:proofErr w:type="spellEnd"/>
      <w:r w:rsidRPr="00116F45">
        <w:rPr>
          <w:rFonts w:cs="Times New Roman"/>
          <w:sz w:val="20"/>
          <w:szCs w:val="20"/>
          <w:lang w:val="en-US"/>
        </w:rPr>
        <w:t xml:space="preserve"> fat for cooking defined as vegetable oils or no use of fat for cooking.</w:t>
      </w:r>
    </w:p>
    <w:p w14:paraId="4BE01019" w14:textId="77777777" w:rsidR="00B85AB0" w:rsidRPr="00116F45" w:rsidRDefault="00B85AB0" w:rsidP="00604F94">
      <w:pPr>
        <w:spacing w:line="276" w:lineRule="auto"/>
        <w:rPr>
          <w:rFonts w:cs="Times New Roman"/>
          <w:sz w:val="20"/>
          <w:szCs w:val="20"/>
          <w:lang w:val="en-US"/>
        </w:rPr>
      </w:pPr>
      <w:proofErr w:type="spellStart"/>
      <w:r w:rsidRPr="00116F45">
        <w:rPr>
          <w:rFonts w:cs="Times New Roman"/>
          <w:sz w:val="20"/>
          <w:szCs w:val="20"/>
          <w:vertAlign w:val="superscript"/>
          <w:lang w:val="en-US"/>
        </w:rPr>
        <w:t>c</w:t>
      </w:r>
      <w:r w:rsidRPr="00116F45">
        <w:rPr>
          <w:rFonts w:cs="Times New Roman"/>
          <w:sz w:val="20"/>
          <w:szCs w:val="20"/>
          <w:lang w:val="en-US"/>
        </w:rPr>
        <w:t>Saturated</w:t>
      </w:r>
      <w:proofErr w:type="spellEnd"/>
      <w:r w:rsidRPr="00116F45">
        <w:rPr>
          <w:rFonts w:cs="Times New Roman"/>
          <w:sz w:val="20"/>
          <w:szCs w:val="20"/>
          <w:lang w:val="en-US"/>
        </w:rPr>
        <w:t xml:space="preserve"> fat spread, </w:t>
      </w:r>
      <w:proofErr w:type="gramStart"/>
      <w:r w:rsidRPr="00116F45">
        <w:rPr>
          <w:rFonts w:cs="Times New Roman"/>
          <w:sz w:val="20"/>
          <w:szCs w:val="20"/>
          <w:lang w:val="en-US"/>
        </w:rPr>
        <w:t>i.e.</w:t>
      </w:r>
      <w:proofErr w:type="gramEnd"/>
      <w:r w:rsidRPr="00116F45">
        <w:rPr>
          <w:rFonts w:cs="Times New Roman"/>
          <w:sz w:val="20"/>
          <w:szCs w:val="20"/>
          <w:lang w:val="en-US"/>
        </w:rPr>
        <w:t xml:space="preserve"> butter, butter-based blends. </w:t>
      </w:r>
    </w:p>
    <w:p w14:paraId="6DD66A58" w14:textId="77777777" w:rsidR="00B85AB0" w:rsidRPr="00116F45" w:rsidRDefault="00B85AB0" w:rsidP="00604F94">
      <w:pPr>
        <w:spacing w:line="276" w:lineRule="auto"/>
        <w:rPr>
          <w:rFonts w:cs="Times New Roman"/>
          <w:sz w:val="20"/>
          <w:szCs w:val="20"/>
          <w:lang w:val="en-US"/>
        </w:rPr>
      </w:pPr>
      <w:proofErr w:type="spellStart"/>
      <w:r w:rsidRPr="00116F45">
        <w:rPr>
          <w:rFonts w:cs="Times New Roman"/>
          <w:sz w:val="20"/>
          <w:szCs w:val="20"/>
          <w:vertAlign w:val="superscript"/>
          <w:lang w:val="en-US"/>
        </w:rPr>
        <w:t>d</w:t>
      </w:r>
      <w:r w:rsidRPr="00116F45">
        <w:rPr>
          <w:rFonts w:cs="Times New Roman"/>
          <w:sz w:val="20"/>
          <w:szCs w:val="20"/>
          <w:lang w:val="en-US"/>
        </w:rPr>
        <w:t>Saturated</w:t>
      </w:r>
      <w:proofErr w:type="spellEnd"/>
      <w:r w:rsidRPr="00116F45">
        <w:rPr>
          <w:rFonts w:cs="Times New Roman"/>
          <w:sz w:val="20"/>
          <w:szCs w:val="20"/>
          <w:lang w:val="en-US"/>
        </w:rPr>
        <w:t xml:space="preserve"> fat for cooking, </w:t>
      </w:r>
      <w:proofErr w:type="gramStart"/>
      <w:r w:rsidRPr="00116F45">
        <w:rPr>
          <w:rFonts w:cs="Times New Roman"/>
          <w:sz w:val="20"/>
          <w:szCs w:val="20"/>
          <w:lang w:val="en-US"/>
        </w:rPr>
        <w:t>i.e.</w:t>
      </w:r>
      <w:proofErr w:type="gramEnd"/>
      <w:r w:rsidRPr="00116F45">
        <w:rPr>
          <w:rFonts w:cs="Times New Roman"/>
          <w:sz w:val="20"/>
          <w:szCs w:val="20"/>
          <w:lang w:val="en-US"/>
        </w:rPr>
        <w:t xml:space="preserve"> butter, butter-based blends or hard margarines. </w:t>
      </w:r>
    </w:p>
    <w:p w14:paraId="55BA94F3" w14:textId="77777777" w:rsidR="00B85AB0" w:rsidRPr="00116F45" w:rsidRDefault="00B85AB0" w:rsidP="00604F94">
      <w:pPr>
        <w:spacing w:line="276" w:lineRule="auto"/>
        <w:rPr>
          <w:rFonts w:cs="Times New Roman"/>
          <w:sz w:val="20"/>
          <w:szCs w:val="20"/>
          <w:lang w:val="en-US"/>
        </w:rPr>
      </w:pPr>
      <w:proofErr w:type="spellStart"/>
      <w:r w:rsidRPr="00116F45">
        <w:rPr>
          <w:rFonts w:cs="Times New Roman"/>
          <w:sz w:val="20"/>
          <w:szCs w:val="20"/>
          <w:vertAlign w:val="superscript"/>
          <w:lang w:val="en-US"/>
        </w:rPr>
        <w:t>e</w:t>
      </w:r>
      <w:r w:rsidRPr="00116F45">
        <w:rPr>
          <w:rFonts w:cs="Times New Roman"/>
          <w:sz w:val="20"/>
          <w:szCs w:val="20"/>
          <w:lang w:val="en-US"/>
        </w:rPr>
        <w:t>Cold</w:t>
      </w:r>
      <w:proofErr w:type="spellEnd"/>
      <w:r w:rsidRPr="00116F45">
        <w:rPr>
          <w:rFonts w:cs="Times New Roman"/>
          <w:sz w:val="20"/>
          <w:szCs w:val="20"/>
          <w:lang w:val="en-US"/>
        </w:rPr>
        <w:t xml:space="preserve"> meat cuts such as sausages and pâtés for open sandwiches. </w:t>
      </w:r>
    </w:p>
    <w:p w14:paraId="4DF14017" w14:textId="368CB61F" w:rsidR="00B85AB0" w:rsidRPr="00116F45" w:rsidRDefault="00B85AB0" w:rsidP="00604F94">
      <w:pPr>
        <w:spacing w:line="276" w:lineRule="auto"/>
        <w:rPr>
          <w:rFonts w:cs="Times New Roman"/>
          <w:sz w:val="20"/>
          <w:szCs w:val="20"/>
          <w:lang w:val="en-US"/>
        </w:rPr>
      </w:pPr>
      <w:proofErr w:type="spellStart"/>
      <w:r w:rsidRPr="00116F45">
        <w:rPr>
          <w:rFonts w:cs="Times New Roman"/>
          <w:sz w:val="20"/>
          <w:szCs w:val="20"/>
          <w:vertAlign w:val="superscript"/>
          <w:lang w:val="en-US"/>
        </w:rPr>
        <w:t>f</w:t>
      </w:r>
      <w:r w:rsidRPr="00116F45">
        <w:rPr>
          <w:rFonts w:cs="Times New Roman"/>
          <w:sz w:val="20"/>
          <w:szCs w:val="20"/>
          <w:lang w:val="en-US"/>
        </w:rPr>
        <w:t>Fast</w:t>
      </w:r>
      <w:proofErr w:type="spellEnd"/>
      <w:r w:rsidRPr="00116F45">
        <w:rPr>
          <w:rFonts w:cs="Times New Roman"/>
          <w:sz w:val="20"/>
          <w:szCs w:val="20"/>
          <w:lang w:val="en-US"/>
        </w:rPr>
        <w:t xml:space="preserve"> food including food purchased at hot dog stands, grills, shawarma restaurants, burger chains and take away pizza. </w:t>
      </w:r>
    </w:p>
    <w:p w14:paraId="6BEFF4F1" w14:textId="77777777" w:rsidR="00B85AB0" w:rsidRPr="00116F45" w:rsidRDefault="00B85AB0" w:rsidP="00604F94">
      <w:pPr>
        <w:spacing w:line="276" w:lineRule="auto"/>
        <w:rPr>
          <w:rFonts w:eastAsiaTheme="majorEastAsia" w:cstheme="majorBidi"/>
          <w:b/>
          <w:sz w:val="20"/>
          <w:szCs w:val="20"/>
          <w:lang w:val="en-US"/>
        </w:rPr>
      </w:pPr>
      <w:r w:rsidRPr="00116F45">
        <w:rPr>
          <w:sz w:val="20"/>
          <w:szCs w:val="20"/>
          <w:lang w:val="en-US"/>
        </w:rPr>
        <w:br w:type="page"/>
      </w:r>
    </w:p>
    <w:p w14:paraId="3075542D" w14:textId="53EA0C4D" w:rsidR="006E1936" w:rsidRPr="00116F45" w:rsidRDefault="006E1936" w:rsidP="00E5295E">
      <w:pPr>
        <w:pStyle w:val="Heading2"/>
        <w:rPr>
          <w:lang w:val="en-GB"/>
        </w:rPr>
      </w:pPr>
      <w:bookmarkStart w:id="17" w:name="_Toc94775827"/>
      <w:bookmarkStart w:id="18" w:name="_Toc100601069"/>
      <w:bookmarkStart w:id="19" w:name="_Toc110945227"/>
      <w:r w:rsidRPr="00116F45">
        <w:rPr>
          <w:lang w:val="en-GB"/>
        </w:rPr>
        <w:lastRenderedPageBreak/>
        <w:t xml:space="preserve">Supplementary Table </w:t>
      </w:r>
      <w:r w:rsidR="00A10FE4" w:rsidRPr="00116F45">
        <w:rPr>
          <w:lang w:val="en-GB"/>
        </w:rPr>
        <w:t>4</w:t>
      </w:r>
      <w:r w:rsidRPr="00116F45">
        <w:rPr>
          <w:lang w:val="en-GB"/>
        </w:rPr>
        <w:t>. Number of individuals with missing and imputed covariates in the Copenhagen General Population Study.</w:t>
      </w:r>
      <w:bookmarkEnd w:id="17"/>
      <w:bookmarkEnd w:id="18"/>
      <w:bookmarkEnd w:id="19"/>
      <w:r w:rsidRPr="00116F45">
        <w:rPr>
          <w:lang w:val="en-GB"/>
        </w:rPr>
        <w:t xml:space="preserve"> </w:t>
      </w:r>
    </w:p>
    <w:p w14:paraId="12235DF4" w14:textId="77777777" w:rsidR="00DB74F8" w:rsidRPr="00116F45" w:rsidRDefault="00DB74F8" w:rsidP="006E1936">
      <w:pPr>
        <w:rPr>
          <w:rFonts w:cs="Times New Roman"/>
          <w:b/>
          <w:lang w:val="en-GB"/>
        </w:rPr>
      </w:pPr>
    </w:p>
    <w:p w14:paraId="62FC2A61" w14:textId="7EF2AAEB" w:rsidR="006E1936" w:rsidRPr="00116F45" w:rsidRDefault="006E1936" w:rsidP="006E1936">
      <w:pPr>
        <w:rPr>
          <w:rFonts w:cs="Times New Roman"/>
          <w:b/>
          <w:lang w:val="en-GB"/>
        </w:rPr>
      </w:pPr>
    </w:p>
    <w:tbl>
      <w:tblPr>
        <w:tblpPr w:leftFromText="141" w:rightFromText="141" w:bottomFromText="160" w:vertAnchor="page" w:horzAnchor="margin" w:tblpXSpec="center" w:tblpY="2656"/>
        <w:tblW w:w="0" w:type="auto"/>
        <w:tblLayout w:type="fixed"/>
        <w:tblCellMar>
          <w:left w:w="30" w:type="dxa"/>
          <w:right w:w="30" w:type="dxa"/>
        </w:tblCellMar>
        <w:tblLook w:val="04A0" w:firstRow="1" w:lastRow="0" w:firstColumn="1" w:lastColumn="0" w:noHBand="0" w:noVBand="1"/>
      </w:tblPr>
      <w:tblGrid>
        <w:gridCol w:w="3261"/>
        <w:gridCol w:w="1276"/>
        <w:gridCol w:w="1133"/>
        <w:gridCol w:w="1134"/>
        <w:gridCol w:w="1134"/>
      </w:tblGrid>
      <w:tr w:rsidR="00116F45" w:rsidRPr="00116F45" w14:paraId="601948EF" w14:textId="77777777" w:rsidTr="00D92E46">
        <w:trPr>
          <w:trHeight w:val="290"/>
        </w:trPr>
        <w:tc>
          <w:tcPr>
            <w:tcW w:w="3261" w:type="dxa"/>
            <w:tcBorders>
              <w:top w:val="single" w:sz="6" w:space="0" w:color="auto"/>
              <w:left w:val="nil"/>
              <w:bottom w:val="single" w:sz="6" w:space="0" w:color="auto"/>
              <w:right w:val="nil"/>
            </w:tcBorders>
            <w:hideMark/>
          </w:tcPr>
          <w:p w14:paraId="0B42F7F7" w14:textId="77777777" w:rsidR="006E1936" w:rsidRPr="00116F45" w:rsidRDefault="006E1936" w:rsidP="00D92E46">
            <w:pPr>
              <w:pStyle w:val="NoSpacing"/>
              <w:spacing w:line="256" w:lineRule="auto"/>
              <w:rPr>
                <w:szCs w:val="24"/>
                <w:lang w:val="en-GB"/>
              </w:rPr>
            </w:pPr>
            <w:r w:rsidRPr="00116F45">
              <w:rPr>
                <w:szCs w:val="24"/>
                <w:lang w:val="en-GB"/>
              </w:rPr>
              <w:t>Covariate</w:t>
            </w:r>
          </w:p>
        </w:tc>
        <w:tc>
          <w:tcPr>
            <w:tcW w:w="1276" w:type="dxa"/>
            <w:tcBorders>
              <w:top w:val="single" w:sz="6" w:space="0" w:color="auto"/>
              <w:left w:val="nil"/>
              <w:bottom w:val="single" w:sz="6" w:space="0" w:color="auto"/>
              <w:right w:val="nil"/>
            </w:tcBorders>
            <w:hideMark/>
          </w:tcPr>
          <w:p w14:paraId="232F7102" w14:textId="77777777" w:rsidR="006E1936" w:rsidRPr="00116F45" w:rsidRDefault="006E1936" w:rsidP="00D92E46">
            <w:pPr>
              <w:pStyle w:val="NoSpacing"/>
              <w:spacing w:line="256" w:lineRule="auto"/>
              <w:jc w:val="center"/>
              <w:rPr>
                <w:szCs w:val="24"/>
                <w:lang w:val="en-GB"/>
              </w:rPr>
            </w:pPr>
            <w:r w:rsidRPr="00116F45">
              <w:rPr>
                <w:szCs w:val="24"/>
                <w:lang w:val="en-GB"/>
              </w:rPr>
              <w:t>Complete</w:t>
            </w:r>
          </w:p>
        </w:tc>
        <w:tc>
          <w:tcPr>
            <w:tcW w:w="1133" w:type="dxa"/>
            <w:tcBorders>
              <w:top w:val="single" w:sz="6" w:space="0" w:color="auto"/>
              <w:left w:val="nil"/>
              <w:bottom w:val="single" w:sz="6" w:space="0" w:color="auto"/>
              <w:right w:val="nil"/>
            </w:tcBorders>
            <w:hideMark/>
          </w:tcPr>
          <w:p w14:paraId="6E0F2EFE" w14:textId="77777777" w:rsidR="006E1936" w:rsidRPr="00116F45" w:rsidRDefault="006E1936" w:rsidP="00D92E46">
            <w:pPr>
              <w:pStyle w:val="NoSpacing"/>
              <w:spacing w:line="256" w:lineRule="auto"/>
              <w:jc w:val="right"/>
              <w:rPr>
                <w:szCs w:val="24"/>
                <w:lang w:val="en-GB"/>
              </w:rPr>
            </w:pPr>
            <w:r w:rsidRPr="00116F45">
              <w:rPr>
                <w:szCs w:val="24"/>
                <w:lang w:val="en-GB"/>
              </w:rPr>
              <w:t>Imputed (N)</w:t>
            </w:r>
          </w:p>
        </w:tc>
        <w:tc>
          <w:tcPr>
            <w:tcW w:w="1134" w:type="dxa"/>
            <w:tcBorders>
              <w:top w:val="single" w:sz="6" w:space="0" w:color="auto"/>
              <w:left w:val="nil"/>
              <w:bottom w:val="single" w:sz="6" w:space="0" w:color="auto"/>
              <w:right w:val="nil"/>
            </w:tcBorders>
            <w:hideMark/>
          </w:tcPr>
          <w:p w14:paraId="578ABB3C" w14:textId="77777777" w:rsidR="006E1936" w:rsidRPr="00116F45" w:rsidRDefault="006E1936" w:rsidP="00D92E46">
            <w:pPr>
              <w:pStyle w:val="NoSpacing"/>
              <w:spacing w:line="256" w:lineRule="auto"/>
              <w:jc w:val="right"/>
              <w:rPr>
                <w:szCs w:val="24"/>
                <w:lang w:val="en-GB"/>
              </w:rPr>
            </w:pPr>
            <w:r w:rsidRPr="00116F45">
              <w:rPr>
                <w:szCs w:val="24"/>
                <w:lang w:val="en-GB"/>
              </w:rPr>
              <w:t>Imputed (%)</w:t>
            </w:r>
          </w:p>
        </w:tc>
        <w:tc>
          <w:tcPr>
            <w:tcW w:w="1134" w:type="dxa"/>
            <w:tcBorders>
              <w:top w:val="single" w:sz="6" w:space="0" w:color="auto"/>
              <w:left w:val="nil"/>
              <w:bottom w:val="single" w:sz="6" w:space="0" w:color="auto"/>
              <w:right w:val="nil"/>
            </w:tcBorders>
            <w:hideMark/>
          </w:tcPr>
          <w:p w14:paraId="003DDB78" w14:textId="77777777" w:rsidR="006E1936" w:rsidRPr="00116F45" w:rsidRDefault="006E1936" w:rsidP="00D92E46">
            <w:pPr>
              <w:pStyle w:val="NoSpacing"/>
              <w:spacing w:line="256" w:lineRule="auto"/>
              <w:jc w:val="center"/>
              <w:rPr>
                <w:szCs w:val="24"/>
                <w:lang w:val="en-GB"/>
              </w:rPr>
            </w:pPr>
            <w:r w:rsidRPr="00116F45">
              <w:rPr>
                <w:szCs w:val="24"/>
                <w:lang w:val="en-GB"/>
              </w:rPr>
              <w:t>Total</w:t>
            </w:r>
          </w:p>
        </w:tc>
      </w:tr>
      <w:tr w:rsidR="00116F45" w:rsidRPr="00116F45" w14:paraId="5775153F" w14:textId="77777777" w:rsidTr="00D92E46">
        <w:trPr>
          <w:trHeight w:val="290"/>
        </w:trPr>
        <w:tc>
          <w:tcPr>
            <w:tcW w:w="3261" w:type="dxa"/>
            <w:hideMark/>
          </w:tcPr>
          <w:p w14:paraId="450FD776" w14:textId="77777777" w:rsidR="006E1936" w:rsidRPr="00116F45" w:rsidRDefault="006E1936" w:rsidP="00D92E46">
            <w:pPr>
              <w:pStyle w:val="NoSpacing"/>
              <w:spacing w:line="256" w:lineRule="auto"/>
              <w:rPr>
                <w:b w:val="0"/>
                <w:bCs/>
                <w:szCs w:val="24"/>
                <w:lang w:val="en-GB"/>
              </w:rPr>
            </w:pPr>
            <w:r w:rsidRPr="00116F45">
              <w:rPr>
                <w:b w:val="0"/>
                <w:bCs/>
                <w:szCs w:val="24"/>
                <w:lang w:val="en-GB"/>
              </w:rPr>
              <w:t>Age</w:t>
            </w:r>
          </w:p>
        </w:tc>
        <w:tc>
          <w:tcPr>
            <w:tcW w:w="1276" w:type="dxa"/>
            <w:hideMark/>
          </w:tcPr>
          <w:p w14:paraId="0BC99B8B" w14:textId="306611FA" w:rsidR="006E1936" w:rsidRPr="00116F45" w:rsidRDefault="006E1936" w:rsidP="00D92E46">
            <w:pPr>
              <w:pStyle w:val="NoSpacing"/>
              <w:spacing w:line="256" w:lineRule="auto"/>
              <w:jc w:val="center"/>
              <w:rPr>
                <w:b w:val="0"/>
                <w:bCs/>
                <w:szCs w:val="24"/>
                <w:lang w:val="en-GB"/>
              </w:rPr>
            </w:pPr>
            <w:r w:rsidRPr="00116F45">
              <w:rPr>
                <w:b w:val="0"/>
                <w:bCs/>
                <w:szCs w:val="24"/>
                <w:lang w:val="en-GB"/>
              </w:rPr>
              <w:t>94</w:t>
            </w:r>
            <w:r w:rsidR="00A56AD8" w:rsidRPr="00116F45">
              <w:rPr>
                <w:b w:val="0"/>
                <w:bCs/>
                <w:szCs w:val="24"/>
                <w:lang w:val="en-GB"/>
              </w:rPr>
              <w:t>,184</w:t>
            </w:r>
            <w:r w:rsidRPr="00116F45">
              <w:rPr>
                <w:b w:val="0"/>
                <w:bCs/>
                <w:szCs w:val="24"/>
                <w:lang w:val="en-GB"/>
              </w:rPr>
              <w:t xml:space="preserve"> </w:t>
            </w:r>
          </w:p>
        </w:tc>
        <w:tc>
          <w:tcPr>
            <w:tcW w:w="1133" w:type="dxa"/>
            <w:hideMark/>
          </w:tcPr>
          <w:p w14:paraId="5060D686" w14:textId="77777777" w:rsidR="006E1936" w:rsidRPr="00116F45" w:rsidRDefault="006E1936" w:rsidP="00D92E46">
            <w:pPr>
              <w:pStyle w:val="NoSpacing"/>
              <w:spacing w:line="256" w:lineRule="auto"/>
              <w:jc w:val="right"/>
              <w:rPr>
                <w:b w:val="0"/>
                <w:bCs/>
                <w:szCs w:val="24"/>
                <w:lang w:val="en-GB"/>
              </w:rPr>
            </w:pPr>
            <w:r w:rsidRPr="00116F45">
              <w:rPr>
                <w:b w:val="0"/>
                <w:bCs/>
                <w:szCs w:val="24"/>
                <w:lang w:val="en-GB"/>
              </w:rPr>
              <w:t>0</w:t>
            </w:r>
          </w:p>
        </w:tc>
        <w:tc>
          <w:tcPr>
            <w:tcW w:w="1134" w:type="dxa"/>
            <w:hideMark/>
          </w:tcPr>
          <w:p w14:paraId="2E12A0E8" w14:textId="112520EE" w:rsidR="006E1936" w:rsidRPr="00116F45" w:rsidRDefault="006E1936" w:rsidP="00D92E46">
            <w:pPr>
              <w:pStyle w:val="NoSpacing"/>
              <w:spacing w:line="256" w:lineRule="auto"/>
              <w:jc w:val="right"/>
              <w:rPr>
                <w:b w:val="0"/>
                <w:bCs/>
                <w:szCs w:val="24"/>
                <w:lang w:val="en-GB"/>
              </w:rPr>
            </w:pPr>
            <w:r w:rsidRPr="00116F45">
              <w:rPr>
                <w:b w:val="0"/>
                <w:bCs/>
                <w:szCs w:val="24"/>
                <w:lang w:val="en-GB"/>
              </w:rPr>
              <w:t>0</w:t>
            </w:r>
            <w:r w:rsidR="00A56AD8" w:rsidRPr="00116F45">
              <w:rPr>
                <w:b w:val="0"/>
                <w:bCs/>
                <w:szCs w:val="24"/>
                <w:lang w:val="en-GB"/>
              </w:rPr>
              <w:t>.</w:t>
            </w:r>
            <w:r w:rsidRPr="00116F45">
              <w:rPr>
                <w:b w:val="0"/>
                <w:bCs/>
                <w:szCs w:val="24"/>
                <w:lang w:val="en-GB"/>
              </w:rPr>
              <w:t>00%</w:t>
            </w:r>
          </w:p>
        </w:tc>
        <w:tc>
          <w:tcPr>
            <w:tcW w:w="1134" w:type="dxa"/>
            <w:hideMark/>
          </w:tcPr>
          <w:p w14:paraId="1BB3B009" w14:textId="6C4AD9F3" w:rsidR="006E1936" w:rsidRPr="00116F45" w:rsidRDefault="006E1936" w:rsidP="00D92E46">
            <w:pPr>
              <w:pStyle w:val="NoSpacing"/>
              <w:spacing w:line="256" w:lineRule="auto"/>
              <w:jc w:val="center"/>
              <w:rPr>
                <w:b w:val="0"/>
                <w:bCs/>
                <w:szCs w:val="24"/>
                <w:lang w:val="en-GB"/>
              </w:rPr>
            </w:pPr>
            <w:r w:rsidRPr="00116F45">
              <w:rPr>
                <w:b w:val="0"/>
                <w:bCs/>
                <w:szCs w:val="24"/>
                <w:lang w:val="en-GB"/>
              </w:rPr>
              <w:t>94</w:t>
            </w:r>
            <w:r w:rsidR="00A56AD8" w:rsidRPr="00116F45">
              <w:rPr>
                <w:b w:val="0"/>
                <w:bCs/>
                <w:szCs w:val="24"/>
                <w:lang w:val="en-GB"/>
              </w:rPr>
              <w:t>,</w:t>
            </w:r>
            <w:r w:rsidRPr="00116F45">
              <w:rPr>
                <w:b w:val="0"/>
                <w:bCs/>
                <w:szCs w:val="24"/>
                <w:lang w:val="en-GB"/>
              </w:rPr>
              <w:t>184</w:t>
            </w:r>
          </w:p>
        </w:tc>
      </w:tr>
      <w:tr w:rsidR="00116F45" w:rsidRPr="00116F45" w14:paraId="7E5D1938" w14:textId="77777777" w:rsidTr="00D92E46">
        <w:trPr>
          <w:trHeight w:val="290"/>
        </w:trPr>
        <w:tc>
          <w:tcPr>
            <w:tcW w:w="3261" w:type="dxa"/>
            <w:hideMark/>
          </w:tcPr>
          <w:p w14:paraId="41BCF2C5" w14:textId="77777777" w:rsidR="006E1936" w:rsidRPr="00116F45" w:rsidRDefault="006E1936" w:rsidP="00D92E46">
            <w:pPr>
              <w:pStyle w:val="NoSpacing"/>
              <w:spacing w:line="256" w:lineRule="auto"/>
              <w:rPr>
                <w:b w:val="0"/>
                <w:bCs/>
                <w:szCs w:val="24"/>
                <w:lang w:val="en-GB"/>
              </w:rPr>
            </w:pPr>
            <w:r w:rsidRPr="00116F45">
              <w:rPr>
                <w:b w:val="0"/>
                <w:bCs/>
                <w:szCs w:val="24"/>
                <w:lang w:val="en-GB"/>
              </w:rPr>
              <w:t>Sex</w:t>
            </w:r>
          </w:p>
        </w:tc>
        <w:tc>
          <w:tcPr>
            <w:tcW w:w="1276" w:type="dxa"/>
            <w:hideMark/>
          </w:tcPr>
          <w:p w14:paraId="08BA4417" w14:textId="555EF977" w:rsidR="006E1936" w:rsidRPr="00116F45" w:rsidRDefault="006E1936" w:rsidP="00D92E46">
            <w:pPr>
              <w:pStyle w:val="NoSpacing"/>
              <w:spacing w:line="256" w:lineRule="auto"/>
              <w:jc w:val="center"/>
              <w:rPr>
                <w:b w:val="0"/>
                <w:bCs/>
                <w:szCs w:val="24"/>
                <w:lang w:val="en-GB"/>
              </w:rPr>
            </w:pPr>
            <w:r w:rsidRPr="00116F45">
              <w:rPr>
                <w:b w:val="0"/>
                <w:bCs/>
                <w:szCs w:val="24"/>
                <w:lang w:val="en-GB"/>
              </w:rPr>
              <w:t>94</w:t>
            </w:r>
            <w:r w:rsidR="00A56AD8" w:rsidRPr="00116F45">
              <w:rPr>
                <w:b w:val="0"/>
                <w:bCs/>
                <w:szCs w:val="24"/>
                <w:lang w:val="en-GB"/>
              </w:rPr>
              <w:t>,184</w:t>
            </w:r>
          </w:p>
        </w:tc>
        <w:tc>
          <w:tcPr>
            <w:tcW w:w="1133" w:type="dxa"/>
            <w:hideMark/>
          </w:tcPr>
          <w:p w14:paraId="6CD2D5A2" w14:textId="77777777" w:rsidR="006E1936" w:rsidRPr="00116F45" w:rsidRDefault="006E1936" w:rsidP="00D92E46">
            <w:pPr>
              <w:pStyle w:val="NoSpacing"/>
              <w:spacing w:line="256" w:lineRule="auto"/>
              <w:jc w:val="right"/>
              <w:rPr>
                <w:b w:val="0"/>
                <w:bCs/>
                <w:szCs w:val="24"/>
                <w:lang w:val="en-GB"/>
              </w:rPr>
            </w:pPr>
            <w:r w:rsidRPr="00116F45">
              <w:rPr>
                <w:b w:val="0"/>
                <w:bCs/>
                <w:szCs w:val="24"/>
                <w:lang w:val="en-GB"/>
              </w:rPr>
              <w:t>0</w:t>
            </w:r>
          </w:p>
        </w:tc>
        <w:tc>
          <w:tcPr>
            <w:tcW w:w="1134" w:type="dxa"/>
            <w:hideMark/>
          </w:tcPr>
          <w:p w14:paraId="6F5A994A" w14:textId="6AE054A1" w:rsidR="006E1936" w:rsidRPr="00116F45" w:rsidRDefault="006E1936" w:rsidP="00D92E46">
            <w:pPr>
              <w:pStyle w:val="NoSpacing"/>
              <w:spacing w:line="256" w:lineRule="auto"/>
              <w:jc w:val="right"/>
              <w:rPr>
                <w:b w:val="0"/>
                <w:bCs/>
                <w:szCs w:val="24"/>
                <w:lang w:val="en-GB"/>
              </w:rPr>
            </w:pPr>
            <w:r w:rsidRPr="00116F45">
              <w:rPr>
                <w:b w:val="0"/>
                <w:bCs/>
                <w:szCs w:val="24"/>
                <w:lang w:val="en-GB"/>
              </w:rPr>
              <w:t>0</w:t>
            </w:r>
            <w:r w:rsidR="00A56AD8" w:rsidRPr="00116F45">
              <w:rPr>
                <w:b w:val="0"/>
                <w:bCs/>
                <w:szCs w:val="24"/>
                <w:lang w:val="en-GB"/>
              </w:rPr>
              <w:t>.</w:t>
            </w:r>
            <w:r w:rsidRPr="00116F45">
              <w:rPr>
                <w:b w:val="0"/>
                <w:bCs/>
                <w:szCs w:val="24"/>
                <w:lang w:val="en-GB"/>
              </w:rPr>
              <w:t>00%</w:t>
            </w:r>
          </w:p>
        </w:tc>
        <w:tc>
          <w:tcPr>
            <w:tcW w:w="1134" w:type="dxa"/>
            <w:hideMark/>
          </w:tcPr>
          <w:p w14:paraId="01B7AC64" w14:textId="70ADF449" w:rsidR="006E1936"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5DF2A6B5" w14:textId="77777777" w:rsidTr="00D92E46">
        <w:trPr>
          <w:trHeight w:val="290"/>
        </w:trPr>
        <w:tc>
          <w:tcPr>
            <w:tcW w:w="3261" w:type="dxa"/>
            <w:hideMark/>
          </w:tcPr>
          <w:p w14:paraId="549D6F95" w14:textId="77777777" w:rsidR="006E1936" w:rsidRPr="00116F45" w:rsidRDefault="006E1936" w:rsidP="00D92E46">
            <w:pPr>
              <w:pStyle w:val="NoSpacing"/>
              <w:spacing w:line="256" w:lineRule="auto"/>
              <w:rPr>
                <w:b w:val="0"/>
                <w:bCs/>
                <w:szCs w:val="24"/>
                <w:lang w:val="en-GB"/>
              </w:rPr>
            </w:pPr>
            <w:r w:rsidRPr="00116F45">
              <w:rPr>
                <w:b w:val="0"/>
                <w:bCs/>
                <w:szCs w:val="24"/>
                <w:lang w:val="en-GB"/>
              </w:rPr>
              <w:t>Household income</w:t>
            </w:r>
          </w:p>
        </w:tc>
        <w:tc>
          <w:tcPr>
            <w:tcW w:w="1276" w:type="dxa"/>
            <w:hideMark/>
          </w:tcPr>
          <w:p w14:paraId="36CE89CF" w14:textId="73588CE2" w:rsidR="006E1936" w:rsidRPr="00116F45" w:rsidRDefault="006E1936" w:rsidP="00D92E46">
            <w:pPr>
              <w:pStyle w:val="NoSpacing"/>
              <w:spacing w:line="256" w:lineRule="auto"/>
              <w:jc w:val="center"/>
              <w:rPr>
                <w:b w:val="0"/>
                <w:bCs/>
                <w:szCs w:val="24"/>
                <w:lang w:val="en-GB"/>
              </w:rPr>
            </w:pPr>
            <w:r w:rsidRPr="00116F45">
              <w:rPr>
                <w:b w:val="0"/>
                <w:bCs/>
                <w:szCs w:val="24"/>
                <w:lang w:val="en-GB"/>
              </w:rPr>
              <w:t>93</w:t>
            </w:r>
            <w:r w:rsidR="00A56AD8" w:rsidRPr="00116F45">
              <w:rPr>
                <w:b w:val="0"/>
                <w:bCs/>
                <w:szCs w:val="24"/>
                <w:lang w:val="en-GB"/>
              </w:rPr>
              <w:t>,</w:t>
            </w:r>
            <w:r w:rsidRPr="00116F45">
              <w:rPr>
                <w:b w:val="0"/>
                <w:bCs/>
                <w:szCs w:val="24"/>
                <w:lang w:val="en-GB"/>
              </w:rPr>
              <w:t>151</w:t>
            </w:r>
          </w:p>
        </w:tc>
        <w:tc>
          <w:tcPr>
            <w:tcW w:w="1133" w:type="dxa"/>
            <w:hideMark/>
          </w:tcPr>
          <w:p w14:paraId="2C89AC82" w14:textId="0650B7CB" w:rsidR="006E1936" w:rsidRPr="00116F45" w:rsidRDefault="006E1936" w:rsidP="00D92E46">
            <w:pPr>
              <w:pStyle w:val="NoSpacing"/>
              <w:spacing w:line="256" w:lineRule="auto"/>
              <w:jc w:val="right"/>
              <w:rPr>
                <w:b w:val="0"/>
                <w:bCs/>
                <w:szCs w:val="24"/>
                <w:lang w:val="en-GB"/>
              </w:rPr>
            </w:pPr>
            <w:r w:rsidRPr="00116F45">
              <w:rPr>
                <w:b w:val="0"/>
                <w:bCs/>
                <w:szCs w:val="24"/>
                <w:lang w:val="en-GB"/>
              </w:rPr>
              <w:t>1,033</w:t>
            </w:r>
          </w:p>
        </w:tc>
        <w:tc>
          <w:tcPr>
            <w:tcW w:w="1134" w:type="dxa"/>
            <w:hideMark/>
          </w:tcPr>
          <w:p w14:paraId="38ABB6B1" w14:textId="2CE07F30" w:rsidR="006E1936" w:rsidRPr="00116F45" w:rsidRDefault="006E1936" w:rsidP="00D92E46">
            <w:pPr>
              <w:pStyle w:val="NoSpacing"/>
              <w:spacing w:line="256" w:lineRule="auto"/>
              <w:jc w:val="right"/>
              <w:rPr>
                <w:b w:val="0"/>
                <w:bCs/>
                <w:szCs w:val="24"/>
                <w:lang w:val="en-GB"/>
              </w:rPr>
            </w:pPr>
            <w:r w:rsidRPr="00116F45">
              <w:rPr>
                <w:b w:val="0"/>
                <w:bCs/>
                <w:szCs w:val="24"/>
                <w:lang w:val="en-GB"/>
              </w:rPr>
              <w:t>1</w:t>
            </w:r>
            <w:r w:rsidR="00A56AD8" w:rsidRPr="00116F45">
              <w:rPr>
                <w:b w:val="0"/>
                <w:bCs/>
                <w:szCs w:val="24"/>
                <w:lang w:val="en-GB"/>
              </w:rPr>
              <w:t>.</w:t>
            </w:r>
            <w:r w:rsidRPr="00116F45">
              <w:rPr>
                <w:b w:val="0"/>
                <w:bCs/>
                <w:szCs w:val="24"/>
                <w:lang w:val="en-GB"/>
              </w:rPr>
              <w:t>10%</w:t>
            </w:r>
          </w:p>
        </w:tc>
        <w:tc>
          <w:tcPr>
            <w:tcW w:w="1134" w:type="dxa"/>
            <w:hideMark/>
          </w:tcPr>
          <w:p w14:paraId="2E8C785F" w14:textId="71057C9B" w:rsidR="006E1936"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48AC9F48" w14:textId="77777777" w:rsidTr="00D92E46">
        <w:trPr>
          <w:trHeight w:val="290"/>
        </w:trPr>
        <w:tc>
          <w:tcPr>
            <w:tcW w:w="3261" w:type="dxa"/>
            <w:hideMark/>
          </w:tcPr>
          <w:p w14:paraId="40F2518F" w14:textId="77777777" w:rsidR="006E1936" w:rsidRPr="00116F45" w:rsidRDefault="006E1936" w:rsidP="00D92E46">
            <w:pPr>
              <w:pStyle w:val="NoSpacing"/>
              <w:spacing w:line="256" w:lineRule="auto"/>
              <w:rPr>
                <w:b w:val="0"/>
                <w:bCs/>
                <w:szCs w:val="24"/>
                <w:lang w:val="en-GB"/>
              </w:rPr>
            </w:pPr>
            <w:r w:rsidRPr="00116F45">
              <w:rPr>
                <w:b w:val="0"/>
                <w:bCs/>
                <w:szCs w:val="24"/>
                <w:lang w:val="en-GB"/>
              </w:rPr>
              <w:t>Educational level</w:t>
            </w:r>
          </w:p>
        </w:tc>
        <w:tc>
          <w:tcPr>
            <w:tcW w:w="1276" w:type="dxa"/>
            <w:hideMark/>
          </w:tcPr>
          <w:p w14:paraId="2B2FB2B1" w14:textId="68414C53" w:rsidR="006E1936" w:rsidRPr="00116F45" w:rsidRDefault="006E1936" w:rsidP="00D92E46">
            <w:pPr>
              <w:pStyle w:val="NoSpacing"/>
              <w:spacing w:line="256" w:lineRule="auto"/>
              <w:jc w:val="center"/>
              <w:rPr>
                <w:b w:val="0"/>
                <w:bCs/>
                <w:szCs w:val="24"/>
                <w:lang w:val="en-GB"/>
              </w:rPr>
            </w:pPr>
            <w:r w:rsidRPr="00116F45">
              <w:rPr>
                <w:b w:val="0"/>
                <w:bCs/>
                <w:szCs w:val="24"/>
                <w:lang w:val="en-GB"/>
              </w:rPr>
              <w:t>9</w:t>
            </w:r>
            <w:r w:rsidR="00A56AD8" w:rsidRPr="00116F45">
              <w:rPr>
                <w:b w:val="0"/>
                <w:bCs/>
                <w:szCs w:val="24"/>
                <w:lang w:val="en-GB"/>
              </w:rPr>
              <w:t>3,967</w:t>
            </w:r>
            <w:r w:rsidRPr="00116F45">
              <w:rPr>
                <w:b w:val="0"/>
                <w:bCs/>
                <w:szCs w:val="24"/>
                <w:lang w:val="en-GB"/>
              </w:rPr>
              <w:t xml:space="preserve"> </w:t>
            </w:r>
          </w:p>
        </w:tc>
        <w:tc>
          <w:tcPr>
            <w:tcW w:w="1133" w:type="dxa"/>
            <w:hideMark/>
          </w:tcPr>
          <w:p w14:paraId="5FE6FEAD" w14:textId="77777777" w:rsidR="006E1936" w:rsidRPr="00116F45" w:rsidRDefault="006E1936" w:rsidP="00D92E46">
            <w:pPr>
              <w:pStyle w:val="NoSpacing"/>
              <w:spacing w:line="256" w:lineRule="auto"/>
              <w:jc w:val="right"/>
              <w:rPr>
                <w:b w:val="0"/>
                <w:bCs/>
                <w:szCs w:val="24"/>
                <w:lang w:val="en-GB"/>
              </w:rPr>
            </w:pPr>
            <w:r w:rsidRPr="00116F45">
              <w:rPr>
                <w:b w:val="0"/>
                <w:bCs/>
                <w:szCs w:val="24"/>
                <w:lang w:val="en-GB"/>
              </w:rPr>
              <w:t>217</w:t>
            </w:r>
          </w:p>
        </w:tc>
        <w:tc>
          <w:tcPr>
            <w:tcW w:w="1134" w:type="dxa"/>
            <w:hideMark/>
          </w:tcPr>
          <w:p w14:paraId="3BC50C8A" w14:textId="266CC6F1" w:rsidR="006E1936" w:rsidRPr="00116F45" w:rsidRDefault="006E1936" w:rsidP="00D92E46">
            <w:pPr>
              <w:pStyle w:val="NoSpacing"/>
              <w:spacing w:line="256" w:lineRule="auto"/>
              <w:jc w:val="right"/>
              <w:rPr>
                <w:b w:val="0"/>
                <w:bCs/>
                <w:szCs w:val="24"/>
                <w:lang w:val="en-GB"/>
              </w:rPr>
            </w:pPr>
            <w:r w:rsidRPr="00116F45">
              <w:rPr>
                <w:b w:val="0"/>
                <w:bCs/>
                <w:szCs w:val="24"/>
                <w:lang w:val="en-GB"/>
              </w:rPr>
              <w:t>0</w:t>
            </w:r>
            <w:r w:rsidR="00A56AD8" w:rsidRPr="00116F45">
              <w:rPr>
                <w:b w:val="0"/>
                <w:bCs/>
                <w:szCs w:val="24"/>
                <w:lang w:val="en-GB"/>
              </w:rPr>
              <w:t>.</w:t>
            </w:r>
            <w:r w:rsidRPr="00116F45">
              <w:rPr>
                <w:b w:val="0"/>
                <w:bCs/>
                <w:szCs w:val="24"/>
                <w:lang w:val="en-GB"/>
              </w:rPr>
              <w:t>23%</w:t>
            </w:r>
          </w:p>
        </w:tc>
        <w:tc>
          <w:tcPr>
            <w:tcW w:w="1134" w:type="dxa"/>
            <w:hideMark/>
          </w:tcPr>
          <w:p w14:paraId="117ECDDF" w14:textId="23A099DB" w:rsidR="006E1936"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502273AA" w14:textId="77777777" w:rsidTr="00D92E46">
        <w:trPr>
          <w:trHeight w:val="290"/>
        </w:trPr>
        <w:tc>
          <w:tcPr>
            <w:tcW w:w="3261" w:type="dxa"/>
            <w:hideMark/>
          </w:tcPr>
          <w:p w14:paraId="21675AA2" w14:textId="77777777" w:rsidR="00A56AD8" w:rsidRPr="00116F45" w:rsidRDefault="00A56AD8" w:rsidP="00D92E46">
            <w:pPr>
              <w:pStyle w:val="NoSpacing"/>
              <w:spacing w:line="256" w:lineRule="auto"/>
              <w:rPr>
                <w:b w:val="0"/>
                <w:bCs/>
                <w:szCs w:val="24"/>
                <w:lang w:val="en-GB"/>
              </w:rPr>
            </w:pPr>
            <w:r w:rsidRPr="00116F45">
              <w:rPr>
                <w:b w:val="0"/>
                <w:bCs/>
                <w:szCs w:val="24"/>
                <w:lang w:val="en-GB"/>
              </w:rPr>
              <w:t>Body mass index</w:t>
            </w:r>
          </w:p>
        </w:tc>
        <w:tc>
          <w:tcPr>
            <w:tcW w:w="1276" w:type="dxa"/>
            <w:hideMark/>
          </w:tcPr>
          <w:p w14:paraId="150CCBA6" w14:textId="1CEE8E9D" w:rsidR="00A56AD8" w:rsidRPr="00116F45" w:rsidRDefault="00A56AD8" w:rsidP="00D92E46">
            <w:pPr>
              <w:pStyle w:val="NoSpacing"/>
              <w:spacing w:line="256" w:lineRule="auto"/>
              <w:jc w:val="center"/>
              <w:rPr>
                <w:b w:val="0"/>
                <w:bCs/>
                <w:szCs w:val="24"/>
                <w:lang w:val="en-GB"/>
              </w:rPr>
            </w:pPr>
            <w:r w:rsidRPr="00116F45">
              <w:rPr>
                <w:b w:val="0"/>
                <w:bCs/>
                <w:szCs w:val="24"/>
                <w:lang w:val="en-GB"/>
              </w:rPr>
              <w:t xml:space="preserve">94,045 </w:t>
            </w:r>
          </w:p>
        </w:tc>
        <w:tc>
          <w:tcPr>
            <w:tcW w:w="1133" w:type="dxa"/>
            <w:hideMark/>
          </w:tcPr>
          <w:p w14:paraId="26ED6E22" w14:textId="77777777" w:rsidR="00A56AD8" w:rsidRPr="00116F45" w:rsidRDefault="00A56AD8" w:rsidP="00D92E46">
            <w:pPr>
              <w:pStyle w:val="NoSpacing"/>
              <w:spacing w:line="256" w:lineRule="auto"/>
              <w:jc w:val="right"/>
              <w:rPr>
                <w:b w:val="0"/>
                <w:bCs/>
                <w:szCs w:val="24"/>
                <w:lang w:val="en-GB"/>
              </w:rPr>
            </w:pPr>
            <w:r w:rsidRPr="00116F45">
              <w:rPr>
                <w:b w:val="0"/>
                <w:bCs/>
                <w:szCs w:val="24"/>
                <w:lang w:val="en-GB"/>
              </w:rPr>
              <w:t>139</w:t>
            </w:r>
          </w:p>
        </w:tc>
        <w:tc>
          <w:tcPr>
            <w:tcW w:w="1134" w:type="dxa"/>
            <w:hideMark/>
          </w:tcPr>
          <w:p w14:paraId="7DA6C51F" w14:textId="6FB59215" w:rsidR="00A56AD8" w:rsidRPr="00116F45" w:rsidRDefault="00A56AD8" w:rsidP="00D92E46">
            <w:pPr>
              <w:pStyle w:val="NoSpacing"/>
              <w:spacing w:line="256" w:lineRule="auto"/>
              <w:jc w:val="right"/>
              <w:rPr>
                <w:b w:val="0"/>
                <w:bCs/>
                <w:szCs w:val="24"/>
                <w:lang w:val="en-GB"/>
              </w:rPr>
            </w:pPr>
            <w:r w:rsidRPr="00116F45">
              <w:rPr>
                <w:b w:val="0"/>
                <w:bCs/>
                <w:szCs w:val="24"/>
                <w:lang w:val="en-GB"/>
              </w:rPr>
              <w:t>0.15%</w:t>
            </w:r>
          </w:p>
        </w:tc>
        <w:tc>
          <w:tcPr>
            <w:tcW w:w="1134" w:type="dxa"/>
            <w:hideMark/>
          </w:tcPr>
          <w:p w14:paraId="01E52E00" w14:textId="13104DCC"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4F2CD072" w14:textId="77777777" w:rsidTr="00D92E46">
        <w:trPr>
          <w:trHeight w:val="290"/>
        </w:trPr>
        <w:tc>
          <w:tcPr>
            <w:tcW w:w="3261" w:type="dxa"/>
            <w:hideMark/>
          </w:tcPr>
          <w:p w14:paraId="54BC2D68" w14:textId="77777777" w:rsidR="00A56AD8" w:rsidRPr="00116F45" w:rsidRDefault="00A56AD8" w:rsidP="00D92E46">
            <w:pPr>
              <w:pStyle w:val="NoSpacing"/>
              <w:spacing w:line="256" w:lineRule="auto"/>
              <w:rPr>
                <w:b w:val="0"/>
                <w:bCs/>
                <w:szCs w:val="24"/>
                <w:lang w:val="en-GB"/>
              </w:rPr>
            </w:pPr>
            <w:r w:rsidRPr="00116F45">
              <w:rPr>
                <w:b w:val="0"/>
                <w:bCs/>
                <w:szCs w:val="24"/>
                <w:lang w:val="en-GB"/>
              </w:rPr>
              <w:t>Physical activity in leisure time</w:t>
            </w:r>
          </w:p>
        </w:tc>
        <w:tc>
          <w:tcPr>
            <w:tcW w:w="1276" w:type="dxa"/>
            <w:hideMark/>
          </w:tcPr>
          <w:p w14:paraId="5226C7CC" w14:textId="57308276" w:rsidR="00A56AD8" w:rsidRPr="00116F45" w:rsidRDefault="00A56AD8" w:rsidP="00D92E46">
            <w:pPr>
              <w:pStyle w:val="NoSpacing"/>
              <w:spacing w:line="256" w:lineRule="auto"/>
              <w:jc w:val="center"/>
              <w:rPr>
                <w:b w:val="0"/>
                <w:bCs/>
                <w:szCs w:val="24"/>
                <w:lang w:val="en-GB"/>
              </w:rPr>
            </w:pPr>
            <w:r w:rsidRPr="00116F45">
              <w:rPr>
                <w:b w:val="0"/>
                <w:bCs/>
                <w:szCs w:val="24"/>
                <w:lang w:val="en-GB"/>
              </w:rPr>
              <w:t>93,641</w:t>
            </w:r>
          </w:p>
        </w:tc>
        <w:tc>
          <w:tcPr>
            <w:tcW w:w="1133" w:type="dxa"/>
            <w:hideMark/>
          </w:tcPr>
          <w:p w14:paraId="34CBAEDB" w14:textId="50694D32" w:rsidR="00A56AD8" w:rsidRPr="00116F45" w:rsidRDefault="00A56AD8" w:rsidP="00D92E46">
            <w:pPr>
              <w:pStyle w:val="NoSpacing"/>
              <w:spacing w:line="256" w:lineRule="auto"/>
              <w:jc w:val="right"/>
              <w:rPr>
                <w:b w:val="0"/>
                <w:bCs/>
                <w:szCs w:val="24"/>
                <w:lang w:val="en-GB"/>
              </w:rPr>
            </w:pPr>
            <w:r w:rsidRPr="00116F45">
              <w:rPr>
                <w:b w:val="0"/>
                <w:bCs/>
                <w:szCs w:val="24"/>
                <w:lang w:val="en-GB"/>
              </w:rPr>
              <w:t>543</w:t>
            </w:r>
          </w:p>
        </w:tc>
        <w:tc>
          <w:tcPr>
            <w:tcW w:w="1134" w:type="dxa"/>
            <w:hideMark/>
          </w:tcPr>
          <w:p w14:paraId="04FFE7EC" w14:textId="028C169D" w:rsidR="00A56AD8" w:rsidRPr="00116F45" w:rsidRDefault="00A56AD8" w:rsidP="00D92E46">
            <w:pPr>
              <w:pStyle w:val="NoSpacing"/>
              <w:spacing w:line="256" w:lineRule="auto"/>
              <w:jc w:val="right"/>
              <w:rPr>
                <w:b w:val="0"/>
                <w:bCs/>
                <w:szCs w:val="24"/>
                <w:lang w:val="en-GB"/>
              </w:rPr>
            </w:pPr>
            <w:r w:rsidRPr="00116F45">
              <w:rPr>
                <w:b w:val="0"/>
                <w:bCs/>
                <w:szCs w:val="24"/>
                <w:lang w:val="en-GB"/>
              </w:rPr>
              <w:t>0.58%</w:t>
            </w:r>
          </w:p>
        </w:tc>
        <w:tc>
          <w:tcPr>
            <w:tcW w:w="1134" w:type="dxa"/>
            <w:hideMark/>
          </w:tcPr>
          <w:p w14:paraId="6870EC79" w14:textId="5B2EC19C"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772DADFB" w14:textId="77777777" w:rsidTr="00D92E46">
        <w:trPr>
          <w:trHeight w:val="290"/>
        </w:trPr>
        <w:tc>
          <w:tcPr>
            <w:tcW w:w="3261" w:type="dxa"/>
            <w:hideMark/>
          </w:tcPr>
          <w:p w14:paraId="0545943D" w14:textId="77777777" w:rsidR="00A56AD8" w:rsidRPr="00116F45" w:rsidRDefault="00A56AD8" w:rsidP="00D92E46">
            <w:pPr>
              <w:pStyle w:val="NoSpacing"/>
              <w:spacing w:line="256" w:lineRule="auto"/>
              <w:rPr>
                <w:b w:val="0"/>
                <w:bCs/>
                <w:szCs w:val="24"/>
                <w:lang w:val="en-GB"/>
              </w:rPr>
            </w:pPr>
            <w:r w:rsidRPr="00116F45">
              <w:rPr>
                <w:b w:val="0"/>
                <w:bCs/>
                <w:szCs w:val="24"/>
                <w:lang w:val="en-GB"/>
              </w:rPr>
              <w:t>Smoking status</w:t>
            </w:r>
          </w:p>
        </w:tc>
        <w:tc>
          <w:tcPr>
            <w:tcW w:w="1276" w:type="dxa"/>
            <w:hideMark/>
          </w:tcPr>
          <w:p w14:paraId="59548E13" w14:textId="1F63150B" w:rsidR="00A56AD8" w:rsidRPr="00116F45" w:rsidRDefault="00A56AD8" w:rsidP="00D92E46">
            <w:pPr>
              <w:pStyle w:val="NoSpacing"/>
              <w:spacing w:line="256" w:lineRule="auto"/>
              <w:jc w:val="center"/>
              <w:rPr>
                <w:b w:val="0"/>
                <w:bCs/>
                <w:szCs w:val="24"/>
                <w:lang w:val="en-GB"/>
              </w:rPr>
            </w:pPr>
            <w:r w:rsidRPr="00116F45">
              <w:rPr>
                <w:b w:val="0"/>
                <w:bCs/>
                <w:szCs w:val="24"/>
                <w:lang w:val="en-GB"/>
              </w:rPr>
              <w:t xml:space="preserve">93,947 </w:t>
            </w:r>
          </w:p>
        </w:tc>
        <w:tc>
          <w:tcPr>
            <w:tcW w:w="1133" w:type="dxa"/>
            <w:hideMark/>
          </w:tcPr>
          <w:p w14:paraId="1BDB454C" w14:textId="77777777" w:rsidR="00A56AD8" w:rsidRPr="00116F45" w:rsidRDefault="00A56AD8" w:rsidP="00D92E46">
            <w:pPr>
              <w:pStyle w:val="NoSpacing"/>
              <w:spacing w:line="256" w:lineRule="auto"/>
              <w:jc w:val="right"/>
              <w:rPr>
                <w:b w:val="0"/>
                <w:bCs/>
                <w:szCs w:val="24"/>
                <w:lang w:val="en-GB"/>
              </w:rPr>
            </w:pPr>
            <w:r w:rsidRPr="00116F45">
              <w:rPr>
                <w:b w:val="0"/>
                <w:bCs/>
                <w:szCs w:val="24"/>
                <w:lang w:val="en-GB"/>
              </w:rPr>
              <w:t>237</w:t>
            </w:r>
          </w:p>
        </w:tc>
        <w:tc>
          <w:tcPr>
            <w:tcW w:w="1134" w:type="dxa"/>
            <w:hideMark/>
          </w:tcPr>
          <w:p w14:paraId="45FE38A5" w14:textId="2F995A53" w:rsidR="00A56AD8" w:rsidRPr="00116F45" w:rsidRDefault="00A56AD8" w:rsidP="00D92E46">
            <w:pPr>
              <w:pStyle w:val="NoSpacing"/>
              <w:spacing w:line="256" w:lineRule="auto"/>
              <w:jc w:val="right"/>
              <w:rPr>
                <w:b w:val="0"/>
                <w:bCs/>
                <w:szCs w:val="24"/>
                <w:lang w:val="en-GB"/>
              </w:rPr>
            </w:pPr>
            <w:r w:rsidRPr="00116F45">
              <w:rPr>
                <w:b w:val="0"/>
                <w:bCs/>
                <w:szCs w:val="24"/>
                <w:lang w:val="en-GB"/>
              </w:rPr>
              <w:t>0.25%</w:t>
            </w:r>
          </w:p>
        </w:tc>
        <w:tc>
          <w:tcPr>
            <w:tcW w:w="1134" w:type="dxa"/>
            <w:hideMark/>
          </w:tcPr>
          <w:p w14:paraId="44CFE915" w14:textId="747C7E39"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0D2DC2F4" w14:textId="77777777" w:rsidTr="00D92E46">
        <w:trPr>
          <w:trHeight w:val="290"/>
        </w:trPr>
        <w:tc>
          <w:tcPr>
            <w:tcW w:w="3261" w:type="dxa"/>
            <w:hideMark/>
          </w:tcPr>
          <w:p w14:paraId="2E7870D8" w14:textId="77777777" w:rsidR="00A56AD8" w:rsidRPr="00116F45" w:rsidRDefault="00A56AD8" w:rsidP="00D92E46">
            <w:pPr>
              <w:pStyle w:val="NoSpacing"/>
              <w:spacing w:line="256" w:lineRule="auto"/>
              <w:rPr>
                <w:b w:val="0"/>
                <w:bCs/>
                <w:szCs w:val="24"/>
                <w:lang w:val="en-GB"/>
              </w:rPr>
            </w:pPr>
            <w:r w:rsidRPr="00116F45">
              <w:rPr>
                <w:b w:val="0"/>
                <w:bCs/>
                <w:szCs w:val="24"/>
                <w:lang w:val="en-GB"/>
              </w:rPr>
              <w:t>Alcohol consumption</w:t>
            </w:r>
          </w:p>
        </w:tc>
        <w:tc>
          <w:tcPr>
            <w:tcW w:w="1276" w:type="dxa"/>
            <w:hideMark/>
          </w:tcPr>
          <w:p w14:paraId="5D8DCF48" w14:textId="287C396D" w:rsidR="00A56AD8" w:rsidRPr="00116F45" w:rsidRDefault="00A56AD8" w:rsidP="00D92E46">
            <w:pPr>
              <w:pStyle w:val="NoSpacing"/>
              <w:spacing w:line="256" w:lineRule="auto"/>
              <w:jc w:val="center"/>
              <w:rPr>
                <w:b w:val="0"/>
                <w:bCs/>
                <w:szCs w:val="24"/>
                <w:lang w:val="en-GB"/>
              </w:rPr>
            </w:pPr>
            <w:r w:rsidRPr="00116F45">
              <w:rPr>
                <w:b w:val="0"/>
                <w:bCs/>
                <w:szCs w:val="24"/>
                <w:lang w:val="en-GB"/>
              </w:rPr>
              <w:t>94,177</w:t>
            </w:r>
          </w:p>
        </w:tc>
        <w:tc>
          <w:tcPr>
            <w:tcW w:w="1133" w:type="dxa"/>
            <w:hideMark/>
          </w:tcPr>
          <w:p w14:paraId="2455DB91" w14:textId="77777777" w:rsidR="00A56AD8" w:rsidRPr="00116F45" w:rsidRDefault="00A56AD8" w:rsidP="00D92E46">
            <w:pPr>
              <w:pStyle w:val="NoSpacing"/>
              <w:spacing w:line="256" w:lineRule="auto"/>
              <w:jc w:val="right"/>
              <w:rPr>
                <w:b w:val="0"/>
                <w:bCs/>
                <w:szCs w:val="24"/>
                <w:lang w:val="en-GB"/>
              </w:rPr>
            </w:pPr>
            <w:r w:rsidRPr="00116F45">
              <w:rPr>
                <w:b w:val="0"/>
                <w:bCs/>
                <w:szCs w:val="24"/>
                <w:lang w:val="en-GB"/>
              </w:rPr>
              <w:t>7</w:t>
            </w:r>
          </w:p>
        </w:tc>
        <w:tc>
          <w:tcPr>
            <w:tcW w:w="1134" w:type="dxa"/>
            <w:hideMark/>
          </w:tcPr>
          <w:p w14:paraId="0CD51E6C" w14:textId="6E493104" w:rsidR="00A56AD8" w:rsidRPr="00116F45" w:rsidRDefault="00A56AD8" w:rsidP="00D92E46">
            <w:pPr>
              <w:pStyle w:val="NoSpacing"/>
              <w:spacing w:line="256" w:lineRule="auto"/>
              <w:jc w:val="right"/>
              <w:rPr>
                <w:b w:val="0"/>
                <w:bCs/>
                <w:szCs w:val="24"/>
                <w:lang w:val="en-GB"/>
              </w:rPr>
            </w:pPr>
            <w:r w:rsidRPr="00116F45">
              <w:rPr>
                <w:b w:val="0"/>
                <w:bCs/>
                <w:szCs w:val="24"/>
                <w:lang w:val="en-GB"/>
              </w:rPr>
              <w:t>0.01%</w:t>
            </w:r>
          </w:p>
        </w:tc>
        <w:tc>
          <w:tcPr>
            <w:tcW w:w="1134" w:type="dxa"/>
            <w:hideMark/>
          </w:tcPr>
          <w:p w14:paraId="66FCD96B" w14:textId="035B2261"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06F22DF4" w14:textId="77777777" w:rsidTr="00D92E46">
        <w:trPr>
          <w:trHeight w:val="290"/>
        </w:trPr>
        <w:tc>
          <w:tcPr>
            <w:tcW w:w="3261" w:type="dxa"/>
            <w:hideMark/>
          </w:tcPr>
          <w:p w14:paraId="0690BBCE" w14:textId="77777777" w:rsidR="00A56AD8" w:rsidRPr="00116F45" w:rsidRDefault="00A56AD8" w:rsidP="00D92E46">
            <w:pPr>
              <w:pStyle w:val="NoSpacing"/>
              <w:spacing w:line="256" w:lineRule="auto"/>
              <w:rPr>
                <w:b w:val="0"/>
                <w:bCs/>
                <w:szCs w:val="24"/>
                <w:lang w:val="en-GB"/>
              </w:rPr>
            </w:pPr>
            <w:r w:rsidRPr="00116F45">
              <w:rPr>
                <w:b w:val="0"/>
                <w:bCs/>
                <w:szCs w:val="24"/>
                <w:lang w:val="en-GB"/>
              </w:rPr>
              <w:t>Hypertension</w:t>
            </w:r>
          </w:p>
        </w:tc>
        <w:tc>
          <w:tcPr>
            <w:tcW w:w="1276" w:type="dxa"/>
            <w:hideMark/>
          </w:tcPr>
          <w:p w14:paraId="7981838E" w14:textId="5335A842" w:rsidR="00A56AD8" w:rsidRPr="00116F45" w:rsidRDefault="00A56AD8" w:rsidP="00D92E46">
            <w:pPr>
              <w:pStyle w:val="NoSpacing"/>
              <w:spacing w:line="256" w:lineRule="auto"/>
              <w:jc w:val="center"/>
              <w:rPr>
                <w:b w:val="0"/>
                <w:bCs/>
                <w:szCs w:val="24"/>
                <w:lang w:val="en-GB"/>
              </w:rPr>
            </w:pPr>
            <w:r w:rsidRPr="00116F45">
              <w:rPr>
                <w:b w:val="0"/>
                <w:bCs/>
                <w:szCs w:val="24"/>
                <w:lang w:val="en-GB"/>
              </w:rPr>
              <w:t>94,162</w:t>
            </w:r>
          </w:p>
        </w:tc>
        <w:tc>
          <w:tcPr>
            <w:tcW w:w="1133" w:type="dxa"/>
            <w:hideMark/>
          </w:tcPr>
          <w:p w14:paraId="78A0E7DA" w14:textId="77777777" w:rsidR="00A56AD8" w:rsidRPr="00116F45" w:rsidRDefault="00A56AD8" w:rsidP="00D92E46">
            <w:pPr>
              <w:pStyle w:val="NoSpacing"/>
              <w:spacing w:line="256" w:lineRule="auto"/>
              <w:jc w:val="right"/>
              <w:rPr>
                <w:b w:val="0"/>
                <w:bCs/>
                <w:szCs w:val="24"/>
                <w:lang w:val="en-GB"/>
              </w:rPr>
            </w:pPr>
            <w:r w:rsidRPr="00116F45">
              <w:rPr>
                <w:b w:val="0"/>
                <w:bCs/>
                <w:szCs w:val="24"/>
                <w:lang w:val="en-GB"/>
              </w:rPr>
              <w:t>22</w:t>
            </w:r>
          </w:p>
        </w:tc>
        <w:tc>
          <w:tcPr>
            <w:tcW w:w="1134" w:type="dxa"/>
            <w:hideMark/>
          </w:tcPr>
          <w:p w14:paraId="4FEB8D68" w14:textId="214EE55A" w:rsidR="00A56AD8" w:rsidRPr="00116F45" w:rsidRDefault="00A56AD8" w:rsidP="00D92E46">
            <w:pPr>
              <w:pStyle w:val="NoSpacing"/>
              <w:spacing w:line="256" w:lineRule="auto"/>
              <w:jc w:val="right"/>
              <w:rPr>
                <w:b w:val="0"/>
                <w:bCs/>
                <w:szCs w:val="24"/>
                <w:lang w:val="en-GB"/>
              </w:rPr>
            </w:pPr>
            <w:r w:rsidRPr="00116F45">
              <w:rPr>
                <w:b w:val="0"/>
                <w:bCs/>
                <w:szCs w:val="24"/>
                <w:lang w:val="en-GB"/>
              </w:rPr>
              <w:t>0.02%</w:t>
            </w:r>
          </w:p>
        </w:tc>
        <w:tc>
          <w:tcPr>
            <w:tcW w:w="1134" w:type="dxa"/>
            <w:hideMark/>
          </w:tcPr>
          <w:p w14:paraId="1A9CA853" w14:textId="3B59A2BF"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7B145FC1" w14:textId="77777777" w:rsidTr="00D92E46">
        <w:trPr>
          <w:trHeight w:val="290"/>
        </w:trPr>
        <w:tc>
          <w:tcPr>
            <w:tcW w:w="3261" w:type="dxa"/>
            <w:hideMark/>
          </w:tcPr>
          <w:p w14:paraId="13D9AD27" w14:textId="77777777" w:rsidR="00A56AD8" w:rsidRPr="00116F45" w:rsidRDefault="00A56AD8" w:rsidP="00D92E46">
            <w:pPr>
              <w:pStyle w:val="NoSpacing"/>
              <w:spacing w:line="256" w:lineRule="auto"/>
              <w:rPr>
                <w:b w:val="0"/>
                <w:bCs/>
                <w:szCs w:val="24"/>
                <w:lang w:val="en-GB"/>
              </w:rPr>
            </w:pPr>
            <w:r w:rsidRPr="00116F45">
              <w:rPr>
                <w:b w:val="0"/>
                <w:bCs/>
                <w:szCs w:val="24"/>
                <w:lang w:val="en-GB"/>
              </w:rPr>
              <w:t>Diabetes mellitus</w:t>
            </w:r>
          </w:p>
        </w:tc>
        <w:tc>
          <w:tcPr>
            <w:tcW w:w="1276" w:type="dxa"/>
            <w:hideMark/>
          </w:tcPr>
          <w:p w14:paraId="20D47DE6" w14:textId="4590CEF2" w:rsidR="00A56AD8" w:rsidRPr="00116F45" w:rsidRDefault="00A56AD8" w:rsidP="00D92E46">
            <w:pPr>
              <w:pStyle w:val="NoSpacing"/>
              <w:spacing w:line="256" w:lineRule="auto"/>
              <w:jc w:val="center"/>
              <w:rPr>
                <w:b w:val="0"/>
                <w:bCs/>
                <w:szCs w:val="24"/>
                <w:lang w:val="en-GB"/>
              </w:rPr>
            </w:pPr>
            <w:r w:rsidRPr="00116F45">
              <w:rPr>
                <w:b w:val="0"/>
                <w:bCs/>
                <w:szCs w:val="24"/>
                <w:lang w:val="en-GB"/>
              </w:rPr>
              <w:t xml:space="preserve">94,181 </w:t>
            </w:r>
          </w:p>
        </w:tc>
        <w:tc>
          <w:tcPr>
            <w:tcW w:w="1133" w:type="dxa"/>
            <w:hideMark/>
          </w:tcPr>
          <w:p w14:paraId="12EE9409" w14:textId="77777777" w:rsidR="00A56AD8" w:rsidRPr="00116F45" w:rsidRDefault="00A56AD8" w:rsidP="00D92E46">
            <w:pPr>
              <w:pStyle w:val="NoSpacing"/>
              <w:spacing w:line="256" w:lineRule="auto"/>
              <w:jc w:val="right"/>
              <w:rPr>
                <w:b w:val="0"/>
                <w:bCs/>
                <w:szCs w:val="24"/>
                <w:lang w:val="en-GB"/>
              </w:rPr>
            </w:pPr>
            <w:r w:rsidRPr="00116F45">
              <w:rPr>
                <w:b w:val="0"/>
                <w:bCs/>
                <w:szCs w:val="24"/>
                <w:lang w:val="en-GB"/>
              </w:rPr>
              <w:t>3</w:t>
            </w:r>
          </w:p>
        </w:tc>
        <w:tc>
          <w:tcPr>
            <w:tcW w:w="1134" w:type="dxa"/>
            <w:hideMark/>
          </w:tcPr>
          <w:p w14:paraId="65B1C893" w14:textId="1B0F6040" w:rsidR="00A56AD8" w:rsidRPr="00116F45" w:rsidRDefault="00A56AD8" w:rsidP="00D92E46">
            <w:pPr>
              <w:pStyle w:val="NoSpacing"/>
              <w:spacing w:line="256" w:lineRule="auto"/>
              <w:jc w:val="right"/>
              <w:rPr>
                <w:b w:val="0"/>
                <w:bCs/>
                <w:szCs w:val="24"/>
                <w:lang w:val="en-GB"/>
              </w:rPr>
            </w:pPr>
            <w:r w:rsidRPr="00116F45">
              <w:rPr>
                <w:b w:val="0"/>
                <w:bCs/>
                <w:szCs w:val="24"/>
                <w:lang w:val="en-GB"/>
              </w:rPr>
              <w:t>0.00%</w:t>
            </w:r>
          </w:p>
        </w:tc>
        <w:tc>
          <w:tcPr>
            <w:tcW w:w="1134" w:type="dxa"/>
            <w:hideMark/>
          </w:tcPr>
          <w:p w14:paraId="7068AF27" w14:textId="44F14B6C"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457A33F3" w14:textId="77777777" w:rsidTr="00D92E46">
        <w:trPr>
          <w:trHeight w:val="290"/>
        </w:trPr>
        <w:tc>
          <w:tcPr>
            <w:tcW w:w="3261" w:type="dxa"/>
            <w:tcBorders>
              <w:top w:val="nil"/>
              <w:left w:val="nil"/>
              <w:bottom w:val="nil"/>
              <w:right w:val="nil"/>
            </w:tcBorders>
            <w:hideMark/>
          </w:tcPr>
          <w:p w14:paraId="57AA613A" w14:textId="77777777" w:rsidR="00A56AD8" w:rsidRPr="00116F45" w:rsidRDefault="00A56AD8" w:rsidP="00D92E46">
            <w:pPr>
              <w:pStyle w:val="NoSpacing"/>
              <w:spacing w:line="256" w:lineRule="auto"/>
              <w:rPr>
                <w:b w:val="0"/>
                <w:bCs/>
                <w:szCs w:val="24"/>
                <w:lang w:val="en-GB"/>
              </w:rPr>
            </w:pPr>
            <w:r w:rsidRPr="00116F45">
              <w:rPr>
                <w:b w:val="0"/>
                <w:bCs/>
                <w:szCs w:val="24"/>
                <w:lang w:val="en-GB"/>
              </w:rPr>
              <w:t>Lipid lowering therapy</w:t>
            </w:r>
          </w:p>
        </w:tc>
        <w:tc>
          <w:tcPr>
            <w:tcW w:w="1276" w:type="dxa"/>
            <w:tcBorders>
              <w:top w:val="nil"/>
              <w:left w:val="nil"/>
              <w:bottom w:val="nil"/>
              <w:right w:val="nil"/>
            </w:tcBorders>
            <w:hideMark/>
          </w:tcPr>
          <w:p w14:paraId="3E60E07C" w14:textId="28DE3724" w:rsidR="00A56AD8" w:rsidRPr="00116F45" w:rsidRDefault="00A56AD8" w:rsidP="00D92E46">
            <w:pPr>
              <w:pStyle w:val="NoSpacing"/>
              <w:spacing w:line="256" w:lineRule="auto"/>
              <w:jc w:val="center"/>
              <w:rPr>
                <w:b w:val="0"/>
                <w:bCs/>
                <w:szCs w:val="24"/>
                <w:lang w:val="en-GB"/>
              </w:rPr>
            </w:pPr>
            <w:r w:rsidRPr="00116F45">
              <w:rPr>
                <w:b w:val="0"/>
                <w:bCs/>
                <w:szCs w:val="24"/>
                <w:lang w:val="en-GB"/>
              </w:rPr>
              <w:t xml:space="preserve">93,900 </w:t>
            </w:r>
          </w:p>
        </w:tc>
        <w:tc>
          <w:tcPr>
            <w:tcW w:w="1133" w:type="dxa"/>
            <w:tcBorders>
              <w:top w:val="nil"/>
              <w:left w:val="nil"/>
              <w:bottom w:val="nil"/>
              <w:right w:val="nil"/>
            </w:tcBorders>
            <w:hideMark/>
          </w:tcPr>
          <w:p w14:paraId="2590DCE6" w14:textId="61662C7C" w:rsidR="00A56AD8" w:rsidRPr="00116F45" w:rsidRDefault="00A56AD8" w:rsidP="00D92E46">
            <w:pPr>
              <w:pStyle w:val="NoSpacing"/>
              <w:spacing w:line="256" w:lineRule="auto"/>
              <w:jc w:val="right"/>
              <w:rPr>
                <w:b w:val="0"/>
                <w:bCs/>
                <w:szCs w:val="24"/>
                <w:lang w:val="en-GB"/>
              </w:rPr>
            </w:pPr>
            <w:r w:rsidRPr="00116F45">
              <w:rPr>
                <w:b w:val="0"/>
                <w:bCs/>
                <w:szCs w:val="24"/>
                <w:lang w:val="en-GB"/>
              </w:rPr>
              <w:t>284</w:t>
            </w:r>
          </w:p>
        </w:tc>
        <w:tc>
          <w:tcPr>
            <w:tcW w:w="1134" w:type="dxa"/>
            <w:tcBorders>
              <w:top w:val="nil"/>
              <w:left w:val="nil"/>
              <w:bottom w:val="nil"/>
              <w:right w:val="nil"/>
            </w:tcBorders>
            <w:hideMark/>
          </w:tcPr>
          <w:p w14:paraId="417733F4" w14:textId="7AAB8DAE" w:rsidR="00A56AD8" w:rsidRPr="00116F45" w:rsidRDefault="00A56AD8" w:rsidP="00D92E46">
            <w:pPr>
              <w:pStyle w:val="NoSpacing"/>
              <w:spacing w:line="256" w:lineRule="auto"/>
              <w:jc w:val="right"/>
              <w:rPr>
                <w:b w:val="0"/>
                <w:bCs/>
                <w:szCs w:val="24"/>
                <w:lang w:val="en-GB"/>
              </w:rPr>
            </w:pPr>
            <w:r w:rsidRPr="00116F45">
              <w:rPr>
                <w:b w:val="0"/>
                <w:bCs/>
                <w:szCs w:val="24"/>
                <w:lang w:val="en-GB"/>
              </w:rPr>
              <w:t>0.30%</w:t>
            </w:r>
          </w:p>
        </w:tc>
        <w:tc>
          <w:tcPr>
            <w:tcW w:w="1134" w:type="dxa"/>
            <w:tcBorders>
              <w:top w:val="nil"/>
              <w:left w:val="nil"/>
              <w:bottom w:val="nil"/>
              <w:right w:val="nil"/>
            </w:tcBorders>
            <w:hideMark/>
          </w:tcPr>
          <w:p w14:paraId="1510EDA9" w14:textId="178A7DE9"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75ED5D9F" w14:textId="77777777" w:rsidTr="00D92E46">
        <w:trPr>
          <w:trHeight w:val="290"/>
        </w:trPr>
        <w:tc>
          <w:tcPr>
            <w:tcW w:w="3261" w:type="dxa"/>
            <w:tcBorders>
              <w:top w:val="nil"/>
              <w:left w:val="nil"/>
              <w:bottom w:val="nil"/>
              <w:right w:val="nil"/>
            </w:tcBorders>
          </w:tcPr>
          <w:p w14:paraId="17B7AA69" w14:textId="16905A56" w:rsidR="00A56AD8" w:rsidRPr="00116F45" w:rsidRDefault="00A56AD8" w:rsidP="00D92E46">
            <w:pPr>
              <w:pStyle w:val="NoSpacing"/>
              <w:spacing w:line="256" w:lineRule="auto"/>
              <w:rPr>
                <w:b w:val="0"/>
                <w:bCs/>
                <w:szCs w:val="24"/>
                <w:lang w:val="en-GB"/>
              </w:rPr>
            </w:pPr>
            <w:r w:rsidRPr="00116F45">
              <w:rPr>
                <w:b w:val="0"/>
                <w:bCs/>
                <w:szCs w:val="24"/>
                <w:lang w:val="en-GB"/>
              </w:rPr>
              <w:t>LDL cholesterol</w:t>
            </w:r>
          </w:p>
        </w:tc>
        <w:tc>
          <w:tcPr>
            <w:tcW w:w="1276" w:type="dxa"/>
            <w:tcBorders>
              <w:top w:val="nil"/>
              <w:left w:val="nil"/>
              <w:bottom w:val="nil"/>
              <w:right w:val="nil"/>
            </w:tcBorders>
          </w:tcPr>
          <w:p w14:paraId="7C113583" w14:textId="0680153B" w:rsidR="00A56AD8" w:rsidRPr="00116F45" w:rsidRDefault="00A56AD8" w:rsidP="00D92E46">
            <w:pPr>
              <w:pStyle w:val="NoSpacing"/>
              <w:spacing w:line="256" w:lineRule="auto"/>
              <w:jc w:val="center"/>
              <w:rPr>
                <w:b w:val="0"/>
                <w:bCs/>
                <w:szCs w:val="24"/>
                <w:lang w:val="en-GB"/>
              </w:rPr>
            </w:pPr>
            <w:r w:rsidRPr="00116F45">
              <w:rPr>
                <w:b w:val="0"/>
                <w:bCs/>
                <w:szCs w:val="24"/>
                <w:lang w:val="en-GB"/>
              </w:rPr>
              <w:t>93,107</w:t>
            </w:r>
          </w:p>
        </w:tc>
        <w:tc>
          <w:tcPr>
            <w:tcW w:w="1133" w:type="dxa"/>
            <w:tcBorders>
              <w:top w:val="nil"/>
              <w:left w:val="nil"/>
              <w:bottom w:val="nil"/>
              <w:right w:val="nil"/>
            </w:tcBorders>
          </w:tcPr>
          <w:p w14:paraId="3B3EEBB6" w14:textId="6C33A1BE" w:rsidR="00A56AD8" w:rsidRPr="00116F45" w:rsidRDefault="00A56AD8" w:rsidP="00D92E46">
            <w:pPr>
              <w:pStyle w:val="NoSpacing"/>
              <w:spacing w:line="256" w:lineRule="auto"/>
              <w:jc w:val="right"/>
              <w:rPr>
                <w:b w:val="0"/>
                <w:bCs/>
                <w:szCs w:val="24"/>
                <w:lang w:val="en-GB"/>
              </w:rPr>
            </w:pPr>
            <w:r w:rsidRPr="00116F45">
              <w:rPr>
                <w:b w:val="0"/>
                <w:bCs/>
                <w:szCs w:val="24"/>
                <w:lang w:val="en-GB"/>
              </w:rPr>
              <w:t>1,077</w:t>
            </w:r>
          </w:p>
        </w:tc>
        <w:tc>
          <w:tcPr>
            <w:tcW w:w="1134" w:type="dxa"/>
            <w:tcBorders>
              <w:top w:val="nil"/>
              <w:left w:val="nil"/>
              <w:bottom w:val="nil"/>
              <w:right w:val="nil"/>
            </w:tcBorders>
          </w:tcPr>
          <w:p w14:paraId="77E5682D" w14:textId="2063D7D4" w:rsidR="00A56AD8" w:rsidRPr="00116F45" w:rsidRDefault="00A56AD8" w:rsidP="00D92E46">
            <w:pPr>
              <w:pStyle w:val="NoSpacing"/>
              <w:spacing w:line="256" w:lineRule="auto"/>
              <w:jc w:val="right"/>
              <w:rPr>
                <w:b w:val="0"/>
                <w:bCs/>
                <w:szCs w:val="24"/>
                <w:lang w:val="en-GB"/>
              </w:rPr>
            </w:pPr>
            <w:r w:rsidRPr="00116F45">
              <w:rPr>
                <w:b w:val="0"/>
                <w:bCs/>
                <w:szCs w:val="24"/>
                <w:lang w:val="en-GB"/>
              </w:rPr>
              <w:t>1.14%</w:t>
            </w:r>
          </w:p>
        </w:tc>
        <w:tc>
          <w:tcPr>
            <w:tcW w:w="1134" w:type="dxa"/>
            <w:tcBorders>
              <w:top w:val="nil"/>
              <w:left w:val="nil"/>
              <w:bottom w:val="nil"/>
              <w:right w:val="nil"/>
            </w:tcBorders>
          </w:tcPr>
          <w:p w14:paraId="36DA75FE" w14:textId="0BC56BB1"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5238E888" w14:textId="77777777" w:rsidTr="00D92E46">
        <w:trPr>
          <w:trHeight w:val="290"/>
        </w:trPr>
        <w:tc>
          <w:tcPr>
            <w:tcW w:w="3261" w:type="dxa"/>
            <w:tcBorders>
              <w:top w:val="nil"/>
              <w:left w:val="nil"/>
              <w:bottom w:val="nil"/>
              <w:right w:val="nil"/>
            </w:tcBorders>
          </w:tcPr>
          <w:p w14:paraId="5BC880E2" w14:textId="5226122F" w:rsidR="00A56AD8" w:rsidRPr="00116F45" w:rsidRDefault="00A56AD8" w:rsidP="00D92E46">
            <w:pPr>
              <w:pStyle w:val="NoSpacing"/>
              <w:spacing w:line="256" w:lineRule="auto"/>
              <w:rPr>
                <w:b w:val="0"/>
                <w:bCs/>
                <w:szCs w:val="24"/>
                <w:lang w:val="en-GB"/>
              </w:rPr>
            </w:pPr>
            <w:r w:rsidRPr="00116F45">
              <w:rPr>
                <w:b w:val="0"/>
                <w:bCs/>
                <w:szCs w:val="24"/>
                <w:lang w:val="en-GB"/>
              </w:rPr>
              <w:t>HDL cholesterol</w:t>
            </w:r>
          </w:p>
        </w:tc>
        <w:tc>
          <w:tcPr>
            <w:tcW w:w="1276" w:type="dxa"/>
            <w:tcBorders>
              <w:top w:val="nil"/>
              <w:left w:val="nil"/>
              <w:bottom w:val="nil"/>
              <w:right w:val="nil"/>
            </w:tcBorders>
          </w:tcPr>
          <w:p w14:paraId="36054355" w14:textId="16AD2382" w:rsidR="00A56AD8" w:rsidRPr="00116F45" w:rsidRDefault="00A56AD8" w:rsidP="00D92E46">
            <w:pPr>
              <w:pStyle w:val="NoSpacing"/>
              <w:spacing w:line="256" w:lineRule="auto"/>
              <w:jc w:val="center"/>
              <w:rPr>
                <w:b w:val="0"/>
                <w:bCs/>
                <w:szCs w:val="24"/>
                <w:lang w:val="en-GB"/>
              </w:rPr>
            </w:pPr>
            <w:r w:rsidRPr="00116F45">
              <w:rPr>
                <w:b w:val="0"/>
                <w:bCs/>
                <w:szCs w:val="24"/>
                <w:lang w:val="en-GB"/>
              </w:rPr>
              <w:t>93,351</w:t>
            </w:r>
          </w:p>
        </w:tc>
        <w:tc>
          <w:tcPr>
            <w:tcW w:w="1133" w:type="dxa"/>
            <w:tcBorders>
              <w:top w:val="nil"/>
              <w:left w:val="nil"/>
              <w:bottom w:val="nil"/>
              <w:right w:val="nil"/>
            </w:tcBorders>
          </w:tcPr>
          <w:p w14:paraId="02F4D692" w14:textId="68451499" w:rsidR="00A56AD8" w:rsidRPr="00116F45" w:rsidRDefault="00A56AD8" w:rsidP="00D92E46">
            <w:pPr>
              <w:pStyle w:val="NoSpacing"/>
              <w:spacing w:line="256" w:lineRule="auto"/>
              <w:jc w:val="right"/>
              <w:rPr>
                <w:b w:val="0"/>
                <w:bCs/>
                <w:szCs w:val="24"/>
                <w:lang w:val="en-GB"/>
              </w:rPr>
            </w:pPr>
            <w:r w:rsidRPr="00116F45">
              <w:rPr>
                <w:b w:val="0"/>
                <w:bCs/>
                <w:szCs w:val="24"/>
                <w:lang w:val="en-GB"/>
              </w:rPr>
              <w:t>833</w:t>
            </w:r>
          </w:p>
        </w:tc>
        <w:tc>
          <w:tcPr>
            <w:tcW w:w="1134" w:type="dxa"/>
            <w:tcBorders>
              <w:top w:val="nil"/>
              <w:left w:val="nil"/>
              <w:bottom w:val="nil"/>
              <w:right w:val="nil"/>
            </w:tcBorders>
          </w:tcPr>
          <w:p w14:paraId="05D8457B" w14:textId="75687FBE" w:rsidR="00A56AD8" w:rsidRPr="00116F45" w:rsidRDefault="00A56AD8" w:rsidP="00D92E46">
            <w:pPr>
              <w:pStyle w:val="NoSpacing"/>
              <w:spacing w:line="256" w:lineRule="auto"/>
              <w:jc w:val="right"/>
              <w:rPr>
                <w:b w:val="0"/>
                <w:bCs/>
                <w:szCs w:val="24"/>
                <w:lang w:val="en-GB"/>
              </w:rPr>
            </w:pPr>
            <w:r w:rsidRPr="00116F45">
              <w:rPr>
                <w:b w:val="0"/>
                <w:bCs/>
                <w:szCs w:val="24"/>
                <w:lang w:val="en-GB"/>
              </w:rPr>
              <w:t>0.88%</w:t>
            </w:r>
          </w:p>
        </w:tc>
        <w:tc>
          <w:tcPr>
            <w:tcW w:w="1134" w:type="dxa"/>
            <w:tcBorders>
              <w:top w:val="nil"/>
              <w:left w:val="nil"/>
              <w:bottom w:val="nil"/>
              <w:right w:val="nil"/>
            </w:tcBorders>
          </w:tcPr>
          <w:p w14:paraId="54EE3A21" w14:textId="20D17A15"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r w:rsidR="00116F45" w:rsidRPr="00116F45" w14:paraId="24E39257" w14:textId="77777777" w:rsidTr="00D92E46">
        <w:trPr>
          <w:trHeight w:val="290"/>
        </w:trPr>
        <w:tc>
          <w:tcPr>
            <w:tcW w:w="3261" w:type="dxa"/>
            <w:tcBorders>
              <w:top w:val="nil"/>
              <w:left w:val="nil"/>
              <w:bottom w:val="single" w:sz="6" w:space="0" w:color="auto"/>
              <w:right w:val="nil"/>
            </w:tcBorders>
          </w:tcPr>
          <w:p w14:paraId="0CCF6DED" w14:textId="06BD404B" w:rsidR="00A56AD8" w:rsidRPr="00116F45" w:rsidRDefault="00A56AD8" w:rsidP="00D92E46">
            <w:pPr>
              <w:pStyle w:val="NoSpacing"/>
              <w:spacing w:line="256" w:lineRule="auto"/>
              <w:rPr>
                <w:b w:val="0"/>
                <w:bCs/>
                <w:szCs w:val="24"/>
                <w:lang w:val="en-GB"/>
              </w:rPr>
            </w:pPr>
            <w:r w:rsidRPr="00116F45">
              <w:rPr>
                <w:b w:val="0"/>
                <w:bCs/>
                <w:szCs w:val="24"/>
                <w:lang w:val="en-GB"/>
              </w:rPr>
              <w:t>Triglycerides</w:t>
            </w:r>
          </w:p>
        </w:tc>
        <w:tc>
          <w:tcPr>
            <w:tcW w:w="1276" w:type="dxa"/>
            <w:tcBorders>
              <w:top w:val="nil"/>
              <w:left w:val="nil"/>
              <w:bottom w:val="single" w:sz="6" w:space="0" w:color="auto"/>
              <w:right w:val="nil"/>
            </w:tcBorders>
          </w:tcPr>
          <w:p w14:paraId="0CB8C27E" w14:textId="02757B98" w:rsidR="00A56AD8" w:rsidRPr="00116F45" w:rsidRDefault="00A56AD8" w:rsidP="00D92E46">
            <w:pPr>
              <w:pStyle w:val="NoSpacing"/>
              <w:spacing w:line="256" w:lineRule="auto"/>
              <w:jc w:val="center"/>
              <w:rPr>
                <w:b w:val="0"/>
                <w:bCs/>
                <w:szCs w:val="24"/>
                <w:lang w:val="en-GB"/>
              </w:rPr>
            </w:pPr>
            <w:r w:rsidRPr="00116F45">
              <w:rPr>
                <w:b w:val="0"/>
                <w:bCs/>
                <w:szCs w:val="24"/>
                <w:lang w:val="en-GB"/>
              </w:rPr>
              <w:t>93,348</w:t>
            </w:r>
          </w:p>
        </w:tc>
        <w:tc>
          <w:tcPr>
            <w:tcW w:w="1133" w:type="dxa"/>
            <w:tcBorders>
              <w:top w:val="nil"/>
              <w:left w:val="nil"/>
              <w:bottom w:val="single" w:sz="6" w:space="0" w:color="auto"/>
              <w:right w:val="nil"/>
            </w:tcBorders>
          </w:tcPr>
          <w:p w14:paraId="270A0164" w14:textId="7B74EF33" w:rsidR="00A56AD8" w:rsidRPr="00116F45" w:rsidRDefault="00A56AD8" w:rsidP="00D92E46">
            <w:pPr>
              <w:pStyle w:val="NoSpacing"/>
              <w:spacing w:line="256" w:lineRule="auto"/>
              <w:jc w:val="right"/>
              <w:rPr>
                <w:b w:val="0"/>
                <w:bCs/>
                <w:szCs w:val="24"/>
                <w:lang w:val="en-GB"/>
              </w:rPr>
            </w:pPr>
            <w:r w:rsidRPr="00116F45">
              <w:rPr>
                <w:b w:val="0"/>
                <w:bCs/>
                <w:szCs w:val="24"/>
                <w:lang w:val="en-GB"/>
              </w:rPr>
              <w:t>836</w:t>
            </w:r>
          </w:p>
        </w:tc>
        <w:tc>
          <w:tcPr>
            <w:tcW w:w="1134" w:type="dxa"/>
            <w:tcBorders>
              <w:top w:val="nil"/>
              <w:left w:val="nil"/>
              <w:bottom w:val="single" w:sz="6" w:space="0" w:color="auto"/>
              <w:right w:val="nil"/>
            </w:tcBorders>
          </w:tcPr>
          <w:p w14:paraId="45E413D9" w14:textId="5543062D" w:rsidR="00A56AD8" w:rsidRPr="00116F45" w:rsidRDefault="00A56AD8" w:rsidP="00D92E46">
            <w:pPr>
              <w:pStyle w:val="NoSpacing"/>
              <w:spacing w:line="256" w:lineRule="auto"/>
              <w:jc w:val="right"/>
              <w:rPr>
                <w:b w:val="0"/>
                <w:bCs/>
                <w:szCs w:val="24"/>
                <w:lang w:val="en-GB"/>
              </w:rPr>
            </w:pPr>
            <w:r w:rsidRPr="00116F45">
              <w:rPr>
                <w:b w:val="0"/>
                <w:bCs/>
                <w:szCs w:val="24"/>
                <w:lang w:val="en-GB"/>
              </w:rPr>
              <w:t>0.86%</w:t>
            </w:r>
          </w:p>
        </w:tc>
        <w:tc>
          <w:tcPr>
            <w:tcW w:w="1134" w:type="dxa"/>
            <w:tcBorders>
              <w:top w:val="nil"/>
              <w:left w:val="nil"/>
              <w:bottom w:val="single" w:sz="6" w:space="0" w:color="auto"/>
              <w:right w:val="nil"/>
            </w:tcBorders>
          </w:tcPr>
          <w:p w14:paraId="59DA405A" w14:textId="406D449D" w:rsidR="00A56AD8" w:rsidRPr="00116F45" w:rsidRDefault="00A56AD8" w:rsidP="00D92E46">
            <w:pPr>
              <w:pStyle w:val="NoSpacing"/>
              <w:spacing w:line="256" w:lineRule="auto"/>
              <w:jc w:val="center"/>
              <w:rPr>
                <w:b w:val="0"/>
                <w:bCs/>
                <w:szCs w:val="24"/>
                <w:lang w:val="en-GB"/>
              </w:rPr>
            </w:pPr>
            <w:r w:rsidRPr="00116F45">
              <w:rPr>
                <w:b w:val="0"/>
                <w:bCs/>
                <w:szCs w:val="24"/>
                <w:lang w:val="en-GB"/>
              </w:rPr>
              <w:t>94,184</w:t>
            </w:r>
          </w:p>
        </w:tc>
      </w:tr>
    </w:tbl>
    <w:p w14:paraId="3E93F7DA" w14:textId="77777777" w:rsidR="006E1936" w:rsidRPr="00116F45" w:rsidRDefault="006E1936" w:rsidP="006E1936">
      <w:pPr>
        <w:rPr>
          <w:rFonts w:cs="Times New Roman"/>
          <w:b/>
          <w:lang w:val="en-GB"/>
        </w:rPr>
      </w:pPr>
    </w:p>
    <w:p w14:paraId="1DB25E2D" w14:textId="380DDEE7" w:rsidR="0096789F" w:rsidRPr="00116F45" w:rsidRDefault="0096789F" w:rsidP="0089045A">
      <w:pPr>
        <w:rPr>
          <w:rFonts w:cs="Times New Roman"/>
          <w:lang w:val="en-US"/>
        </w:rPr>
      </w:pPr>
      <w:r w:rsidRPr="00116F45">
        <w:rPr>
          <w:rFonts w:cs="Times New Roman"/>
          <w:lang w:val="en-US"/>
        </w:rPr>
        <w:br w:type="page"/>
      </w:r>
    </w:p>
    <w:p w14:paraId="116AE03D" w14:textId="0FD7E556" w:rsidR="00A10FE4" w:rsidRPr="00116F45" w:rsidRDefault="00A10FE4" w:rsidP="00E5295E">
      <w:pPr>
        <w:pStyle w:val="Heading2"/>
        <w:rPr>
          <w:lang w:val="en-US"/>
        </w:rPr>
      </w:pPr>
      <w:bookmarkStart w:id="20" w:name="_Toc110945228"/>
      <w:r w:rsidRPr="00116F45">
        <w:rPr>
          <w:lang w:val="en-US"/>
        </w:rPr>
        <w:lastRenderedPageBreak/>
        <w:t>Supplementary Table 5. Dietary patterns in CGPS and CGPS2 duplicates</w:t>
      </w:r>
      <w:r w:rsidR="00E5295E" w:rsidRPr="00116F45">
        <w:rPr>
          <w:lang w:val="en-US"/>
        </w:rPr>
        <w:t>.</w:t>
      </w:r>
      <w:bookmarkEnd w:id="20"/>
    </w:p>
    <w:tbl>
      <w:tblPr>
        <w:tblpPr w:leftFromText="180" w:rightFromText="180" w:vertAnchor="text" w:horzAnchor="margin" w:tblpY="89"/>
        <w:tblW w:w="0" w:type="auto"/>
        <w:tblLook w:val="04A0" w:firstRow="1" w:lastRow="0" w:firstColumn="1" w:lastColumn="0" w:noHBand="0" w:noVBand="1"/>
      </w:tblPr>
      <w:tblGrid>
        <w:gridCol w:w="3463"/>
        <w:gridCol w:w="1623"/>
        <w:gridCol w:w="1356"/>
        <w:gridCol w:w="1623"/>
        <w:gridCol w:w="1356"/>
      </w:tblGrid>
      <w:tr w:rsidR="00116F45" w:rsidRPr="00116F45" w14:paraId="2AB353EC" w14:textId="77777777" w:rsidTr="006275FE">
        <w:trPr>
          <w:trHeight w:val="300"/>
        </w:trPr>
        <w:tc>
          <w:tcPr>
            <w:tcW w:w="0" w:type="auto"/>
            <w:vMerge w:val="restart"/>
            <w:tcBorders>
              <w:top w:val="single" w:sz="4" w:space="0" w:color="auto"/>
              <w:left w:val="nil"/>
              <w:bottom w:val="nil"/>
              <w:right w:val="nil"/>
            </w:tcBorders>
            <w:shd w:val="clear" w:color="auto" w:fill="auto"/>
            <w:noWrap/>
            <w:hideMark/>
          </w:tcPr>
          <w:p w14:paraId="4C293B62" w14:textId="77777777" w:rsidR="00A10FE4" w:rsidRPr="00116F45" w:rsidRDefault="00A10FE4" w:rsidP="006275FE">
            <w:pPr>
              <w:spacing w:line="276" w:lineRule="auto"/>
              <w:jc w:val="center"/>
              <w:rPr>
                <w:rFonts w:eastAsia="Times New Roman" w:cs="Times New Roman"/>
                <w:b/>
                <w:bCs/>
                <w:szCs w:val="24"/>
                <w:lang w:val="en-GB" w:eastAsia="en-GB"/>
              </w:rPr>
            </w:pPr>
            <w:r w:rsidRPr="00116F45">
              <w:rPr>
                <w:rFonts w:eastAsia="Times New Roman" w:cs="Times New Roman"/>
                <w:b/>
                <w:bCs/>
                <w:szCs w:val="24"/>
                <w:lang w:val="en-GB" w:eastAsia="en-GB"/>
              </w:rPr>
              <w:t>Adherence to dietary guidelines</w:t>
            </w:r>
          </w:p>
        </w:tc>
        <w:tc>
          <w:tcPr>
            <w:tcW w:w="0" w:type="auto"/>
            <w:gridSpan w:val="2"/>
            <w:tcBorders>
              <w:top w:val="single" w:sz="4" w:space="0" w:color="auto"/>
              <w:left w:val="nil"/>
              <w:bottom w:val="nil"/>
              <w:right w:val="nil"/>
            </w:tcBorders>
            <w:shd w:val="clear" w:color="auto" w:fill="auto"/>
            <w:noWrap/>
            <w:vAlign w:val="bottom"/>
            <w:hideMark/>
          </w:tcPr>
          <w:p w14:paraId="64D7F36B" w14:textId="77777777" w:rsidR="00A10FE4" w:rsidRPr="00116F45" w:rsidRDefault="00A10FE4" w:rsidP="006275FE">
            <w:pPr>
              <w:spacing w:line="276" w:lineRule="auto"/>
              <w:jc w:val="center"/>
              <w:rPr>
                <w:rFonts w:eastAsia="Times New Roman" w:cs="Times New Roman"/>
                <w:b/>
                <w:bCs/>
                <w:szCs w:val="24"/>
                <w:lang w:val="en-GB" w:eastAsia="en-GB"/>
              </w:rPr>
            </w:pPr>
            <w:r w:rsidRPr="00116F45">
              <w:rPr>
                <w:rFonts w:eastAsia="Times New Roman" w:cs="Times New Roman"/>
                <w:b/>
                <w:bCs/>
                <w:szCs w:val="24"/>
                <w:lang w:val="en-GB" w:eastAsia="en-GB"/>
              </w:rPr>
              <w:t>CGPS</w:t>
            </w:r>
          </w:p>
        </w:tc>
        <w:tc>
          <w:tcPr>
            <w:tcW w:w="0" w:type="auto"/>
            <w:gridSpan w:val="2"/>
            <w:tcBorders>
              <w:top w:val="single" w:sz="4" w:space="0" w:color="auto"/>
              <w:left w:val="nil"/>
              <w:bottom w:val="nil"/>
              <w:right w:val="nil"/>
            </w:tcBorders>
            <w:shd w:val="clear" w:color="auto" w:fill="auto"/>
            <w:noWrap/>
            <w:vAlign w:val="bottom"/>
            <w:hideMark/>
          </w:tcPr>
          <w:p w14:paraId="4BA24163" w14:textId="77777777" w:rsidR="00A10FE4" w:rsidRPr="00116F45" w:rsidRDefault="00A10FE4" w:rsidP="006275FE">
            <w:pPr>
              <w:spacing w:line="276" w:lineRule="auto"/>
              <w:jc w:val="center"/>
              <w:rPr>
                <w:rFonts w:eastAsia="Times New Roman" w:cs="Times New Roman"/>
                <w:b/>
                <w:bCs/>
                <w:szCs w:val="24"/>
                <w:lang w:val="en-GB" w:eastAsia="en-GB"/>
              </w:rPr>
            </w:pPr>
            <w:r w:rsidRPr="00116F45">
              <w:rPr>
                <w:rFonts w:eastAsia="Times New Roman" w:cs="Times New Roman"/>
                <w:b/>
                <w:bCs/>
                <w:szCs w:val="24"/>
                <w:lang w:val="en-GB" w:eastAsia="en-GB"/>
              </w:rPr>
              <w:t>CGPS2</w:t>
            </w:r>
          </w:p>
        </w:tc>
      </w:tr>
      <w:tr w:rsidR="00116F45" w:rsidRPr="00116F45" w14:paraId="2FBF80CD" w14:textId="77777777" w:rsidTr="006275FE">
        <w:trPr>
          <w:trHeight w:val="300"/>
        </w:trPr>
        <w:tc>
          <w:tcPr>
            <w:tcW w:w="0" w:type="auto"/>
            <w:vMerge/>
            <w:tcBorders>
              <w:top w:val="nil"/>
              <w:left w:val="nil"/>
              <w:bottom w:val="single" w:sz="4" w:space="0" w:color="auto"/>
              <w:right w:val="nil"/>
            </w:tcBorders>
            <w:vAlign w:val="center"/>
            <w:hideMark/>
          </w:tcPr>
          <w:p w14:paraId="3CA76039" w14:textId="77777777" w:rsidR="00A10FE4" w:rsidRPr="00116F45" w:rsidRDefault="00A10FE4" w:rsidP="006275FE">
            <w:pPr>
              <w:spacing w:line="276" w:lineRule="auto"/>
              <w:rPr>
                <w:rFonts w:eastAsia="Times New Roman" w:cs="Times New Roman"/>
                <w:szCs w:val="24"/>
                <w:lang w:val="en-GB" w:eastAsia="en-GB"/>
              </w:rPr>
            </w:pPr>
          </w:p>
        </w:tc>
        <w:tc>
          <w:tcPr>
            <w:tcW w:w="0" w:type="auto"/>
            <w:tcBorders>
              <w:top w:val="nil"/>
              <w:left w:val="nil"/>
              <w:bottom w:val="single" w:sz="4" w:space="0" w:color="auto"/>
              <w:right w:val="nil"/>
            </w:tcBorders>
            <w:shd w:val="clear" w:color="auto" w:fill="auto"/>
            <w:noWrap/>
            <w:vAlign w:val="bottom"/>
            <w:hideMark/>
          </w:tcPr>
          <w:p w14:paraId="7C233C3A"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Frequency (N)</w:t>
            </w:r>
          </w:p>
        </w:tc>
        <w:tc>
          <w:tcPr>
            <w:tcW w:w="0" w:type="auto"/>
            <w:tcBorders>
              <w:top w:val="nil"/>
              <w:left w:val="nil"/>
              <w:bottom w:val="single" w:sz="4" w:space="0" w:color="auto"/>
              <w:right w:val="nil"/>
            </w:tcBorders>
            <w:shd w:val="clear" w:color="auto" w:fill="auto"/>
            <w:noWrap/>
            <w:vAlign w:val="bottom"/>
            <w:hideMark/>
          </w:tcPr>
          <w:p w14:paraId="6ECA6EE2"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Percent (%)</w:t>
            </w:r>
          </w:p>
        </w:tc>
        <w:tc>
          <w:tcPr>
            <w:tcW w:w="0" w:type="auto"/>
            <w:tcBorders>
              <w:top w:val="nil"/>
              <w:left w:val="nil"/>
              <w:bottom w:val="single" w:sz="4" w:space="0" w:color="auto"/>
              <w:right w:val="nil"/>
            </w:tcBorders>
            <w:shd w:val="clear" w:color="auto" w:fill="auto"/>
            <w:noWrap/>
            <w:vAlign w:val="bottom"/>
            <w:hideMark/>
          </w:tcPr>
          <w:p w14:paraId="670CD101"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Frequency (N)</w:t>
            </w:r>
          </w:p>
        </w:tc>
        <w:tc>
          <w:tcPr>
            <w:tcW w:w="0" w:type="auto"/>
            <w:tcBorders>
              <w:top w:val="nil"/>
              <w:left w:val="nil"/>
              <w:bottom w:val="single" w:sz="4" w:space="0" w:color="auto"/>
              <w:right w:val="nil"/>
            </w:tcBorders>
            <w:shd w:val="clear" w:color="auto" w:fill="auto"/>
            <w:noWrap/>
            <w:vAlign w:val="bottom"/>
            <w:hideMark/>
          </w:tcPr>
          <w:p w14:paraId="71BB0BC5"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Percent (%)</w:t>
            </w:r>
          </w:p>
        </w:tc>
      </w:tr>
      <w:tr w:rsidR="00116F45" w:rsidRPr="00116F45" w14:paraId="7D40CD1B" w14:textId="77777777" w:rsidTr="006275FE">
        <w:trPr>
          <w:trHeight w:val="300"/>
        </w:trPr>
        <w:tc>
          <w:tcPr>
            <w:tcW w:w="0" w:type="auto"/>
            <w:tcBorders>
              <w:top w:val="single" w:sz="4" w:space="0" w:color="auto"/>
              <w:left w:val="nil"/>
              <w:bottom w:val="nil"/>
              <w:right w:val="nil"/>
            </w:tcBorders>
            <w:shd w:val="clear" w:color="auto" w:fill="auto"/>
            <w:noWrap/>
            <w:vAlign w:val="bottom"/>
            <w:hideMark/>
          </w:tcPr>
          <w:p w14:paraId="60BCF23E"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High</w:t>
            </w:r>
          </w:p>
        </w:tc>
        <w:tc>
          <w:tcPr>
            <w:tcW w:w="0" w:type="auto"/>
            <w:tcBorders>
              <w:top w:val="single" w:sz="4" w:space="0" w:color="auto"/>
              <w:left w:val="nil"/>
              <w:bottom w:val="nil"/>
              <w:right w:val="nil"/>
            </w:tcBorders>
            <w:shd w:val="clear" w:color="auto" w:fill="auto"/>
            <w:noWrap/>
            <w:vAlign w:val="bottom"/>
            <w:hideMark/>
          </w:tcPr>
          <w:p w14:paraId="4BA61016"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2,484</w:t>
            </w:r>
          </w:p>
        </w:tc>
        <w:tc>
          <w:tcPr>
            <w:tcW w:w="0" w:type="auto"/>
            <w:tcBorders>
              <w:top w:val="single" w:sz="4" w:space="0" w:color="auto"/>
              <w:left w:val="nil"/>
              <w:bottom w:val="nil"/>
              <w:right w:val="nil"/>
            </w:tcBorders>
            <w:shd w:val="clear" w:color="auto" w:fill="auto"/>
            <w:noWrap/>
            <w:vAlign w:val="bottom"/>
            <w:hideMark/>
          </w:tcPr>
          <w:p w14:paraId="3CC3F47C" w14:textId="77777777" w:rsidR="00A10FE4" w:rsidRPr="00116F45" w:rsidRDefault="00A10FE4" w:rsidP="006275FE">
            <w:pPr>
              <w:spacing w:line="276" w:lineRule="auto"/>
              <w:jc w:val="right"/>
              <w:rPr>
                <w:rFonts w:eastAsia="Times New Roman" w:cs="Times New Roman"/>
                <w:b/>
                <w:bCs/>
                <w:szCs w:val="24"/>
                <w:lang w:val="en-GB" w:eastAsia="en-GB"/>
              </w:rPr>
            </w:pPr>
            <w:r w:rsidRPr="00116F45">
              <w:rPr>
                <w:rFonts w:eastAsia="Times New Roman" w:cs="Times New Roman"/>
                <w:b/>
                <w:bCs/>
                <w:szCs w:val="24"/>
                <w:lang w:val="en-GB" w:eastAsia="en-GB"/>
              </w:rPr>
              <w:t>19.41</w:t>
            </w:r>
          </w:p>
        </w:tc>
        <w:tc>
          <w:tcPr>
            <w:tcW w:w="0" w:type="auto"/>
            <w:tcBorders>
              <w:top w:val="single" w:sz="4" w:space="0" w:color="auto"/>
              <w:left w:val="nil"/>
              <w:bottom w:val="nil"/>
              <w:right w:val="nil"/>
            </w:tcBorders>
            <w:shd w:val="clear" w:color="auto" w:fill="auto"/>
            <w:noWrap/>
            <w:vAlign w:val="bottom"/>
            <w:hideMark/>
          </w:tcPr>
          <w:p w14:paraId="44870061"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2,663</w:t>
            </w:r>
          </w:p>
        </w:tc>
        <w:tc>
          <w:tcPr>
            <w:tcW w:w="0" w:type="auto"/>
            <w:tcBorders>
              <w:top w:val="single" w:sz="4" w:space="0" w:color="auto"/>
              <w:left w:val="nil"/>
              <w:bottom w:val="nil"/>
              <w:right w:val="nil"/>
            </w:tcBorders>
            <w:shd w:val="clear" w:color="auto" w:fill="auto"/>
            <w:noWrap/>
            <w:vAlign w:val="bottom"/>
            <w:hideMark/>
          </w:tcPr>
          <w:p w14:paraId="0A266015" w14:textId="77777777" w:rsidR="00A10FE4" w:rsidRPr="00116F45" w:rsidRDefault="00A10FE4" w:rsidP="006275FE">
            <w:pPr>
              <w:spacing w:line="276" w:lineRule="auto"/>
              <w:jc w:val="right"/>
              <w:rPr>
                <w:rFonts w:eastAsia="Times New Roman" w:cs="Times New Roman"/>
                <w:b/>
                <w:bCs/>
                <w:szCs w:val="24"/>
                <w:lang w:val="en-GB" w:eastAsia="en-GB"/>
              </w:rPr>
            </w:pPr>
            <w:r w:rsidRPr="00116F45">
              <w:rPr>
                <w:rFonts w:eastAsia="Times New Roman" w:cs="Times New Roman"/>
                <w:b/>
                <w:bCs/>
                <w:szCs w:val="24"/>
                <w:lang w:val="en-GB" w:eastAsia="en-GB"/>
              </w:rPr>
              <w:t>20.80</w:t>
            </w:r>
          </w:p>
        </w:tc>
      </w:tr>
      <w:tr w:rsidR="00116F45" w:rsidRPr="00116F45" w14:paraId="11D74CA5" w14:textId="77777777" w:rsidTr="006275FE">
        <w:trPr>
          <w:trHeight w:val="300"/>
        </w:trPr>
        <w:tc>
          <w:tcPr>
            <w:tcW w:w="0" w:type="auto"/>
            <w:tcBorders>
              <w:top w:val="nil"/>
              <w:left w:val="nil"/>
              <w:bottom w:val="nil"/>
              <w:right w:val="nil"/>
            </w:tcBorders>
            <w:shd w:val="clear" w:color="auto" w:fill="auto"/>
            <w:noWrap/>
            <w:vAlign w:val="bottom"/>
            <w:hideMark/>
          </w:tcPr>
          <w:p w14:paraId="3A098FF3"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Intermediate</w:t>
            </w:r>
          </w:p>
        </w:tc>
        <w:tc>
          <w:tcPr>
            <w:tcW w:w="0" w:type="auto"/>
            <w:tcBorders>
              <w:top w:val="nil"/>
              <w:left w:val="nil"/>
              <w:bottom w:val="nil"/>
              <w:right w:val="nil"/>
            </w:tcBorders>
            <w:shd w:val="clear" w:color="auto" w:fill="auto"/>
            <w:noWrap/>
            <w:vAlign w:val="bottom"/>
            <w:hideMark/>
          </w:tcPr>
          <w:p w14:paraId="1BE442F5"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9,178</w:t>
            </w:r>
          </w:p>
        </w:tc>
        <w:tc>
          <w:tcPr>
            <w:tcW w:w="0" w:type="auto"/>
            <w:tcBorders>
              <w:top w:val="nil"/>
              <w:left w:val="nil"/>
              <w:bottom w:val="nil"/>
              <w:right w:val="nil"/>
            </w:tcBorders>
            <w:shd w:val="clear" w:color="auto" w:fill="auto"/>
            <w:noWrap/>
            <w:vAlign w:val="bottom"/>
            <w:hideMark/>
          </w:tcPr>
          <w:p w14:paraId="1EE97724" w14:textId="77777777" w:rsidR="00A10FE4" w:rsidRPr="00116F45" w:rsidRDefault="00A10FE4" w:rsidP="006275FE">
            <w:pPr>
              <w:spacing w:line="276" w:lineRule="auto"/>
              <w:jc w:val="right"/>
              <w:rPr>
                <w:rFonts w:eastAsia="Times New Roman" w:cs="Times New Roman"/>
                <w:b/>
                <w:bCs/>
                <w:szCs w:val="24"/>
                <w:lang w:val="en-GB" w:eastAsia="en-GB"/>
              </w:rPr>
            </w:pPr>
            <w:r w:rsidRPr="00116F45">
              <w:rPr>
                <w:rFonts w:eastAsia="Times New Roman" w:cs="Times New Roman"/>
                <w:b/>
                <w:bCs/>
                <w:szCs w:val="24"/>
                <w:lang w:val="en-GB" w:eastAsia="en-GB"/>
              </w:rPr>
              <w:t>71.70</w:t>
            </w:r>
          </w:p>
        </w:tc>
        <w:tc>
          <w:tcPr>
            <w:tcW w:w="0" w:type="auto"/>
            <w:tcBorders>
              <w:top w:val="nil"/>
              <w:left w:val="nil"/>
              <w:bottom w:val="nil"/>
              <w:right w:val="nil"/>
            </w:tcBorders>
            <w:shd w:val="clear" w:color="auto" w:fill="auto"/>
            <w:noWrap/>
            <w:vAlign w:val="bottom"/>
            <w:hideMark/>
          </w:tcPr>
          <w:p w14:paraId="7D8C5426"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8,840</w:t>
            </w:r>
          </w:p>
        </w:tc>
        <w:tc>
          <w:tcPr>
            <w:tcW w:w="0" w:type="auto"/>
            <w:tcBorders>
              <w:top w:val="nil"/>
              <w:left w:val="nil"/>
              <w:bottom w:val="nil"/>
              <w:right w:val="nil"/>
            </w:tcBorders>
            <w:shd w:val="clear" w:color="auto" w:fill="auto"/>
            <w:noWrap/>
            <w:vAlign w:val="bottom"/>
            <w:hideMark/>
          </w:tcPr>
          <w:p w14:paraId="0B853F3A" w14:textId="77777777" w:rsidR="00A10FE4" w:rsidRPr="00116F45" w:rsidRDefault="00A10FE4" w:rsidP="006275FE">
            <w:pPr>
              <w:spacing w:line="276" w:lineRule="auto"/>
              <w:jc w:val="right"/>
              <w:rPr>
                <w:rFonts w:eastAsia="Times New Roman" w:cs="Times New Roman"/>
                <w:b/>
                <w:bCs/>
                <w:szCs w:val="24"/>
                <w:lang w:val="en-GB" w:eastAsia="en-GB"/>
              </w:rPr>
            </w:pPr>
            <w:r w:rsidRPr="00116F45">
              <w:rPr>
                <w:rFonts w:eastAsia="Times New Roman" w:cs="Times New Roman"/>
                <w:b/>
                <w:bCs/>
                <w:szCs w:val="24"/>
                <w:lang w:val="en-GB" w:eastAsia="en-GB"/>
              </w:rPr>
              <w:t>69.06</w:t>
            </w:r>
          </w:p>
        </w:tc>
      </w:tr>
      <w:tr w:rsidR="00116F45" w:rsidRPr="00116F45" w14:paraId="4139CF6C" w14:textId="77777777" w:rsidTr="006275FE">
        <w:trPr>
          <w:trHeight w:val="300"/>
        </w:trPr>
        <w:tc>
          <w:tcPr>
            <w:tcW w:w="0" w:type="auto"/>
            <w:tcBorders>
              <w:top w:val="nil"/>
              <w:left w:val="nil"/>
              <w:bottom w:val="single" w:sz="4" w:space="0" w:color="auto"/>
              <w:right w:val="nil"/>
            </w:tcBorders>
            <w:shd w:val="clear" w:color="auto" w:fill="auto"/>
            <w:noWrap/>
            <w:vAlign w:val="bottom"/>
            <w:hideMark/>
          </w:tcPr>
          <w:p w14:paraId="0BA40EBE"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Low</w:t>
            </w:r>
          </w:p>
        </w:tc>
        <w:tc>
          <w:tcPr>
            <w:tcW w:w="0" w:type="auto"/>
            <w:tcBorders>
              <w:top w:val="nil"/>
              <w:left w:val="nil"/>
              <w:bottom w:val="single" w:sz="4" w:space="0" w:color="auto"/>
              <w:right w:val="nil"/>
            </w:tcBorders>
            <w:shd w:val="clear" w:color="auto" w:fill="auto"/>
            <w:noWrap/>
            <w:vAlign w:val="bottom"/>
            <w:hideMark/>
          </w:tcPr>
          <w:p w14:paraId="2FD6365D"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1,138</w:t>
            </w:r>
          </w:p>
        </w:tc>
        <w:tc>
          <w:tcPr>
            <w:tcW w:w="0" w:type="auto"/>
            <w:tcBorders>
              <w:top w:val="nil"/>
              <w:left w:val="nil"/>
              <w:bottom w:val="single" w:sz="4" w:space="0" w:color="auto"/>
              <w:right w:val="nil"/>
            </w:tcBorders>
            <w:shd w:val="clear" w:color="auto" w:fill="auto"/>
            <w:noWrap/>
            <w:vAlign w:val="bottom"/>
            <w:hideMark/>
          </w:tcPr>
          <w:p w14:paraId="47F04F1F" w14:textId="77777777" w:rsidR="00A10FE4" w:rsidRPr="00116F45" w:rsidRDefault="00A10FE4" w:rsidP="006275FE">
            <w:pPr>
              <w:spacing w:line="276" w:lineRule="auto"/>
              <w:jc w:val="right"/>
              <w:rPr>
                <w:rFonts w:eastAsia="Times New Roman" w:cs="Times New Roman"/>
                <w:b/>
                <w:bCs/>
                <w:szCs w:val="24"/>
                <w:lang w:val="en-GB" w:eastAsia="en-GB"/>
              </w:rPr>
            </w:pPr>
            <w:r w:rsidRPr="00116F45">
              <w:rPr>
                <w:rFonts w:eastAsia="Times New Roman" w:cs="Times New Roman"/>
                <w:b/>
                <w:bCs/>
                <w:szCs w:val="24"/>
                <w:lang w:val="en-GB" w:eastAsia="en-GB"/>
              </w:rPr>
              <w:t>8.89</w:t>
            </w:r>
          </w:p>
        </w:tc>
        <w:tc>
          <w:tcPr>
            <w:tcW w:w="0" w:type="auto"/>
            <w:tcBorders>
              <w:top w:val="nil"/>
              <w:left w:val="nil"/>
              <w:bottom w:val="single" w:sz="4" w:space="0" w:color="auto"/>
              <w:right w:val="nil"/>
            </w:tcBorders>
            <w:shd w:val="clear" w:color="auto" w:fill="auto"/>
            <w:noWrap/>
            <w:vAlign w:val="bottom"/>
            <w:hideMark/>
          </w:tcPr>
          <w:p w14:paraId="69184116"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1,297</w:t>
            </w:r>
          </w:p>
        </w:tc>
        <w:tc>
          <w:tcPr>
            <w:tcW w:w="0" w:type="auto"/>
            <w:tcBorders>
              <w:top w:val="nil"/>
              <w:left w:val="nil"/>
              <w:bottom w:val="single" w:sz="4" w:space="0" w:color="auto"/>
              <w:right w:val="nil"/>
            </w:tcBorders>
            <w:shd w:val="clear" w:color="auto" w:fill="auto"/>
            <w:noWrap/>
            <w:vAlign w:val="bottom"/>
            <w:hideMark/>
          </w:tcPr>
          <w:p w14:paraId="6285C740" w14:textId="77777777" w:rsidR="00A10FE4" w:rsidRPr="00116F45" w:rsidRDefault="00A10FE4" w:rsidP="006275FE">
            <w:pPr>
              <w:spacing w:line="276" w:lineRule="auto"/>
              <w:jc w:val="right"/>
              <w:rPr>
                <w:rFonts w:eastAsia="Times New Roman" w:cs="Times New Roman"/>
                <w:b/>
                <w:bCs/>
                <w:szCs w:val="24"/>
                <w:lang w:val="en-GB" w:eastAsia="en-GB"/>
              </w:rPr>
            </w:pPr>
            <w:r w:rsidRPr="00116F45">
              <w:rPr>
                <w:rFonts w:eastAsia="Times New Roman" w:cs="Times New Roman"/>
                <w:b/>
                <w:bCs/>
                <w:szCs w:val="24"/>
                <w:lang w:val="en-GB" w:eastAsia="en-GB"/>
              </w:rPr>
              <w:t>10.13</w:t>
            </w:r>
          </w:p>
        </w:tc>
      </w:tr>
      <w:tr w:rsidR="00116F45" w:rsidRPr="00116F45" w14:paraId="0A25BE58" w14:textId="77777777" w:rsidTr="006275FE">
        <w:trPr>
          <w:trHeight w:val="300"/>
        </w:trPr>
        <w:tc>
          <w:tcPr>
            <w:tcW w:w="0" w:type="auto"/>
            <w:tcBorders>
              <w:top w:val="single" w:sz="4" w:space="0" w:color="auto"/>
              <w:left w:val="nil"/>
              <w:bottom w:val="single" w:sz="4" w:space="0" w:color="auto"/>
              <w:right w:val="nil"/>
            </w:tcBorders>
            <w:shd w:val="clear" w:color="auto" w:fill="auto"/>
            <w:noWrap/>
            <w:vAlign w:val="bottom"/>
            <w:hideMark/>
          </w:tcPr>
          <w:p w14:paraId="61D72EA9"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Total</w:t>
            </w:r>
          </w:p>
        </w:tc>
        <w:tc>
          <w:tcPr>
            <w:tcW w:w="0" w:type="auto"/>
            <w:tcBorders>
              <w:top w:val="single" w:sz="4" w:space="0" w:color="auto"/>
              <w:left w:val="nil"/>
              <w:bottom w:val="single" w:sz="4" w:space="0" w:color="auto"/>
              <w:right w:val="nil"/>
            </w:tcBorders>
            <w:shd w:val="clear" w:color="auto" w:fill="auto"/>
            <w:noWrap/>
            <w:vAlign w:val="bottom"/>
            <w:hideMark/>
          </w:tcPr>
          <w:p w14:paraId="1725EDBA"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12,800</w:t>
            </w:r>
          </w:p>
        </w:tc>
        <w:tc>
          <w:tcPr>
            <w:tcW w:w="0" w:type="auto"/>
            <w:tcBorders>
              <w:top w:val="single" w:sz="4" w:space="0" w:color="auto"/>
              <w:left w:val="nil"/>
              <w:bottom w:val="single" w:sz="4" w:space="0" w:color="auto"/>
              <w:right w:val="nil"/>
            </w:tcBorders>
            <w:shd w:val="clear" w:color="auto" w:fill="auto"/>
            <w:noWrap/>
            <w:vAlign w:val="bottom"/>
            <w:hideMark/>
          </w:tcPr>
          <w:p w14:paraId="251DB45D"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100.00</w:t>
            </w:r>
          </w:p>
        </w:tc>
        <w:tc>
          <w:tcPr>
            <w:tcW w:w="0" w:type="auto"/>
            <w:tcBorders>
              <w:top w:val="single" w:sz="4" w:space="0" w:color="auto"/>
              <w:left w:val="nil"/>
              <w:bottom w:val="single" w:sz="4" w:space="0" w:color="auto"/>
              <w:right w:val="nil"/>
            </w:tcBorders>
            <w:shd w:val="clear" w:color="auto" w:fill="auto"/>
            <w:noWrap/>
            <w:vAlign w:val="bottom"/>
            <w:hideMark/>
          </w:tcPr>
          <w:p w14:paraId="7F9D2BAC"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12,800</w:t>
            </w:r>
          </w:p>
        </w:tc>
        <w:tc>
          <w:tcPr>
            <w:tcW w:w="0" w:type="auto"/>
            <w:tcBorders>
              <w:top w:val="single" w:sz="4" w:space="0" w:color="auto"/>
              <w:left w:val="nil"/>
              <w:bottom w:val="single" w:sz="4" w:space="0" w:color="auto"/>
              <w:right w:val="nil"/>
            </w:tcBorders>
            <w:shd w:val="clear" w:color="auto" w:fill="auto"/>
            <w:noWrap/>
            <w:vAlign w:val="bottom"/>
            <w:hideMark/>
          </w:tcPr>
          <w:p w14:paraId="4BA16829"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100.00</w:t>
            </w:r>
          </w:p>
        </w:tc>
      </w:tr>
      <w:tr w:rsidR="00116F45" w:rsidRPr="00116F45" w14:paraId="7A81D770" w14:textId="77777777" w:rsidTr="006275FE">
        <w:trPr>
          <w:trHeight w:val="300"/>
        </w:trPr>
        <w:tc>
          <w:tcPr>
            <w:tcW w:w="0" w:type="auto"/>
            <w:tcBorders>
              <w:top w:val="single" w:sz="4" w:space="0" w:color="auto"/>
              <w:left w:val="nil"/>
              <w:bottom w:val="single" w:sz="4" w:space="0" w:color="auto"/>
              <w:right w:val="nil"/>
            </w:tcBorders>
            <w:shd w:val="clear" w:color="auto" w:fill="auto"/>
            <w:noWrap/>
            <w:vAlign w:val="bottom"/>
          </w:tcPr>
          <w:p w14:paraId="6503FA74" w14:textId="77777777" w:rsidR="00A10FE4" w:rsidRPr="00116F45" w:rsidRDefault="00A10FE4" w:rsidP="006275FE">
            <w:pPr>
              <w:spacing w:line="276" w:lineRule="auto"/>
              <w:rPr>
                <w:rFonts w:eastAsia="Times New Roman" w:cs="Times New Roman"/>
                <w:szCs w:val="24"/>
                <w:lang w:val="en-GB" w:eastAsia="en-GB"/>
              </w:rPr>
            </w:pPr>
          </w:p>
          <w:p w14:paraId="64AC0EBA" w14:textId="77777777" w:rsidR="00A10FE4" w:rsidRPr="00116F45" w:rsidRDefault="00A10FE4" w:rsidP="006275FE">
            <w:pPr>
              <w:spacing w:line="276" w:lineRule="auto"/>
              <w:rPr>
                <w:rFonts w:eastAsia="Times New Roman" w:cs="Times New Roman"/>
                <w:szCs w:val="24"/>
                <w:lang w:val="en-GB" w:eastAsia="en-GB"/>
              </w:rPr>
            </w:pPr>
          </w:p>
        </w:tc>
        <w:tc>
          <w:tcPr>
            <w:tcW w:w="0" w:type="auto"/>
            <w:tcBorders>
              <w:top w:val="single" w:sz="4" w:space="0" w:color="auto"/>
              <w:left w:val="nil"/>
              <w:bottom w:val="single" w:sz="4" w:space="0" w:color="auto"/>
              <w:right w:val="nil"/>
            </w:tcBorders>
            <w:shd w:val="clear" w:color="auto" w:fill="auto"/>
            <w:noWrap/>
            <w:vAlign w:val="bottom"/>
          </w:tcPr>
          <w:p w14:paraId="37BDE690"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top w:val="single" w:sz="4" w:space="0" w:color="auto"/>
              <w:left w:val="nil"/>
              <w:bottom w:val="single" w:sz="4" w:space="0" w:color="auto"/>
              <w:right w:val="nil"/>
            </w:tcBorders>
            <w:shd w:val="clear" w:color="auto" w:fill="auto"/>
            <w:noWrap/>
            <w:vAlign w:val="bottom"/>
          </w:tcPr>
          <w:p w14:paraId="0B42F8DC"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top w:val="single" w:sz="4" w:space="0" w:color="auto"/>
              <w:left w:val="nil"/>
              <w:bottom w:val="single" w:sz="4" w:space="0" w:color="auto"/>
              <w:right w:val="nil"/>
            </w:tcBorders>
            <w:shd w:val="clear" w:color="auto" w:fill="auto"/>
            <w:noWrap/>
            <w:vAlign w:val="bottom"/>
          </w:tcPr>
          <w:p w14:paraId="2351BB88"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top w:val="single" w:sz="4" w:space="0" w:color="auto"/>
              <w:left w:val="nil"/>
              <w:bottom w:val="single" w:sz="4" w:space="0" w:color="auto"/>
              <w:right w:val="nil"/>
            </w:tcBorders>
            <w:shd w:val="clear" w:color="auto" w:fill="auto"/>
            <w:noWrap/>
            <w:vAlign w:val="bottom"/>
          </w:tcPr>
          <w:p w14:paraId="11941F4F"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72514E2B" w14:textId="77777777" w:rsidTr="006275FE">
        <w:trPr>
          <w:trHeight w:val="300"/>
        </w:trPr>
        <w:tc>
          <w:tcPr>
            <w:tcW w:w="0" w:type="auto"/>
            <w:tcBorders>
              <w:top w:val="single" w:sz="4" w:space="0" w:color="auto"/>
              <w:left w:val="nil"/>
              <w:bottom w:val="single" w:sz="4" w:space="0" w:color="auto"/>
              <w:right w:val="nil"/>
            </w:tcBorders>
            <w:shd w:val="clear" w:color="auto" w:fill="auto"/>
            <w:noWrap/>
            <w:vAlign w:val="bottom"/>
          </w:tcPr>
          <w:p w14:paraId="6232D74D" w14:textId="77777777" w:rsidR="00A10FE4" w:rsidRPr="00116F45" w:rsidRDefault="00A10FE4" w:rsidP="006275FE">
            <w:pPr>
              <w:spacing w:line="276" w:lineRule="auto"/>
              <w:jc w:val="center"/>
              <w:rPr>
                <w:rFonts w:eastAsia="Times New Roman" w:cs="Times New Roman"/>
                <w:b/>
                <w:bCs/>
                <w:szCs w:val="24"/>
                <w:lang w:val="en-GB" w:eastAsia="en-GB"/>
              </w:rPr>
            </w:pPr>
            <w:r w:rsidRPr="00116F45">
              <w:rPr>
                <w:rFonts w:eastAsia="Times New Roman" w:cs="Times New Roman"/>
                <w:b/>
                <w:bCs/>
                <w:szCs w:val="24"/>
                <w:lang w:val="en-GB" w:eastAsia="en-GB"/>
              </w:rPr>
              <w:t xml:space="preserve">Change in group of </w:t>
            </w:r>
            <w:proofErr w:type="gramStart"/>
            <w:r w:rsidRPr="00116F45">
              <w:rPr>
                <w:rFonts w:eastAsia="Times New Roman" w:cs="Times New Roman"/>
                <w:b/>
                <w:bCs/>
                <w:szCs w:val="24"/>
                <w:lang w:val="en-GB" w:eastAsia="en-GB"/>
              </w:rPr>
              <w:t>adherence</w:t>
            </w:r>
            <w:proofErr w:type="gramEnd"/>
          </w:p>
        </w:tc>
        <w:tc>
          <w:tcPr>
            <w:tcW w:w="0" w:type="auto"/>
            <w:tcBorders>
              <w:top w:val="single" w:sz="4" w:space="0" w:color="auto"/>
              <w:left w:val="nil"/>
              <w:bottom w:val="single" w:sz="4" w:space="0" w:color="auto"/>
              <w:right w:val="nil"/>
            </w:tcBorders>
            <w:shd w:val="clear" w:color="auto" w:fill="auto"/>
            <w:noWrap/>
            <w:vAlign w:val="bottom"/>
          </w:tcPr>
          <w:p w14:paraId="537A894D"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Frequency (N)</w:t>
            </w:r>
          </w:p>
        </w:tc>
        <w:tc>
          <w:tcPr>
            <w:tcW w:w="0" w:type="auto"/>
            <w:tcBorders>
              <w:top w:val="single" w:sz="4" w:space="0" w:color="auto"/>
              <w:left w:val="nil"/>
              <w:bottom w:val="single" w:sz="4" w:space="0" w:color="auto"/>
              <w:right w:val="nil"/>
            </w:tcBorders>
            <w:shd w:val="clear" w:color="auto" w:fill="auto"/>
            <w:noWrap/>
            <w:vAlign w:val="bottom"/>
          </w:tcPr>
          <w:p w14:paraId="1EF23122"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Percent (%)</w:t>
            </w:r>
          </w:p>
        </w:tc>
        <w:tc>
          <w:tcPr>
            <w:tcW w:w="0" w:type="auto"/>
            <w:tcBorders>
              <w:top w:val="single" w:sz="4" w:space="0" w:color="auto"/>
              <w:left w:val="nil"/>
              <w:bottom w:val="single" w:sz="4" w:space="0" w:color="auto"/>
              <w:right w:val="nil"/>
            </w:tcBorders>
            <w:shd w:val="clear" w:color="auto" w:fill="auto"/>
            <w:noWrap/>
            <w:vAlign w:val="bottom"/>
          </w:tcPr>
          <w:p w14:paraId="4C5396E1"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top w:val="single" w:sz="4" w:space="0" w:color="auto"/>
              <w:left w:val="nil"/>
              <w:bottom w:val="single" w:sz="4" w:space="0" w:color="auto"/>
              <w:right w:val="nil"/>
            </w:tcBorders>
            <w:shd w:val="clear" w:color="auto" w:fill="auto"/>
            <w:noWrap/>
            <w:vAlign w:val="bottom"/>
          </w:tcPr>
          <w:p w14:paraId="3DD0120D"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591719BF" w14:textId="77777777" w:rsidTr="006275FE">
        <w:trPr>
          <w:trHeight w:val="300"/>
        </w:trPr>
        <w:tc>
          <w:tcPr>
            <w:tcW w:w="0" w:type="auto"/>
            <w:tcBorders>
              <w:top w:val="single" w:sz="4" w:space="0" w:color="auto"/>
              <w:left w:val="nil"/>
              <w:right w:val="nil"/>
            </w:tcBorders>
            <w:shd w:val="clear" w:color="auto" w:fill="auto"/>
            <w:noWrap/>
            <w:vAlign w:val="bottom"/>
          </w:tcPr>
          <w:p w14:paraId="3430B278"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High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high</w:t>
            </w:r>
          </w:p>
        </w:tc>
        <w:tc>
          <w:tcPr>
            <w:tcW w:w="0" w:type="auto"/>
            <w:tcBorders>
              <w:top w:val="single" w:sz="4" w:space="0" w:color="auto"/>
              <w:left w:val="nil"/>
              <w:right w:val="nil"/>
            </w:tcBorders>
            <w:shd w:val="clear" w:color="auto" w:fill="auto"/>
            <w:noWrap/>
            <w:vAlign w:val="bottom"/>
          </w:tcPr>
          <w:p w14:paraId="4B3B8055"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1,039</w:t>
            </w:r>
          </w:p>
        </w:tc>
        <w:tc>
          <w:tcPr>
            <w:tcW w:w="0" w:type="auto"/>
            <w:tcBorders>
              <w:top w:val="single" w:sz="4" w:space="0" w:color="auto"/>
              <w:left w:val="nil"/>
              <w:right w:val="nil"/>
            </w:tcBorders>
            <w:shd w:val="clear" w:color="auto" w:fill="auto"/>
            <w:noWrap/>
            <w:vAlign w:val="bottom"/>
          </w:tcPr>
          <w:p w14:paraId="44B71572"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8.12</w:t>
            </w:r>
          </w:p>
        </w:tc>
        <w:tc>
          <w:tcPr>
            <w:tcW w:w="0" w:type="auto"/>
            <w:tcBorders>
              <w:top w:val="single" w:sz="4" w:space="0" w:color="auto"/>
              <w:left w:val="nil"/>
              <w:right w:val="nil"/>
            </w:tcBorders>
            <w:shd w:val="clear" w:color="auto" w:fill="auto"/>
            <w:noWrap/>
            <w:vAlign w:val="bottom"/>
          </w:tcPr>
          <w:p w14:paraId="3EBE84B7"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top w:val="single" w:sz="4" w:space="0" w:color="auto"/>
              <w:left w:val="nil"/>
              <w:right w:val="nil"/>
            </w:tcBorders>
            <w:shd w:val="clear" w:color="auto" w:fill="auto"/>
            <w:noWrap/>
            <w:vAlign w:val="bottom"/>
          </w:tcPr>
          <w:p w14:paraId="2DF63334"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0B511871" w14:textId="77777777" w:rsidTr="006275FE">
        <w:trPr>
          <w:trHeight w:val="300"/>
        </w:trPr>
        <w:tc>
          <w:tcPr>
            <w:tcW w:w="0" w:type="auto"/>
            <w:tcBorders>
              <w:left w:val="nil"/>
              <w:right w:val="nil"/>
            </w:tcBorders>
            <w:shd w:val="clear" w:color="auto" w:fill="auto"/>
            <w:noWrap/>
            <w:vAlign w:val="bottom"/>
          </w:tcPr>
          <w:p w14:paraId="664395A4"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High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intermediate</w:t>
            </w:r>
          </w:p>
        </w:tc>
        <w:tc>
          <w:tcPr>
            <w:tcW w:w="0" w:type="auto"/>
            <w:tcBorders>
              <w:left w:val="nil"/>
              <w:right w:val="nil"/>
            </w:tcBorders>
            <w:shd w:val="clear" w:color="auto" w:fill="auto"/>
            <w:noWrap/>
            <w:vAlign w:val="bottom"/>
          </w:tcPr>
          <w:p w14:paraId="49D0ABF0"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1,395</w:t>
            </w:r>
          </w:p>
        </w:tc>
        <w:tc>
          <w:tcPr>
            <w:tcW w:w="0" w:type="auto"/>
            <w:tcBorders>
              <w:left w:val="nil"/>
              <w:right w:val="nil"/>
            </w:tcBorders>
            <w:shd w:val="clear" w:color="auto" w:fill="auto"/>
            <w:noWrap/>
            <w:vAlign w:val="bottom"/>
          </w:tcPr>
          <w:p w14:paraId="6560FD96"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10.90</w:t>
            </w:r>
          </w:p>
        </w:tc>
        <w:tc>
          <w:tcPr>
            <w:tcW w:w="0" w:type="auto"/>
            <w:tcBorders>
              <w:left w:val="nil"/>
              <w:right w:val="nil"/>
            </w:tcBorders>
            <w:shd w:val="clear" w:color="auto" w:fill="auto"/>
            <w:noWrap/>
            <w:vAlign w:val="bottom"/>
          </w:tcPr>
          <w:p w14:paraId="54ED56CE"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right w:val="nil"/>
            </w:tcBorders>
            <w:shd w:val="clear" w:color="auto" w:fill="auto"/>
            <w:noWrap/>
            <w:vAlign w:val="bottom"/>
          </w:tcPr>
          <w:p w14:paraId="30280B95"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7BEC4224" w14:textId="77777777" w:rsidTr="006275FE">
        <w:trPr>
          <w:trHeight w:val="300"/>
        </w:trPr>
        <w:tc>
          <w:tcPr>
            <w:tcW w:w="0" w:type="auto"/>
            <w:tcBorders>
              <w:left w:val="nil"/>
              <w:right w:val="nil"/>
            </w:tcBorders>
            <w:shd w:val="clear" w:color="auto" w:fill="auto"/>
            <w:noWrap/>
            <w:vAlign w:val="bottom"/>
          </w:tcPr>
          <w:p w14:paraId="41235B33"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High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low</w:t>
            </w:r>
          </w:p>
        </w:tc>
        <w:tc>
          <w:tcPr>
            <w:tcW w:w="0" w:type="auto"/>
            <w:tcBorders>
              <w:left w:val="nil"/>
              <w:right w:val="nil"/>
            </w:tcBorders>
            <w:shd w:val="clear" w:color="auto" w:fill="auto"/>
            <w:noWrap/>
            <w:vAlign w:val="bottom"/>
          </w:tcPr>
          <w:p w14:paraId="046E9D8E"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50</w:t>
            </w:r>
          </w:p>
        </w:tc>
        <w:tc>
          <w:tcPr>
            <w:tcW w:w="0" w:type="auto"/>
            <w:tcBorders>
              <w:left w:val="nil"/>
              <w:right w:val="nil"/>
            </w:tcBorders>
            <w:shd w:val="clear" w:color="auto" w:fill="auto"/>
            <w:noWrap/>
            <w:vAlign w:val="bottom"/>
          </w:tcPr>
          <w:p w14:paraId="229F04E3"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0.39</w:t>
            </w:r>
          </w:p>
        </w:tc>
        <w:tc>
          <w:tcPr>
            <w:tcW w:w="0" w:type="auto"/>
            <w:tcBorders>
              <w:left w:val="nil"/>
              <w:right w:val="nil"/>
            </w:tcBorders>
            <w:shd w:val="clear" w:color="auto" w:fill="auto"/>
            <w:noWrap/>
            <w:vAlign w:val="bottom"/>
          </w:tcPr>
          <w:p w14:paraId="498B4A10"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right w:val="nil"/>
            </w:tcBorders>
            <w:shd w:val="clear" w:color="auto" w:fill="auto"/>
            <w:noWrap/>
            <w:vAlign w:val="bottom"/>
          </w:tcPr>
          <w:p w14:paraId="7FA51A3B"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2255B3FF" w14:textId="77777777" w:rsidTr="006275FE">
        <w:trPr>
          <w:trHeight w:val="300"/>
        </w:trPr>
        <w:tc>
          <w:tcPr>
            <w:tcW w:w="0" w:type="auto"/>
            <w:tcBorders>
              <w:left w:val="nil"/>
              <w:right w:val="nil"/>
            </w:tcBorders>
            <w:shd w:val="clear" w:color="auto" w:fill="auto"/>
            <w:noWrap/>
            <w:vAlign w:val="bottom"/>
          </w:tcPr>
          <w:p w14:paraId="31B250E5"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Intermediate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high</w:t>
            </w:r>
          </w:p>
        </w:tc>
        <w:tc>
          <w:tcPr>
            <w:tcW w:w="0" w:type="auto"/>
            <w:tcBorders>
              <w:left w:val="nil"/>
              <w:right w:val="nil"/>
            </w:tcBorders>
            <w:shd w:val="clear" w:color="auto" w:fill="auto"/>
            <w:noWrap/>
            <w:vAlign w:val="bottom"/>
          </w:tcPr>
          <w:p w14:paraId="20D637BC"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1,602</w:t>
            </w:r>
          </w:p>
        </w:tc>
        <w:tc>
          <w:tcPr>
            <w:tcW w:w="0" w:type="auto"/>
            <w:tcBorders>
              <w:left w:val="nil"/>
              <w:right w:val="nil"/>
            </w:tcBorders>
            <w:shd w:val="clear" w:color="auto" w:fill="auto"/>
            <w:noWrap/>
            <w:vAlign w:val="bottom"/>
          </w:tcPr>
          <w:p w14:paraId="5524F944"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12.52</w:t>
            </w:r>
          </w:p>
        </w:tc>
        <w:tc>
          <w:tcPr>
            <w:tcW w:w="0" w:type="auto"/>
            <w:tcBorders>
              <w:left w:val="nil"/>
              <w:right w:val="nil"/>
            </w:tcBorders>
            <w:shd w:val="clear" w:color="auto" w:fill="auto"/>
            <w:noWrap/>
            <w:vAlign w:val="bottom"/>
          </w:tcPr>
          <w:p w14:paraId="067B9AF8"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right w:val="nil"/>
            </w:tcBorders>
            <w:shd w:val="clear" w:color="auto" w:fill="auto"/>
            <w:noWrap/>
            <w:vAlign w:val="bottom"/>
          </w:tcPr>
          <w:p w14:paraId="4EF4D9D6"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3676CCD9" w14:textId="77777777" w:rsidTr="006275FE">
        <w:trPr>
          <w:trHeight w:val="300"/>
        </w:trPr>
        <w:tc>
          <w:tcPr>
            <w:tcW w:w="0" w:type="auto"/>
            <w:tcBorders>
              <w:left w:val="nil"/>
              <w:right w:val="nil"/>
            </w:tcBorders>
            <w:shd w:val="clear" w:color="auto" w:fill="auto"/>
            <w:noWrap/>
            <w:vAlign w:val="bottom"/>
          </w:tcPr>
          <w:p w14:paraId="4CE6FB87"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Intermediate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w:t>
            </w:r>
            <w:proofErr w:type="spellStart"/>
            <w:r w:rsidRPr="00116F45">
              <w:rPr>
                <w:rFonts w:eastAsia="Times New Roman" w:cs="Times New Roman"/>
                <w:szCs w:val="24"/>
                <w:lang w:val="en-GB" w:eastAsia="en-GB"/>
              </w:rPr>
              <w:t>intermediate</w:t>
            </w:r>
            <w:proofErr w:type="spellEnd"/>
          </w:p>
        </w:tc>
        <w:tc>
          <w:tcPr>
            <w:tcW w:w="0" w:type="auto"/>
            <w:tcBorders>
              <w:left w:val="nil"/>
              <w:right w:val="nil"/>
            </w:tcBorders>
            <w:shd w:val="clear" w:color="auto" w:fill="auto"/>
            <w:noWrap/>
            <w:vAlign w:val="bottom"/>
          </w:tcPr>
          <w:p w14:paraId="544C453B"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6,841</w:t>
            </w:r>
          </w:p>
        </w:tc>
        <w:tc>
          <w:tcPr>
            <w:tcW w:w="0" w:type="auto"/>
            <w:tcBorders>
              <w:left w:val="nil"/>
              <w:right w:val="nil"/>
            </w:tcBorders>
            <w:shd w:val="clear" w:color="auto" w:fill="auto"/>
            <w:noWrap/>
            <w:vAlign w:val="bottom"/>
          </w:tcPr>
          <w:p w14:paraId="0D08C473"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53.45</w:t>
            </w:r>
          </w:p>
        </w:tc>
        <w:tc>
          <w:tcPr>
            <w:tcW w:w="0" w:type="auto"/>
            <w:tcBorders>
              <w:left w:val="nil"/>
              <w:right w:val="nil"/>
            </w:tcBorders>
            <w:shd w:val="clear" w:color="auto" w:fill="auto"/>
            <w:noWrap/>
            <w:vAlign w:val="bottom"/>
          </w:tcPr>
          <w:p w14:paraId="2465255A"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right w:val="nil"/>
            </w:tcBorders>
            <w:shd w:val="clear" w:color="auto" w:fill="auto"/>
            <w:noWrap/>
            <w:vAlign w:val="bottom"/>
          </w:tcPr>
          <w:p w14:paraId="5756C2AA"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7226EAA4" w14:textId="77777777" w:rsidTr="006275FE">
        <w:trPr>
          <w:trHeight w:val="300"/>
        </w:trPr>
        <w:tc>
          <w:tcPr>
            <w:tcW w:w="0" w:type="auto"/>
            <w:tcBorders>
              <w:left w:val="nil"/>
              <w:right w:val="nil"/>
            </w:tcBorders>
            <w:shd w:val="clear" w:color="auto" w:fill="auto"/>
            <w:noWrap/>
            <w:vAlign w:val="bottom"/>
          </w:tcPr>
          <w:p w14:paraId="069D798D"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Intermediate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low</w:t>
            </w:r>
          </w:p>
        </w:tc>
        <w:tc>
          <w:tcPr>
            <w:tcW w:w="0" w:type="auto"/>
            <w:tcBorders>
              <w:left w:val="nil"/>
              <w:right w:val="nil"/>
            </w:tcBorders>
            <w:shd w:val="clear" w:color="auto" w:fill="auto"/>
            <w:noWrap/>
            <w:vAlign w:val="bottom"/>
          </w:tcPr>
          <w:p w14:paraId="624CCC18"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735</w:t>
            </w:r>
          </w:p>
        </w:tc>
        <w:tc>
          <w:tcPr>
            <w:tcW w:w="0" w:type="auto"/>
            <w:tcBorders>
              <w:left w:val="nil"/>
              <w:right w:val="nil"/>
            </w:tcBorders>
            <w:shd w:val="clear" w:color="auto" w:fill="auto"/>
            <w:noWrap/>
            <w:vAlign w:val="bottom"/>
          </w:tcPr>
          <w:p w14:paraId="373EA590"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5.74</w:t>
            </w:r>
          </w:p>
        </w:tc>
        <w:tc>
          <w:tcPr>
            <w:tcW w:w="0" w:type="auto"/>
            <w:tcBorders>
              <w:left w:val="nil"/>
              <w:right w:val="nil"/>
            </w:tcBorders>
            <w:shd w:val="clear" w:color="auto" w:fill="auto"/>
            <w:noWrap/>
            <w:vAlign w:val="bottom"/>
          </w:tcPr>
          <w:p w14:paraId="79624DEA"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right w:val="nil"/>
            </w:tcBorders>
            <w:shd w:val="clear" w:color="auto" w:fill="auto"/>
            <w:noWrap/>
            <w:vAlign w:val="bottom"/>
          </w:tcPr>
          <w:p w14:paraId="4B540A96"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1918A7FA" w14:textId="77777777" w:rsidTr="006275FE">
        <w:trPr>
          <w:trHeight w:val="300"/>
        </w:trPr>
        <w:tc>
          <w:tcPr>
            <w:tcW w:w="0" w:type="auto"/>
            <w:tcBorders>
              <w:left w:val="nil"/>
              <w:right w:val="nil"/>
            </w:tcBorders>
            <w:shd w:val="clear" w:color="auto" w:fill="auto"/>
            <w:noWrap/>
            <w:vAlign w:val="bottom"/>
          </w:tcPr>
          <w:p w14:paraId="5A0480B9"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Low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high</w:t>
            </w:r>
          </w:p>
        </w:tc>
        <w:tc>
          <w:tcPr>
            <w:tcW w:w="0" w:type="auto"/>
            <w:tcBorders>
              <w:left w:val="nil"/>
              <w:right w:val="nil"/>
            </w:tcBorders>
            <w:shd w:val="clear" w:color="auto" w:fill="auto"/>
            <w:noWrap/>
            <w:vAlign w:val="bottom"/>
          </w:tcPr>
          <w:p w14:paraId="79CB2FD1"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22</w:t>
            </w:r>
          </w:p>
        </w:tc>
        <w:tc>
          <w:tcPr>
            <w:tcW w:w="0" w:type="auto"/>
            <w:tcBorders>
              <w:left w:val="nil"/>
              <w:right w:val="nil"/>
            </w:tcBorders>
            <w:shd w:val="clear" w:color="auto" w:fill="auto"/>
            <w:noWrap/>
            <w:vAlign w:val="bottom"/>
          </w:tcPr>
          <w:p w14:paraId="02F65360"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0.17</w:t>
            </w:r>
          </w:p>
        </w:tc>
        <w:tc>
          <w:tcPr>
            <w:tcW w:w="0" w:type="auto"/>
            <w:tcBorders>
              <w:left w:val="nil"/>
              <w:right w:val="nil"/>
            </w:tcBorders>
            <w:shd w:val="clear" w:color="auto" w:fill="auto"/>
            <w:noWrap/>
            <w:vAlign w:val="bottom"/>
          </w:tcPr>
          <w:p w14:paraId="3EE93376"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right w:val="nil"/>
            </w:tcBorders>
            <w:shd w:val="clear" w:color="auto" w:fill="auto"/>
            <w:noWrap/>
            <w:vAlign w:val="bottom"/>
          </w:tcPr>
          <w:p w14:paraId="13680872"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7D0AA605" w14:textId="77777777" w:rsidTr="006275FE">
        <w:trPr>
          <w:trHeight w:val="300"/>
        </w:trPr>
        <w:tc>
          <w:tcPr>
            <w:tcW w:w="0" w:type="auto"/>
            <w:tcBorders>
              <w:left w:val="nil"/>
              <w:right w:val="nil"/>
            </w:tcBorders>
            <w:shd w:val="clear" w:color="auto" w:fill="auto"/>
            <w:noWrap/>
            <w:vAlign w:val="bottom"/>
          </w:tcPr>
          <w:p w14:paraId="61F0DBE3"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Low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intermediate</w:t>
            </w:r>
          </w:p>
        </w:tc>
        <w:tc>
          <w:tcPr>
            <w:tcW w:w="0" w:type="auto"/>
            <w:tcBorders>
              <w:left w:val="nil"/>
              <w:right w:val="nil"/>
            </w:tcBorders>
            <w:shd w:val="clear" w:color="auto" w:fill="auto"/>
            <w:noWrap/>
            <w:vAlign w:val="bottom"/>
          </w:tcPr>
          <w:p w14:paraId="70308AE6"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604</w:t>
            </w:r>
          </w:p>
        </w:tc>
        <w:tc>
          <w:tcPr>
            <w:tcW w:w="0" w:type="auto"/>
            <w:tcBorders>
              <w:left w:val="nil"/>
              <w:right w:val="nil"/>
            </w:tcBorders>
            <w:shd w:val="clear" w:color="auto" w:fill="auto"/>
            <w:noWrap/>
            <w:vAlign w:val="bottom"/>
          </w:tcPr>
          <w:p w14:paraId="114D87ED"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4.72</w:t>
            </w:r>
          </w:p>
        </w:tc>
        <w:tc>
          <w:tcPr>
            <w:tcW w:w="0" w:type="auto"/>
            <w:tcBorders>
              <w:left w:val="nil"/>
              <w:right w:val="nil"/>
            </w:tcBorders>
            <w:shd w:val="clear" w:color="auto" w:fill="auto"/>
            <w:noWrap/>
            <w:vAlign w:val="bottom"/>
          </w:tcPr>
          <w:p w14:paraId="66645800"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right w:val="nil"/>
            </w:tcBorders>
            <w:shd w:val="clear" w:color="auto" w:fill="auto"/>
            <w:noWrap/>
            <w:vAlign w:val="bottom"/>
          </w:tcPr>
          <w:p w14:paraId="3290EE17"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226A13CB" w14:textId="77777777" w:rsidTr="006275FE">
        <w:trPr>
          <w:trHeight w:val="300"/>
        </w:trPr>
        <w:tc>
          <w:tcPr>
            <w:tcW w:w="0" w:type="auto"/>
            <w:tcBorders>
              <w:left w:val="nil"/>
              <w:bottom w:val="single" w:sz="4" w:space="0" w:color="auto"/>
              <w:right w:val="nil"/>
            </w:tcBorders>
            <w:shd w:val="clear" w:color="auto" w:fill="auto"/>
            <w:noWrap/>
            <w:vAlign w:val="bottom"/>
          </w:tcPr>
          <w:p w14:paraId="1C8FFA77" w14:textId="77777777" w:rsidR="00A10FE4" w:rsidRPr="00116F45" w:rsidRDefault="00A10FE4" w:rsidP="006275FE">
            <w:pPr>
              <w:spacing w:line="276" w:lineRule="auto"/>
              <w:rPr>
                <w:rFonts w:eastAsia="Times New Roman" w:cs="Times New Roman"/>
                <w:szCs w:val="24"/>
                <w:lang w:val="en-GB" w:eastAsia="en-GB"/>
              </w:rPr>
            </w:pPr>
            <w:r w:rsidRPr="00116F45">
              <w:rPr>
                <w:rFonts w:eastAsia="Times New Roman" w:cs="Times New Roman"/>
                <w:szCs w:val="24"/>
                <w:lang w:val="en-GB" w:eastAsia="en-GB"/>
              </w:rPr>
              <w:t xml:space="preserve">Low </w:t>
            </w:r>
            <w:r w:rsidRPr="00116F45">
              <w:rPr>
                <w:rFonts w:eastAsia="Times New Roman" w:cs="Times New Roman"/>
                <w:szCs w:val="24"/>
                <w:lang w:val="en-GB" w:eastAsia="en-GB"/>
              </w:rPr>
              <w:sym w:font="Wingdings" w:char="F0E0"/>
            </w:r>
            <w:r w:rsidRPr="00116F45">
              <w:rPr>
                <w:rFonts w:eastAsia="Times New Roman" w:cs="Times New Roman"/>
                <w:szCs w:val="24"/>
                <w:lang w:val="en-GB" w:eastAsia="en-GB"/>
              </w:rPr>
              <w:t xml:space="preserve"> </w:t>
            </w:r>
            <w:proofErr w:type="spellStart"/>
            <w:r w:rsidRPr="00116F45">
              <w:rPr>
                <w:rFonts w:eastAsia="Times New Roman" w:cs="Times New Roman"/>
                <w:szCs w:val="24"/>
                <w:lang w:val="en-GB" w:eastAsia="en-GB"/>
              </w:rPr>
              <w:t>low</w:t>
            </w:r>
            <w:proofErr w:type="spellEnd"/>
          </w:p>
        </w:tc>
        <w:tc>
          <w:tcPr>
            <w:tcW w:w="0" w:type="auto"/>
            <w:tcBorders>
              <w:left w:val="nil"/>
              <w:bottom w:val="single" w:sz="4" w:space="0" w:color="auto"/>
              <w:right w:val="nil"/>
            </w:tcBorders>
            <w:shd w:val="clear" w:color="auto" w:fill="auto"/>
            <w:noWrap/>
            <w:vAlign w:val="bottom"/>
          </w:tcPr>
          <w:p w14:paraId="5A886964"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512</w:t>
            </w:r>
          </w:p>
        </w:tc>
        <w:tc>
          <w:tcPr>
            <w:tcW w:w="0" w:type="auto"/>
            <w:tcBorders>
              <w:left w:val="nil"/>
              <w:bottom w:val="single" w:sz="4" w:space="0" w:color="auto"/>
              <w:right w:val="nil"/>
            </w:tcBorders>
            <w:shd w:val="clear" w:color="auto" w:fill="auto"/>
            <w:noWrap/>
            <w:vAlign w:val="bottom"/>
          </w:tcPr>
          <w:p w14:paraId="3E400A14"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4.00</w:t>
            </w:r>
          </w:p>
        </w:tc>
        <w:tc>
          <w:tcPr>
            <w:tcW w:w="0" w:type="auto"/>
            <w:tcBorders>
              <w:left w:val="nil"/>
              <w:bottom w:val="single" w:sz="4" w:space="0" w:color="auto"/>
              <w:right w:val="nil"/>
            </w:tcBorders>
            <w:shd w:val="clear" w:color="auto" w:fill="auto"/>
            <w:noWrap/>
            <w:vAlign w:val="bottom"/>
          </w:tcPr>
          <w:p w14:paraId="39CF788F"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left w:val="nil"/>
              <w:bottom w:val="single" w:sz="4" w:space="0" w:color="auto"/>
              <w:right w:val="nil"/>
            </w:tcBorders>
            <w:shd w:val="clear" w:color="auto" w:fill="auto"/>
            <w:noWrap/>
            <w:vAlign w:val="bottom"/>
          </w:tcPr>
          <w:p w14:paraId="6750D0E0" w14:textId="77777777" w:rsidR="00A10FE4" w:rsidRPr="00116F45" w:rsidRDefault="00A10FE4" w:rsidP="006275FE">
            <w:pPr>
              <w:spacing w:line="276" w:lineRule="auto"/>
              <w:jc w:val="right"/>
              <w:rPr>
                <w:rFonts w:eastAsia="Times New Roman" w:cs="Times New Roman"/>
                <w:szCs w:val="24"/>
                <w:lang w:val="en-GB" w:eastAsia="en-GB"/>
              </w:rPr>
            </w:pPr>
          </w:p>
        </w:tc>
      </w:tr>
      <w:tr w:rsidR="00116F45" w:rsidRPr="00116F45" w14:paraId="2E727348" w14:textId="77777777" w:rsidTr="006275FE">
        <w:trPr>
          <w:trHeight w:val="300"/>
        </w:trPr>
        <w:tc>
          <w:tcPr>
            <w:tcW w:w="0" w:type="auto"/>
            <w:tcBorders>
              <w:top w:val="single" w:sz="4" w:space="0" w:color="auto"/>
              <w:left w:val="nil"/>
              <w:bottom w:val="single" w:sz="4" w:space="0" w:color="auto"/>
              <w:right w:val="nil"/>
            </w:tcBorders>
            <w:shd w:val="clear" w:color="auto" w:fill="auto"/>
            <w:noWrap/>
            <w:vAlign w:val="bottom"/>
          </w:tcPr>
          <w:p w14:paraId="5A86143B" w14:textId="77777777" w:rsidR="00A10FE4" w:rsidRPr="00116F45" w:rsidRDefault="00A10FE4" w:rsidP="006275FE">
            <w:pPr>
              <w:spacing w:line="276" w:lineRule="auto"/>
              <w:rPr>
                <w:rFonts w:eastAsia="Times New Roman" w:cs="Times New Roman"/>
                <w:szCs w:val="24"/>
                <w:lang w:val="en-GB" w:eastAsia="en-GB"/>
              </w:rPr>
            </w:pPr>
            <w:proofErr w:type="gramStart"/>
            <w:r w:rsidRPr="00116F45">
              <w:rPr>
                <w:rFonts w:eastAsia="Times New Roman" w:cs="Times New Roman"/>
                <w:szCs w:val="24"/>
                <w:lang w:val="en-GB" w:eastAsia="en-GB"/>
              </w:rPr>
              <w:t>Overall</w:t>
            </w:r>
            <w:proofErr w:type="gramEnd"/>
            <w:r w:rsidRPr="00116F45">
              <w:rPr>
                <w:rFonts w:eastAsia="Times New Roman" w:cs="Times New Roman"/>
                <w:szCs w:val="24"/>
                <w:lang w:val="en-GB" w:eastAsia="en-GB"/>
              </w:rPr>
              <w:t xml:space="preserve"> no change</w:t>
            </w:r>
          </w:p>
        </w:tc>
        <w:tc>
          <w:tcPr>
            <w:tcW w:w="0" w:type="auto"/>
            <w:tcBorders>
              <w:top w:val="single" w:sz="4" w:space="0" w:color="auto"/>
              <w:left w:val="nil"/>
              <w:bottom w:val="single" w:sz="4" w:space="0" w:color="auto"/>
              <w:right w:val="nil"/>
            </w:tcBorders>
            <w:shd w:val="clear" w:color="auto" w:fill="auto"/>
            <w:noWrap/>
            <w:vAlign w:val="bottom"/>
          </w:tcPr>
          <w:p w14:paraId="64C31231" w14:textId="77777777" w:rsidR="00A10FE4" w:rsidRPr="00116F45" w:rsidRDefault="00A10FE4" w:rsidP="006275FE">
            <w:pPr>
              <w:spacing w:line="276" w:lineRule="auto"/>
              <w:jc w:val="right"/>
              <w:rPr>
                <w:rFonts w:eastAsia="Times New Roman" w:cs="Times New Roman"/>
                <w:szCs w:val="24"/>
                <w:lang w:val="en-GB" w:eastAsia="en-GB"/>
              </w:rPr>
            </w:pPr>
            <w:r w:rsidRPr="00116F45">
              <w:rPr>
                <w:rFonts w:eastAsia="Times New Roman" w:cs="Times New Roman"/>
                <w:szCs w:val="24"/>
                <w:lang w:val="en-GB" w:eastAsia="en-GB"/>
              </w:rPr>
              <w:t>8,382</w:t>
            </w:r>
          </w:p>
        </w:tc>
        <w:tc>
          <w:tcPr>
            <w:tcW w:w="0" w:type="auto"/>
            <w:tcBorders>
              <w:top w:val="single" w:sz="4" w:space="0" w:color="auto"/>
              <w:left w:val="nil"/>
              <w:bottom w:val="single" w:sz="4" w:space="0" w:color="auto"/>
              <w:right w:val="nil"/>
            </w:tcBorders>
            <w:shd w:val="clear" w:color="auto" w:fill="auto"/>
            <w:noWrap/>
            <w:vAlign w:val="bottom"/>
          </w:tcPr>
          <w:p w14:paraId="2A9DDE2F" w14:textId="77777777" w:rsidR="00A10FE4" w:rsidRPr="00116F45" w:rsidRDefault="00A10FE4" w:rsidP="006275FE">
            <w:pPr>
              <w:spacing w:line="276" w:lineRule="auto"/>
              <w:jc w:val="right"/>
              <w:rPr>
                <w:rFonts w:eastAsia="Times New Roman" w:cs="Times New Roman"/>
                <w:b/>
                <w:bCs/>
                <w:szCs w:val="24"/>
                <w:lang w:val="en-GB" w:eastAsia="en-GB"/>
              </w:rPr>
            </w:pPr>
            <w:r w:rsidRPr="00116F45">
              <w:rPr>
                <w:rFonts w:eastAsia="Times New Roman" w:cs="Times New Roman"/>
                <w:b/>
                <w:bCs/>
                <w:szCs w:val="24"/>
                <w:lang w:val="en-GB" w:eastAsia="en-GB"/>
              </w:rPr>
              <w:t>65.48</w:t>
            </w:r>
          </w:p>
        </w:tc>
        <w:tc>
          <w:tcPr>
            <w:tcW w:w="0" w:type="auto"/>
            <w:tcBorders>
              <w:top w:val="single" w:sz="4" w:space="0" w:color="auto"/>
              <w:left w:val="nil"/>
              <w:bottom w:val="single" w:sz="4" w:space="0" w:color="auto"/>
              <w:right w:val="nil"/>
            </w:tcBorders>
            <w:shd w:val="clear" w:color="auto" w:fill="auto"/>
            <w:noWrap/>
            <w:vAlign w:val="bottom"/>
          </w:tcPr>
          <w:p w14:paraId="056178A2" w14:textId="77777777" w:rsidR="00A10FE4" w:rsidRPr="00116F45" w:rsidRDefault="00A10FE4" w:rsidP="006275FE">
            <w:pPr>
              <w:spacing w:line="276" w:lineRule="auto"/>
              <w:jc w:val="right"/>
              <w:rPr>
                <w:rFonts w:eastAsia="Times New Roman" w:cs="Times New Roman"/>
                <w:szCs w:val="24"/>
                <w:lang w:val="en-GB" w:eastAsia="en-GB"/>
              </w:rPr>
            </w:pPr>
          </w:p>
        </w:tc>
        <w:tc>
          <w:tcPr>
            <w:tcW w:w="0" w:type="auto"/>
            <w:tcBorders>
              <w:top w:val="single" w:sz="4" w:space="0" w:color="auto"/>
              <w:left w:val="nil"/>
              <w:bottom w:val="single" w:sz="4" w:space="0" w:color="auto"/>
              <w:right w:val="nil"/>
            </w:tcBorders>
            <w:shd w:val="clear" w:color="auto" w:fill="auto"/>
            <w:noWrap/>
            <w:vAlign w:val="bottom"/>
          </w:tcPr>
          <w:p w14:paraId="075DA43D" w14:textId="77777777" w:rsidR="00A10FE4" w:rsidRPr="00116F45" w:rsidRDefault="00A10FE4" w:rsidP="006275FE">
            <w:pPr>
              <w:spacing w:line="276" w:lineRule="auto"/>
              <w:jc w:val="right"/>
              <w:rPr>
                <w:rFonts w:eastAsia="Times New Roman" w:cs="Times New Roman"/>
                <w:szCs w:val="24"/>
                <w:lang w:val="en-GB" w:eastAsia="en-GB"/>
              </w:rPr>
            </w:pPr>
          </w:p>
        </w:tc>
      </w:tr>
    </w:tbl>
    <w:p w14:paraId="77BD50B1" w14:textId="77777777" w:rsidR="00A10FE4" w:rsidRPr="00116F45" w:rsidRDefault="00A10FE4" w:rsidP="00A10FE4">
      <w:pPr>
        <w:rPr>
          <w:rFonts w:cs="Times New Roman"/>
          <w:lang w:val="en-US"/>
        </w:rPr>
      </w:pPr>
      <w:bookmarkStart w:id="21" w:name="_Toc88559121"/>
    </w:p>
    <w:p w14:paraId="34CD97B4" w14:textId="77777777" w:rsidR="00A10FE4" w:rsidRPr="00116F45" w:rsidRDefault="00A10FE4" w:rsidP="00604F94">
      <w:pPr>
        <w:spacing w:line="240" w:lineRule="auto"/>
        <w:rPr>
          <w:rFonts w:cs="Times New Roman"/>
          <w:lang w:val="en-US"/>
        </w:rPr>
      </w:pPr>
      <w:r w:rsidRPr="00116F45">
        <w:rPr>
          <w:rFonts w:cs="Times New Roman"/>
          <w:lang w:val="en-US"/>
        </w:rPr>
        <w:t>The distribution of individuals in the three dietary categories was assessed in individuals both attending CGPS (recruitment between 2003-2015) and CGPS2 (</w:t>
      </w:r>
      <w:r w:rsidRPr="00116F45">
        <w:rPr>
          <w:rFonts w:cs="Times New Roman"/>
          <w:bCs/>
          <w:lang w:val="en-US"/>
        </w:rPr>
        <w:t>follow-up started</w:t>
      </w:r>
      <w:r w:rsidRPr="00116F45">
        <w:rPr>
          <w:rFonts w:cs="Times New Roman"/>
          <w:lang w:val="en-US"/>
        </w:rPr>
        <w:t xml:space="preserve"> in 2015) to estimate changes in overall diets over time.</w:t>
      </w:r>
      <w:bookmarkEnd w:id="21"/>
      <w:r w:rsidRPr="00116F45">
        <w:rPr>
          <w:rFonts w:cs="Times New Roman"/>
          <w:lang w:val="en-US"/>
        </w:rPr>
        <w:t xml:space="preserve"> Changes in dietary patterns between groups of </w:t>
      </w:r>
      <w:proofErr w:type="gramStart"/>
      <w:r w:rsidRPr="00116F45">
        <w:rPr>
          <w:rFonts w:cs="Times New Roman"/>
          <w:lang w:val="en-US"/>
        </w:rPr>
        <w:t>adherence</w:t>
      </w:r>
      <w:proofErr w:type="gramEnd"/>
      <w:r w:rsidRPr="00116F45">
        <w:rPr>
          <w:rFonts w:cs="Times New Roman"/>
          <w:lang w:val="en-US"/>
        </w:rPr>
        <w:t xml:space="preserve"> to dietary guidelines are shown in the bottom table. The mean time between baseline and second examination follow-up was 10 years. </w:t>
      </w:r>
    </w:p>
    <w:p w14:paraId="4E41A28A" w14:textId="77777777" w:rsidR="00A10FE4" w:rsidRPr="00116F45" w:rsidRDefault="00A10FE4" w:rsidP="00A10FE4">
      <w:pPr>
        <w:rPr>
          <w:rFonts w:cs="Times New Roman"/>
          <w:lang w:val="en-US"/>
        </w:rPr>
      </w:pPr>
      <w:r w:rsidRPr="00116F45">
        <w:rPr>
          <w:rFonts w:cs="Times New Roman"/>
          <w:lang w:val="en-US"/>
        </w:rPr>
        <w:br w:type="page"/>
      </w:r>
    </w:p>
    <w:p w14:paraId="3082D7E5" w14:textId="4E881B08" w:rsidR="00604F94" w:rsidRPr="00116F45" w:rsidRDefault="00604F94" w:rsidP="00604F94">
      <w:pPr>
        <w:pStyle w:val="Heading1"/>
        <w:rPr>
          <w:lang w:val="en-US"/>
        </w:rPr>
      </w:pPr>
      <w:bookmarkStart w:id="22" w:name="_Toc110945229"/>
      <w:r w:rsidRPr="00116F45">
        <w:rPr>
          <w:lang w:val="en-US"/>
        </w:rPr>
        <w:lastRenderedPageBreak/>
        <w:t>Supplementary Figures</w:t>
      </w:r>
      <w:bookmarkEnd w:id="22"/>
    </w:p>
    <w:p w14:paraId="508C9CAA" w14:textId="07BE745D" w:rsidR="009C4A12" w:rsidRPr="00116F45" w:rsidRDefault="001777C1" w:rsidP="00E5295E">
      <w:pPr>
        <w:pStyle w:val="Heading2"/>
        <w:rPr>
          <w:lang w:val="en-US"/>
        </w:rPr>
      </w:pPr>
      <w:bookmarkStart w:id="23" w:name="_Toc110945230"/>
      <w:r w:rsidRPr="00116F45">
        <w:rPr>
          <w:lang w:val="en-US"/>
        </w:rPr>
        <w:t>Supplement</w:t>
      </w:r>
      <w:r w:rsidR="000F36F5" w:rsidRPr="00116F45">
        <w:rPr>
          <w:lang w:val="en-US"/>
        </w:rPr>
        <w:t>ary</w:t>
      </w:r>
      <w:r w:rsidRPr="00116F45">
        <w:rPr>
          <w:lang w:val="en-US"/>
        </w:rPr>
        <w:t xml:space="preserve"> </w:t>
      </w:r>
      <w:r w:rsidR="00662C43" w:rsidRPr="00116F45">
        <w:rPr>
          <w:lang w:val="en-US"/>
        </w:rPr>
        <w:t>F</w:t>
      </w:r>
      <w:r w:rsidR="009C4A12" w:rsidRPr="00116F45">
        <w:rPr>
          <w:lang w:val="en-US"/>
        </w:rPr>
        <w:t>igure 1. Study design</w:t>
      </w:r>
      <w:r w:rsidR="00E5295E" w:rsidRPr="00116F45">
        <w:rPr>
          <w:lang w:val="en-US"/>
        </w:rPr>
        <w:t>.</w:t>
      </w:r>
      <w:bookmarkEnd w:id="23"/>
    </w:p>
    <w:p w14:paraId="3D630B10" w14:textId="76EE8723" w:rsidR="009C4A12" w:rsidRPr="00116F45" w:rsidRDefault="001777C1" w:rsidP="009C4A12">
      <w:pPr>
        <w:rPr>
          <w:rFonts w:cs="Times New Roman"/>
          <w:b/>
          <w:bCs/>
          <w:sz w:val="20"/>
          <w:szCs w:val="20"/>
          <w:lang w:val="en-US"/>
        </w:rPr>
      </w:pPr>
      <w:r w:rsidRPr="00116F45">
        <w:rPr>
          <w:rFonts w:cs="Times New Roman"/>
          <w:b/>
          <w:bCs/>
          <w:noProof/>
          <w:sz w:val="20"/>
          <w:szCs w:val="20"/>
          <w:lang w:val="en-US"/>
        </w:rPr>
        <w:drawing>
          <wp:inline distT="0" distB="0" distL="0" distR="0" wp14:anchorId="6FD9296D" wp14:editId="2B09798F">
            <wp:extent cx="6155869" cy="354380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4684" cy="3548876"/>
                    </a:xfrm>
                    <a:prstGeom prst="rect">
                      <a:avLst/>
                    </a:prstGeom>
                    <a:noFill/>
                  </pic:spPr>
                </pic:pic>
              </a:graphicData>
            </a:graphic>
          </wp:inline>
        </w:drawing>
      </w:r>
    </w:p>
    <w:p w14:paraId="5CF7B4FE" w14:textId="6CD8D57C" w:rsidR="00873A27" w:rsidRPr="00116F45" w:rsidRDefault="00873A27" w:rsidP="009C4A12">
      <w:pPr>
        <w:rPr>
          <w:rFonts w:cs="Times New Roman"/>
          <w:sz w:val="20"/>
          <w:szCs w:val="20"/>
          <w:lang w:val="en-US" w:eastAsia="da-DK"/>
        </w:rPr>
      </w:pPr>
    </w:p>
    <w:p w14:paraId="3082B09D" w14:textId="2BE324EB" w:rsidR="00F219BD" w:rsidRPr="00116F45" w:rsidRDefault="009C4A12" w:rsidP="00604F94">
      <w:pPr>
        <w:spacing w:line="240" w:lineRule="auto"/>
        <w:rPr>
          <w:rFonts w:cs="Times New Roman"/>
          <w:sz w:val="20"/>
          <w:szCs w:val="20"/>
          <w:lang w:val="en-US"/>
        </w:rPr>
      </w:pPr>
      <w:r w:rsidRPr="00116F45">
        <w:rPr>
          <w:rFonts w:cs="Times New Roman"/>
          <w:sz w:val="20"/>
          <w:szCs w:val="20"/>
          <w:lang w:val="en-US" w:eastAsia="da-DK"/>
        </w:rPr>
        <w:t xml:space="preserve">The </w:t>
      </w:r>
      <w:r w:rsidR="00E470BB" w:rsidRPr="00116F45">
        <w:rPr>
          <w:rFonts w:cs="Times New Roman"/>
          <w:sz w:val="20"/>
          <w:szCs w:val="20"/>
          <w:lang w:val="en-US" w:eastAsia="da-DK"/>
        </w:rPr>
        <w:t>f</w:t>
      </w:r>
      <w:r w:rsidRPr="00116F45">
        <w:rPr>
          <w:rFonts w:cs="Times New Roman"/>
          <w:sz w:val="20"/>
          <w:szCs w:val="20"/>
          <w:lang w:val="en-US" w:eastAsia="da-DK"/>
        </w:rPr>
        <w:t>igure illustrates six examples of follow-up time</w:t>
      </w:r>
      <w:r w:rsidR="0028304A" w:rsidRPr="00116F45">
        <w:rPr>
          <w:rFonts w:cs="Times New Roman"/>
          <w:sz w:val="20"/>
          <w:szCs w:val="20"/>
          <w:lang w:val="en-US" w:eastAsia="da-DK"/>
        </w:rPr>
        <w:t xml:space="preserve"> with</w:t>
      </w:r>
      <w:r w:rsidR="00AC422C" w:rsidRPr="00116F45">
        <w:rPr>
          <w:rFonts w:cs="Times New Roman"/>
          <w:sz w:val="20"/>
          <w:szCs w:val="20"/>
          <w:lang w:val="en-US" w:eastAsia="da-DK"/>
        </w:rPr>
        <w:t xml:space="preserve"> </w:t>
      </w:r>
      <w:r w:rsidRPr="00116F45">
        <w:rPr>
          <w:rFonts w:cs="Times New Roman"/>
          <w:sz w:val="20"/>
          <w:szCs w:val="20"/>
          <w:lang w:val="en-US" w:eastAsia="da-DK"/>
        </w:rPr>
        <w:t>censoring or exclusion of participants in the studies. Study entry of CGPS was at the time of the first examination (2003-2015) and included assessment of baseline covariates (</w:t>
      </w:r>
      <w:r w:rsidR="00211DBA" w:rsidRPr="00116F45">
        <w:rPr>
          <w:rFonts w:cs="Times New Roman"/>
          <w:sz w:val="20"/>
          <w:szCs w:val="20"/>
          <w:lang w:val="en-US" w:eastAsia="da-DK"/>
        </w:rPr>
        <w:t>blue</w:t>
      </w:r>
      <w:r w:rsidRPr="00116F45">
        <w:rPr>
          <w:rFonts w:cs="Times New Roman"/>
          <w:sz w:val="20"/>
          <w:szCs w:val="20"/>
          <w:lang w:val="en-US" w:eastAsia="da-DK"/>
        </w:rPr>
        <w:t xml:space="preserve"> square). Follow-up ended at occurrence of event (n=2,086), death (n=9,159), emigration (n=388), or on December 13</w:t>
      </w:r>
      <w:r w:rsidRPr="00116F45">
        <w:rPr>
          <w:rFonts w:cs="Times New Roman"/>
          <w:sz w:val="20"/>
          <w:szCs w:val="20"/>
          <w:vertAlign w:val="superscript"/>
          <w:lang w:val="en-US" w:eastAsia="da-DK"/>
        </w:rPr>
        <w:t>th</w:t>
      </w:r>
      <w:r w:rsidRPr="00116F45">
        <w:rPr>
          <w:rFonts w:cs="Times New Roman"/>
          <w:sz w:val="20"/>
          <w:szCs w:val="20"/>
          <w:lang w:val="en-US" w:eastAsia="da-DK"/>
        </w:rPr>
        <w:t>, 2018 (last update of the registry), whichever came first (</w:t>
      </w:r>
      <w:r w:rsidR="00BB7EF5" w:rsidRPr="00116F45">
        <w:rPr>
          <w:rFonts w:cs="Times New Roman"/>
          <w:sz w:val="20"/>
          <w:szCs w:val="20"/>
          <w:lang w:val="en-US" w:eastAsia="da-DK"/>
        </w:rPr>
        <w:t>gr</w:t>
      </w:r>
      <w:r w:rsidR="00982290" w:rsidRPr="00116F45">
        <w:rPr>
          <w:rFonts w:cs="Times New Roman"/>
          <w:sz w:val="20"/>
          <w:szCs w:val="20"/>
          <w:lang w:val="en-US" w:eastAsia="da-DK"/>
        </w:rPr>
        <w:t>e</w:t>
      </w:r>
      <w:r w:rsidR="00BB7EF5" w:rsidRPr="00116F45">
        <w:rPr>
          <w:rFonts w:cs="Times New Roman"/>
          <w:sz w:val="20"/>
          <w:szCs w:val="20"/>
          <w:lang w:val="en-US" w:eastAsia="da-DK"/>
        </w:rPr>
        <w:t>y</w:t>
      </w:r>
      <w:r w:rsidRPr="00116F45">
        <w:rPr>
          <w:rFonts w:cs="Times New Roman"/>
          <w:sz w:val="20"/>
          <w:szCs w:val="20"/>
          <w:lang w:val="en-US" w:eastAsia="da-DK"/>
        </w:rPr>
        <w:t xml:space="preserve"> circle). Individuals with event before study entry were not included in the study (</w:t>
      </w:r>
      <w:r w:rsidR="00BB7EF5" w:rsidRPr="00116F45">
        <w:rPr>
          <w:rFonts w:cs="Times New Roman"/>
          <w:sz w:val="20"/>
          <w:szCs w:val="20"/>
          <w:lang w:val="en-US" w:eastAsia="da-DK"/>
        </w:rPr>
        <w:t>light blue</w:t>
      </w:r>
      <w:r w:rsidRPr="00116F45">
        <w:rPr>
          <w:rFonts w:cs="Times New Roman"/>
          <w:sz w:val="20"/>
          <w:szCs w:val="20"/>
          <w:lang w:val="en-US" w:eastAsia="da-DK"/>
        </w:rPr>
        <w:t xml:space="preserve"> hexagon).</w:t>
      </w:r>
      <w:r w:rsidRPr="00116F45">
        <w:rPr>
          <w:rFonts w:cs="Times New Roman"/>
          <w:sz w:val="20"/>
          <w:szCs w:val="20"/>
          <w:lang w:val="en-US"/>
        </w:rPr>
        <w:t xml:space="preserve"> CGPS=Copenhagen General Population Study.</w:t>
      </w:r>
    </w:p>
    <w:p w14:paraId="440C1F4A" w14:textId="77777777" w:rsidR="00F219BD" w:rsidRPr="00116F45" w:rsidRDefault="00F219BD">
      <w:pPr>
        <w:rPr>
          <w:rFonts w:cs="Times New Roman"/>
          <w:sz w:val="20"/>
          <w:szCs w:val="20"/>
          <w:lang w:val="en-US"/>
        </w:rPr>
      </w:pPr>
      <w:r w:rsidRPr="00116F45">
        <w:rPr>
          <w:rFonts w:cs="Times New Roman"/>
          <w:sz w:val="20"/>
          <w:szCs w:val="20"/>
          <w:lang w:val="en-US"/>
        </w:rPr>
        <w:br w:type="page"/>
      </w:r>
    </w:p>
    <w:p w14:paraId="5C516ECE" w14:textId="7670D61B" w:rsidR="00F219BD" w:rsidRPr="00116F45" w:rsidRDefault="00F219BD" w:rsidP="00E5295E">
      <w:pPr>
        <w:pStyle w:val="Heading2"/>
        <w:rPr>
          <w:lang w:val="en-GB"/>
        </w:rPr>
      </w:pPr>
      <w:bookmarkStart w:id="24" w:name="_Toc110945231"/>
      <w:r w:rsidRPr="00116F45">
        <w:rPr>
          <w:lang w:val="en-GB"/>
        </w:rPr>
        <w:lastRenderedPageBreak/>
        <w:t>Supplementary Figure 2. Participant Flow Chart for the Copenhagen General Population Study</w:t>
      </w:r>
      <w:r w:rsidR="00E5295E" w:rsidRPr="00116F45">
        <w:rPr>
          <w:lang w:val="en-GB"/>
        </w:rPr>
        <w:t>.</w:t>
      </w:r>
      <w:bookmarkEnd w:id="24"/>
    </w:p>
    <w:p w14:paraId="44F9529D" w14:textId="0FA8ABA7" w:rsidR="002B6574" w:rsidRPr="00116F45" w:rsidRDefault="00741109">
      <w:pPr>
        <w:rPr>
          <w:rFonts w:cs="Times New Roman"/>
          <w:sz w:val="20"/>
          <w:szCs w:val="20"/>
          <w:lang w:val="en-GB"/>
        </w:rPr>
      </w:pPr>
      <w:r w:rsidRPr="00116F45">
        <w:rPr>
          <w:noProof/>
        </w:rPr>
        <w:drawing>
          <wp:anchor distT="0" distB="0" distL="114300" distR="114300" simplePos="0" relativeHeight="251708416" behindDoc="0" locked="0" layoutInCell="1" allowOverlap="1" wp14:anchorId="421C8CC6" wp14:editId="5D081E6D">
            <wp:simplePos x="0" y="0"/>
            <wp:positionH relativeFrom="margin">
              <wp:posOffset>270510</wp:posOffset>
            </wp:positionH>
            <wp:positionV relativeFrom="paragraph">
              <wp:posOffset>400685</wp:posOffset>
            </wp:positionV>
            <wp:extent cx="5578475" cy="6311900"/>
            <wp:effectExtent l="0" t="0" r="3175" b="0"/>
            <wp:wrapTopAndBottom/>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Grp="1"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78475" cy="6311900"/>
                    </a:xfrm>
                    <a:prstGeom prst="rect">
                      <a:avLst/>
                    </a:prstGeom>
                    <a:noFill/>
                  </pic:spPr>
                </pic:pic>
              </a:graphicData>
            </a:graphic>
            <wp14:sizeRelH relativeFrom="page">
              <wp14:pctWidth>0</wp14:pctWidth>
            </wp14:sizeRelH>
            <wp14:sizeRelV relativeFrom="page">
              <wp14:pctHeight>0</wp14:pctHeight>
            </wp14:sizeRelV>
          </wp:anchor>
        </w:drawing>
      </w:r>
    </w:p>
    <w:p w14:paraId="7B0A1CE1" w14:textId="4F767D10" w:rsidR="002B6574" w:rsidRPr="00116F45" w:rsidRDefault="002B6574">
      <w:pPr>
        <w:rPr>
          <w:rFonts w:cs="Times New Roman"/>
          <w:sz w:val="20"/>
          <w:szCs w:val="20"/>
          <w:lang w:val="en-US"/>
        </w:rPr>
      </w:pPr>
      <w:r w:rsidRPr="00116F45">
        <w:rPr>
          <w:rFonts w:cs="Times New Roman"/>
          <w:sz w:val="20"/>
          <w:szCs w:val="20"/>
          <w:lang w:val="en-US"/>
        </w:rPr>
        <w:br w:type="page"/>
      </w:r>
    </w:p>
    <w:p w14:paraId="56E160F8" w14:textId="5700BCC0" w:rsidR="002B6574" w:rsidRPr="00116F45" w:rsidRDefault="002B6574" w:rsidP="00873A27">
      <w:pPr>
        <w:rPr>
          <w:rFonts w:cs="Times New Roman"/>
          <w:b/>
          <w:bCs/>
          <w:sz w:val="20"/>
          <w:szCs w:val="20"/>
          <w:lang w:val="en-US"/>
        </w:rPr>
        <w:sectPr w:rsidR="002B6574" w:rsidRPr="00116F45" w:rsidSect="00770173">
          <w:footerReference w:type="default" r:id="rId10"/>
          <w:pgSz w:w="11906" w:h="16838"/>
          <w:pgMar w:top="1701" w:right="1134" w:bottom="1701" w:left="1134" w:header="708" w:footer="708" w:gutter="0"/>
          <w:lnNumType w:countBy="1" w:restart="continuous"/>
          <w:cols w:space="708"/>
          <w:docGrid w:linePitch="360"/>
        </w:sectPr>
      </w:pPr>
    </w:p>
    <w:p w14:paraId="2ED36A30" w14:textId="48951225" w:rsidR="00CF5F2E" w:rsidRPr="00116F45" w:rsidRDefault="001777C1" w:rsidP="00E5295E">
      <w:pPr>
        <w:pStyle w:val="Heading2"/>
        <w:rPr>
          <w:lang w:val="en-US"/>
        </w:rPr>
      </w:pPr>
      <w:bookmarkStart w:id="25" w:name="_Toc110945232"/>
      <w:r w:rsidRPr="00116F45">
        <w:rPr>
          <w:lang w:val="en-US"/>
        </w:rPr>
        <w:lastRenderedPageBreak/>
        <w:t>Supplement</w:t>
      </w:r>
      <w:r w:rsidR="000F36F5" w:rsidRPr="00116F45">
        <w:rPr>
          <w:lang w:val="en-US"/>
        </w:rPr>
        <w:t>ary</w:t>
      </w:r>
      <w:r w:rsidRPr="00116F45">
        <w:rPr>
          <w:lang w:val="en-US"/>
        </w:rPr>
        <w:t xml:space="preserve"> </w:t>
      </w:r>
      <w:r w:rsidR="00CF5F2E" w:rsidRPr="00116F45">
        <w:rPr>
          <w:lang w:val="en-US"/>
        </w:rPr>
        <w:t xml:space="preserve">Figure </w:t>
      </w:r>
      <w:r w:rsidR="00F219BD" w:rsidRPr="00116F45">
        <w:rPr>
          <w:lang w:val="en-US"/>
        </w:rPr>
        <w:t>3</w:t>
      </w:r>
      <w:r w:rsidR="00CF5F2E" w:rsidRPr="00116F45">
        <w:rPr>
          <w:lang w:val="en-US"/>
        </w:rPr>
        <w:t xml:space="preserve">. Risk of non-Alzheimer’s dementia and Alzheimer’s disease according to dietary groups </w:t>
      </w:r>
      <w:r w:rsidR="00570D93" w:rsidRPr="00116F45">
        <w:rPr>
          <w:lang w:val="en-US"/>
        </w:rPr>
        <w:t xml:space="preserve">in </w:t>
      </w:r>
      <w:r w:rsidR="00036196" w:rsidRPr="00116F45">
        <w:rPr>
          <w:lang w:val="en-US"/>
        </w:rPr>
        <w:t xml:space="preserve">93,021 </w:t>
      </w:r>
      <w:r w:rsidR="00570D93" w:rsidRPr="00116F45">
        <w:rPr>
          <w:lang w:val="en-US"/>
        </w:rPr>
        <w:t xml:space="preserve">individuals in the Copenhagen General Population Study, </w:t>
      </w:r>
      <w:r w:rsidR="00CF5F2E" w:rsidRPr="00116F45">
        <w:rPr>
          <w:lang w:val="en-US"/>
        </w:rPr>
        <w:t>excluding individuals with less than two years of follow-up.</w:t>
      </w:r>
      <w:bookmarkEnd w:id="25"/>
    </w:p>
    <w:p w14:paraId="29192154" w14:textId="16DD7318" w:rsidR="00CF5F2E" w:rsidRPr="00116F45" w:rsidRDefault="006F7F2F" w:rsidP="00873A27">
      <w:pPr>
        <w:rPr>
          <w:sz w:val="20"/>
          <w:szCs w:val="20"/>
          <w:lang w:val="en-US"/>
        </w:rPr>
      </w:pPr>
      <w:r w:rsidRPr="00116F45">
        <w:rPr>
          <w:noProof/>
          <w:sz w:val="20"/>
          <w:szCs w:val="20"/>
          <w:lang w:val="en-US"/>
        </w:rPr>
        <w:drawing>
          <wp:anchor distT="0" distB="0" distL="114300" distR="114300" simplePos="0" relativeHeight="251703296" behindDoc="0" locked="0" layoutInCell="1" allowOverlap="1" wp14:anchorId="741792D5" wp14:editId="2680BEAA">
            <wp:simplePos x="0" y="0"/>
            <wp:positionH relativeFrom="column">
              <wp:posOffset>0</wp:posOffset>
            </wp:positionH>
            <wp:positionV relativeFrom="paragraph">
              <wp:posOffset>266700</wp:posOffset>
            </wp:positionV>
            <wp:extent cx="8531860" cy="3354705"/>
            <wp:effectExtent l="0" t="0" r="2540" b="0"/>
            <wp:wrapTopAndBottom/>
            <wp:docPr id="1" name="Picture 1"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027_cox_diet_dementia_2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31860" cy="3354705"/>
                    </a:xfrm>
                    <a:prstGeom prst="rect">
                      <a:avLst/>
                    </a:prstGeom>
                  </pic:spPr>
                </pic:pic>
              </a:graphicData>
            </a:graphic>
          </wp:anchor>
        </w:drawing>
      </w:r>
    </w:p>
    <w:p w14:paraId="1BF7F5B5" w14:textId="77777777" w:rsidR="00873A27" w:rsidRPr="00116F45" w:rsidRDefault="00873A27" w:rsidP="00CF5F2E">
      <w:pPr>
        <w:spacing w:line="240" w:lineRule="auto"/>
        <w:rPr>
          <w:rFonts w:cs="Times New Roman"/>
          <w:sz w:val="20"/>
          <w:szCs w:val="20"/>
          <w:lang w:val="en-US"/>
        </w:rPr>
      </w:pPr>
    </w:p>
    <w:p w14:paraId="0AF343F0" w14:textId="1299F2BB" w:rsidR="00CF5F2E" w:rsidRPr="00116F45" w:rsidRDefault="00570D93" w:rsidP="00873A27">
      <w:pPr>
        <w:spacing w:line="240" w:lineRule="auto"/>
        <w:rPr>
          <w:rFonts w:cs="Times New Roman"/>
          <w:sz w:val="20"/>
          <w:szCs w:val="20"/>
          <w:lang w:val="en-US"/>
        </w:rPr>
      </w:pPr>
      <w:r w:rsidRPr="00116F45">
        <w:rPr>
          <w:rFonts w:cs="Times New Roman"/>
          <w:sz w:val="20"/>
          <w:szCs w:val="20"/>
          <w:lang w:val="en-US"/>
        </w:rPr>
        <w:t>Multivariable adjustment was for</w:t>
      </w:r>
      <w:r w:rsidR="00CF5F2E" w:rsidRPr="00116F45">
        <w:rPr>
          <w:rFonts w:cs="Times New Roman"/>
          <w:sz w:val="20"/>
          <w:szCs w:val="20"/>
          <w:lang w:val="en-US"/>
        </w:rPr>
        <w:t xml:space="preserve"> age (as timescale), sex, household income, education, smoking, alcohol consumption, physical activity, body mass index, diabetes, hypertension, lipid-lowering therapy, LDL cholesterol, HDL cholesterol, and triglycerides. </w:t>
      </w:r>
      <w:r w:rsidR="00CF5F2E" w:rsidRPr="00116F45">
        <w:rPr>
          <w:rFonts w:cs="Times New Roman"/>
          <w:i/>
          <w:iCs/>
          <w:sz w:val="20"/>
          <w:szCs w:val="20"/>
          <w:lang w:val="en-US"/>
        </w:rPr>
        <w:t>APOE</w:t>
      </w:r>
      <w:r w:rsidR="00CF5F2E" w:rsidRPr="00116F45">
        <w:rPr>
          <w:rFonts w:cs="Times New Roman"/>
          <w:sz w:val="20"/>
          <w:szCs w:val="20"/>
          <w:lang w:val="en-US"/>
        </w:rPr>
        <w:t xml:space="preserve"> genotype=apolipoprotein E ε2/ε3/ε4 genotype; CI=confidence interval; HDL cholesterol=high-density lipoprotein cholesterol; LDL cholesterol=low-density lipoprotein cholesterol.</w:t>
      </w:r>
      <w:r w:rsidR="00CF5F2E" w:rsidRPr="00116F45" w:rsidDel="00AB25A8">
        <w:rPr>
          <w:rFonts w:cs="Times New Roman"/>
          <w:sz w:val="20"/>
          <w:szCs w:val="20"/>
          <w:lang w:val="en-US"/>
        </w:rPr>
        <w:t xml:space="preserve"> </w:t>
      </w:r>
    </w:p>
    <w:p w14:paraId="60415ECA" w14:textId="77777777" w:rsidR="00873A27" w:rsidRPr="00116F45" w:rsidRDefault="00873A27">
      <w:pPr>
        <w:rPr>
          <w:rFonts w:eastAsiaTheme="majorEastAsia" w:cstheme="majorBidi"/>
          <w:b/>
          <w:sz w:val="20"/>
          <w:szCs w:val="20"/>
          <w:lang w:val="en-US"/>
        </w:rPr>
      </w:pPr>
      <w:r w:rsidRPr="00116F45">
        <w:rPr>
          <w:sz w:val="20"/>
          <w:szCs w:val="20"/>
          <w:lang w:val="en-US"/>
        </w:rPr>
        <w:br w:type="page"/>
      </w:r>
    </w:p>
    <w:p w14:paraId="65B594C9" w14:textId="063683DA" w:rsidR="006A027D" w:rsidRPr="00116F45" w:rsidRDefault="001777C1" w:rsidP="00E5295E">
      <w:pPr>
        <w:pStyle w:val="Heading2"/>
        <w:rPr>
          <w:lang w:val="en-US"/>
        </w:rPr>
      </w:pPr>
      <w:bookmarkStart w:id="26" w:name="_Toc110945233"/>
      <w:r w:rsidRPr="00116F45">
        <w:rPr>
          <w:lang w:val="en-US"/>
        </w:rPr>
        <w:lastRenderedPageBreak/>
        <w:t>Supplement</w:t>
      </w:r>
      <w:r w:rsidR="000F36F5" w:rsidRPr="00116F45">
        <w:rPr>
          <w:lang w:val="en-US"/>
        </w:rPr>
        <w:t>ary</w:t>
      </w:r>
      <w:r w:rsidRPr="00116F45">
        <w:rPr>
          <w:lang w:val="en-US"/>
        </w:rPr>
        <w:t xml:space="preserve"> </w:t>
      </w:r>
      <w:r w:rsidR="006A027D" w:rsidRPr="00116F45">
        <w:rPr>
          <w:lang w:val="en-US"/>
        </w:rPr>
        <w:t xml:space="preserve">Figure </w:t>
      </w:r>
      <w:r w:rsidR="00F219BD" w:rsidRPr="00116F45">
        <w:rPr>
          <w:lang w:val="en-US"/>
        </w:rPr>
        <w:t>4</w:t>
      </w:r>
      <w:r w:rsidR="006A027D" w:rsidRPr="00116F45">
        <w:rPr>
          <w:lang w:val="en-US"/>
        </w:rPr>
        <w:t xml:space="preserve">. Risk of non-Alzheimer’s dementia and Alzheimer’s disease according to dietary groups </w:t>
      </w:r>
      <w:r w:rsidR="00570D93" w:rsidRPr="00116F45">
        <w:rPr>
          <w:bCs/>
          <w:lang w:val="en-US"/>
        </w:rPr>
        <w:t>in</w:t>
      </w:r>
      <w:r w:rsidR="00EB7BDE" w:rsidRPr="00116F45">
        <w:rPr>
          <w:bCs/>
          <w:lang w:val="en-US"/>
        </w:rPr>
        <w:t xml:space="preserve"> 94,184</w:t>
      </w:r>
      <w:r w:rsidR="00570D93" w:rsidRPr="00116F45">
        <w:rPr>
          <w:bCs/>
          <w:lang w:val="en-US"/>
        </w:rPr>
        <w:t xml:space="preserve"> individuals in the Copenhagen General Population Study, </w:t>
      </w:r>
      <w:r w:rsidR="006A027D" w:rsidRPr="00116F45">
        <w:rPr>
          <w:lang w:val="en-US"/>
        </w:rPr>
        <w:t xml:space="preserve">adjusting </w:t>
      </w:r>
      <w:r w:rsidR="00570D93" w:rsidRPr="00116F45">
        <w:rPr>
          <w:lang w:val="en-US"/>
        </w:rPr>
        <w:t xml:space="preserve">additionally </w:t>
      </w:r>
      <w:r w:rsidR="006A027D" w:rsidRPr="00116F45">
        <w:rPr>
          <w:lang w:val="en-US"/>
        </w:rPr>
        <w:t>for ischemic heart disease and ischemic cerebrovascular disease.</w:t>
      </w:r>
      <w:bookmarkEnd w:id="26"/>
    </w:p>
    <w:p w14:paraId="0186EC0A" w14:textId="33187D60" w:rsidR="007804BC" w:rsidRPr="00116F45" w:rsidRDefault="006F7F2F" w:rsidP="007804BC">
      <w:pPr>
        <w:rPr>
          <w:sz w:val="20"/>
          <w:szCs w:val="20"/>
          <w:lang w:val="en-US"/>
        </w:rPr>
      </w:pPr>
      <w:r w:rsidRPr="00116F45">
        <w:rPr>
          <w:noProof/>
          <w:sz w:val="20"/>
          <w:szCs w:val="20"/>
          <w:lang w:val="en-US"/>
        </w:rPr>
        <w:drawing>
          <wp:anchor distT="0" distB="0" distL="114300" distR="114300" simplePos="0" relativeHeight="251704320" behindDoc="0" locked="0" layoutInCell="1" allowOverlap="1" wp14:anchorId="4D8E8B30" wp14:editId="621380A4">
            <wp:simplePos x="0" y="0"/>
            <wp:positionH relativeFrom="column">
              <wp:posOffset>0</wp:posOffset>
            </wp:positionH>
            <wp:positionV relativeFrom="paragraph">
              <wp:posOffset>266700</wp:posOffset>
            </wp:positionV>
            <wp:extent cx="8531860" cy="3354705"/>
            <wp:effectExtent l="0" t="0" r="2540" b="0"/>
            <wp:wrapTopAndBottom/>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027_cox_diet_dementia_ihd_icv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1860" cy="3354705"/>
                    </a:xfrm>
                    <a:prstGeom prst="rect">
                      <a:avLst/>
                    </a:prstGeom>
                  </pic:spPr>
                </pic:pic>
              </a:graphicData>
            </a:graphic>
          </wp:anchor>
        </w:drawing>
      </w:r>
    </w:p>
    <w:p w14:paraId="78077ADB" w14:textId="77777777" w:rsidR="00873A27" w:rsidRPr="00116F45" w:rsidRDefault="00873A27" w:rsidP="007804BC">
      <w:pPr>
        <w:spacing w:line="240" w:lineRule="auto"/>
        <w:rPr>
          <w:rFonts w:cs="Times New Roman"/>
          <w:sz w:val="20"/>
          <w:szCs w:val="20"/>
          <w:lang w:val="en-US"/>
        </w:rPr>
      </w:pPr>
    </w:p>
    <w:p w14:paraId="25CCE08A" w14:textId="1E814C6A" w:rsidR="00DA5643" w:rsidRPr="00116F45" w:rsidRDefault="00570D93" w:rsidP="00873A27">
      <w:pPr>
        <w:spacing w:line="240" w:lineRule="auto"/>
        <w:rPr>
          <w:rFonts w:cs="Times New Roman"/>
          <w:sz w:val="20"/>
          <w:szCs w:val="20"/>
          <w:lang w:val="en-US"/>
        </w:rPr>
      </w:pPr>
      <w:r w:rsidRPr="00116F45">
        <w:rPr>
          <w:rFonts w:cs="Times New Roman"/>
          <w:sz w:val="20"/>
          <w:szCs w:val="20"/>
          <w:lang w:val="en-US"/>
        </w:rPr>
        <w:t xml:space="preserve">Multivariable adjustment was for </w:t>
      </w:r>
      <w:r w:rsidR="007804BC" w:rsidRPr="00116F45">
        <w:rPr>
          <w:rFonts w:cs="Times New Roman"/>
          <w:sz w:val="20"/>
          <w:szCs w:val="20"/>
          <w:lang w:val="en-US"/>
        </w:rPr>
        <w:t>age</w:t>
      </w:r>
      <w:r w:rsidR="0003739B" w:rsidRPr="00116F45">
        <w:rPr>
          <w:rFonts w:cs="Times New Roman"/>
          <w:sz w:val="20"/>
          <w:szCs w:val="20"/>
          <w:lang w:val="en-US"/>
        </w:rPr>
        <w:t xml:space="preserve"> (as timescale)</w:t>
      </w:r>
      <w:r w:rsidR="007804BC" w:rsidRPr="00116F45">
        <w:rPr>
          <w:rFonts w:cs="Times New Roman"/>
          <w:sz w:val="20"/>
          <w:szCs w:val="20"/>
          <w:lang w:val="en-US"/>
        </w:rPr>
        <w:t xml:space="preserve">, sex, household income, education, smoking, alcohol consumption, physical activity, body mass index, diabetes, hypertension, lipid-lowering therapy, LDL cholesterol, HDL cholesterol, triglycerides, IHD and ICVD prior to study entry. </w:t>
      </w:r>
      <w:r w:rsidR="007804BC" w:rsidRPr="00116F45">
        <w:rPr>
          <w:rFonts w:cs="Times New Roman"/>
          <w:i/>
          <w:iCs/>
          <w:sz w:val="20"/>
          <w:szCs w:val="20"/>
          <w:lang w:val="en-US"/>
        </w:rPr>
        <w:t>APOE</w:t>
      </w:r>
      <w:r w:rsidR="007804BC" w:rsidRPr="00116F45">
        <w:rPr>
          <w:rFonts w:cs="Times New Roman"/>
          <w:sz w:val="20"/>
          <w:szCs w:val="20"/>
          <w:lang w:val="en-US"/>
        </w:rPr>
        <w:t xml:space="preserve"> genotype=apolipoprotein E </w:t>
      </w:r>
      <w:r w:rsidR="0003739B" w:rsidRPr="00116F45">
        <w:rPr>
          <w:rFonts w:cs="Times New Roman"/>
          <w:sz w:val="20"/>
          <w:szCs w:val="20"/>
          <w:lang w:val="en-US"/>
        </w:rPr>
        <w:t xml:space="preserve">ε2/ε3/ε4 </w:t>
      </w:r>
      <w:r w:rsidR="007804BC" w:rsidRPr="00116F45">
        <w:rPr>
          <w:rFonts w:cs="Times New Roman"/>
          <w:sz w:val="20"/>
          <w:szCs w:val="20"/>
          <w:lang w:val="en-US"/>
        </w:rPr>
        <w:t xml:space="preserve">genotype; </w:t>
      </w:r>
      <w:r w:rsidR="0003739B" w:rsidRPr="00116F45">
        <w:rPr>
          <w:rFonts w:cs="Times New Roman"/>
          <w:sz w:val="20"/>
          <w:szCs w:val="20"/>
          <w:lang w:val="en-US"/>
        </w:rPr>
        <w:t xml:space="preserve">CI=confidence interval; </w:t>
      </w:r>
      <w:r w:rsidR="007804BC" w:rsidRPr="00116F45">
        <w:rPr>
          <w:rFonts w:cs="Times New Roman"/>
          <w:sz w:val="20"/>
          <w:szCs w:val="20"/>
          <w:lang w:val="en-US"/>
        </w:rPr>
        <w:t xml:space="preserve">HDL cholesterol=high-density lipoprotein cholesterol; IHD=ischemic heart disease; ICVD=ischemic cerebrovascular disease; LDL cholesterol=low-density lipoprotein cholesterol. </w:t>
      </w:r>
    </w:p>
    <w:p w14:paraId="615D3C06" w14:textId="77777777" w:rsidR="00DA5643" w:rsidRPr="00116F45" w:rsidRDefault="00DA5643">
      <w:pPr>
        <w:rPr>
          <w:rFonts w:cs="Times New Roman"/>
          <w:sz w:val="20"/>
          <w:szCs w:val="20"/>
          <w:lang w:val="en-US"/>
        </w:rPr>
      </w:pPr>
      <w:r w:rsidRPr="00116F45">
        <w:rPr>
          <w:rFonts w:cs="Times New Roman"/>
          <w:sz w:val="20"/>
          <w:szCs w:val="20"/>
          <w:lang w:val="en-US"/>
        </w:rPr>
        <w:br w:type="page"/>
      </w:r>
    </w:p>
    <w:p w14:paraId="3F41F0FE" w14:textId="6EC694D4" w:rsidR="00032743" w:rsidRPr="00116F45" w:rsidRDefault="00032743" w:rsidP="00E5295E">
      <w:pPr>
        <w:pStyle w:val="Heading2"/>
        <w:rPr>
          <w:lang w:val="en-US"/>
        </w:rPr>
      </w:pPr>
      <w:bookmarkStart w:id="27" w:name="_Toc110945234"/>
      <w:r w:rsidRPr="00116F45">
        <w:rPr>
          <w:lang w:val="en-US"/>
        </w:rPr>
        <w:lastRenderedPageBreak/>
        <w:t xml:space="preserve">Supplementary Figure 5. Risk of non-Alzheimer’s dementia and Alzheimer’s disease according to dietary groups </w:t>
      </w:r>
      <w:r w:rsidRPr="00116F45">
        <w:rPr>
          <w:bCs/>
          <w:lang w:val="en-US"/>
        </w:rPr>
        <w:t>in 94,184 individuals in the Copenhagen General Population Study</w:t>
      </w:r>
      <w:r w:rsidR="00A244B6" w:rsidRPr="00116F45">
        <w:rPr>
          <w:bCs/>
          <w:lang w:val="en-US"/>
        </w:rPr>
        <w:t xml:space="preserve">; </w:t>
      </w:r>
      <w:r w:rsidRPr="00116F45">
        <w:rPr>
          <w:rFonts w:cs="Times New Roman"/>
          <w:lang w:val="en-GB"/>
        </w:rPr>
        <w:t>imputed variables based on all covariates and endpoints</w:t>
      </w:r>
      <w:r w:rsidRPr="00116F45">
        <w:rPr>
          <w:lang w:val="en-US"/>
        </w:rPr>
        <w:t>.</w:t>
      </w:r>
      <w:bookmarkEnd w:id="27"/>
    </w:p>
    <w:p w14:paraId="0609A322" w14:textId="0C42F57A" w:rsidR="00032743" w:rsidRPr="00116F45" w:rsidRDefault="00032743" w:rsidP="00032743">
      <w:pPr>
        <w:rPr>
          <w:lang w:val="en-US"/>
        </w:rPr>
      </w:pPr>
      <w:r w:rsidRPr="00116F45">
        <w:rPr>
          <w:noProof/>
          <w:lang w:val="en-US"/>
        </w:rPr>
        <w:drawing>
          <wp:anchor distT="0" distB="0" distL="114300" distR="114300" simplePos="0" relativeHeight="251709440" behindDoc="0" locked="0" layoutInCell="1" allowOverlap="1" wp14:anchorId="7FCFFB5E" wp14:editId="37AE3320">
            <wp:simplePos x="0" y="0"/>
            <wp:positionH relativeFrom="column">
              <wp:posOffset>0</wp:posOffset>
            </wp:positionH>
            <wp:positionV relativeFrom="paragraph">
              <wp:posOffset>285115</wp:posOffset>
            </wp:positionV>
            <wp:extent cx="8531860" cy="3354705"/>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31860" cy="3354705"/>
                    </a:xfrm>
                    <a:prstGeom prst="rect">
                      <a:avLst/>
                    </a:prstGeom>
                  </pic:spPr>
                </pic:pic>
              </a:graphicData>
            </a:graphic>
          </wp:anchor>
        </w:drawing>
      </w:r>
    </w:p>
    <w:p w14:paraId="118B4ADA" w14:textId="77777777" w:rsidR="00032743" w:rsidRPr="00116F45" w:rsidRDefault="00032743" w:rsidP="00032743">
      <w:pPr>
        <w:spacing w:line="240" w:lineRule="auto"/>
        <w:rPr>
          <w:lang w:val="en-US"/>
        </w:rPr>
      </w:pPr>
    </w:p>
    <w:p w14:paraId="30EC26D9" w14:textId="52518CD4" w:rsidR="00032743" w:rsidRPr="00116F45" w:rsidRDefault="00032743" w:rsidP="00032743">
      <w:pPr>
        <w:spacing w:line="240" w:lineRule="auto"/>
        <w:rPr>
          <w:rFonts w:cs="Times New Roman"/>
          <w:sz w:val="20"/>
          <w:szCs w:val="20"/>
          <w:lang w:val="en-US"/>
        </w:rPr>
      </w:pPr>
      <w:r w:rsidRPr="00116F45">
        <w:rPr>
          <w:rFonts w:cs="Times New Roman"/>
          <w:sz w:val="20"/>
          <w:szCs w:val="20"/>
          <w:lang w:val="en-US"/>
        </w:rPr>
        <w:t xml:space="preserve">Multivariable adjustment was for age (as timescale), sex, household income, education, smoking, alcohol consumption, physical activity, body mass index, diabetes, hypertension, lipid-lowering therapy, LDL cholesterol, HDL cholesterol, triglycerides, IHD and ICVD prior to study entry. Variables were multiple imputed based on all covariates and endpoints included in the study. </w:t>
      </w:r>
      <w:r w:rsidRPr="00116F45">
        <w:rPr>
          <w:rFonts w:cs="Times New Roman"/>
          <w:i/>
          <w:iCs/>
          <w:sz w:val="20"/>
          <w:szCs w:val="20"/>
          <w:lang w:val="en-US"/>
        </w:rPr>
        <w:t>APOE</w:t>
      </w:r>
      <w:r w:rsidRPr="00116F45">
        <w:rPr>
          <w:rFonts w:cs="Times New Roman"/>
          <w:sz w:val="20"/>
          <w:szCs w:val="20"/>
          <w:lang w:val="en-US"/>
        </w:rPr>
        <w:t xml:space="preserve"> genotype=apolipoprotein E ε2/ε3/ε4 genotype; CI=confidence interval; HDL cholesterol=high-density lipoprotein cholesterol; LDL cholesterol=low-density lipoprotein cholesterol. </w:t>
      </w:r>
    </w:p>
    <w:p w14:paraId="2B12D8F3" w14:textId="6E9B1AFC" w:rsidR="00032743" w:rsidRPr="00116F45" w:rsidRDefault="00032743">
      <w:pPr>
        <w:rPr>
          <w:rFonts w:eastAsiaTheme="majorEastAsia" w:cstheme="majorBidi"/>
          <w:b/>
          <w:szCs w:val="32"/>
          <w:lang w:val="en-US"/>
        </w:rPr>
      </w:pPr>
    </w:p>
    <w:p w14:paraId="3827FF26" w14:textId="642B95E0" w:rsidR="00DA5643" w:rsidRPr="00116F45" w:rsidRDefault="001777C1" w:rsidP="00E5295E">
      <w:pPr>
        <w:pStyle w:val="Heading2"/>
        <w:rPr>
          <w:lang w:val="en-US"/>
        </w:rPr>
      </w:pPr>
      <w:bookmarkStart w:id="28" w:name="_Toc110945235"/>
      <w:r w:rsidRPr="00116F45">
        <w:rPr>
          <w:lang w:val="en-US"/>
        </w:rPr>
        <w:lastRenderedPageBreak/>
        <w:t>Supplement</w:t>
      </w:r>
      <w:r w:rsidR="000F36F5" w:rsidRPr="00116F45">
        <w:rPr>
          <w:lang w:val="en-US"/>
        </w:rPr>
        <w:t>ary</w:t>
      </w:r>
      <w:r w:rsidRPr="00116F45">
        <w:rPr>
          <w:lang w:val="en-US"/>
        </w:rPr>
        <w:t xml:space="preserve"> </w:t>
      </w:r>
      <w:r w:rsidR="00DA5643" w:rsidRPr="00116F45">
        <w:rPr>
          <w:lang w:val="en-US"/>
        </w:rPr>
        <w:t xml:space="preserve">Figure </w:t>
      </w:r>
      <w:r w:rsidR="00032743" w:rsidRPr="00116F45">
        <w:rPr>
          <w:lang w:val="en-US"/>
        </w:rPr>
        <w:t>6</w:t>
      </w:r>
      <w:r w:rsidR="006D7055" w:rsidRPr="00116F45">
        <w:rPr>
          <w:lang w:val="en-US"/>
        </w:rPr>
        <w:t xml:space="preserve">. </w:t>
      </w:r>
      <w:r w:rsidR="00DA5643" w:rsidRPr="00116F45">
        <w:rPr>
          <w:lang w:val="en-US"/>
        </w:rPr>
        <w:t xml:space="preserve">Risk of cardiovascular mortality and all-cause mortality according to dietary groups in </w:t>
      </w:r>
      <w:r w:rsidR="00EB7BDE" w:rsidRPr="00116F45">
        <w:rPr>
          <w:lang w:val="en-US"/>
        </w:rPr>
        <w:t xml:space="preserve">94,184 </w:t>
      </w:r>
      <w:r w:rsidR="00DA5643" w:rsidRPr="00116F45">
        <w:rPr>
          <w:lang w:val="en-US"/>
        </w:rPr>
        <w:t>individuals from the Copenhagen General Population Study - a positive control.</w:t>
      </w:r>
      <w:bookmarkEnd w:id="28"/>
      <w:r w:rsidR="00DA5643" w:rsidRPr="00116F45">
        <w:rPr>
          <w:lang w:val="en-US"/>
        </w:rPr>
        <w:t xml:space="preserve"> </w:t>
      </w:r>
    </w:p>
    <w:p w14:paraId="65E3B254" w14:textId="70399996" w:rsidR="00DA5643" w:rsidRPr="00116F45" w:rsidRDefault="006F7F2F" w:rsidP="00DA5643">
      <w:pPr>
        <w:spacing w:line="240" w:lineRule="auto"/>
        <w:rPr>
          <w:rFonts w:cs="Times New Roman"/>
          <w:szCs w:val="24"/>
          <w:lang w:val="en-US"/>
        </w:rPr>
      </w:pPr>
      <w:r w:rsidRPr="00116F45">
        <w:rPr>
          <w:rFonts w:cs="Times New Roman"/>
          <w:noProof/>
          <w:szCs w:val="24"/>
          <w:lang w:val="en-US"/>
        </w:rPr>
        <w:drawing>
          <wp:anchor distT="0" distB="0" distL="114300" distR="114300" simplePos="0" relativeHeight="251705344" behindDoc="0" locked="0" layoutInCell="1" allowOverlap="1" wp14:anchorId="64B2A6CC" wp14:editId="1D6E9BB9">
            <wp:simplePos x="0" y="0"/>
            <wp:positionH relativeFrom="margin">
              <wp:align>center</wp:align>
            </wp:positionH>
            <wp:positionV relativeFrom="paragraph">
              <wp:posOffset>208915</wp:posOffset>
            </wp:positionV>
            <wp:extent cx="7548372" cy="3959352"/>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027_cox_diet_mortalit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8372" cy="3959352"/>
                    </a:xfrm>
                    <a:prstGeom prst="rect">
                      <a:avLst/>
                    </a:prstGeom>
                  </pic:spPr>
                </pic:pic>
              </a:graphicData>
            </a:graphic>
          </wp:anchor>
        </w:drawing>
      </w:r>
    </w:p>
    <w:p w14:paraId="25B53DDE" w14:textId="7A1B8118" w:rsidR="00DA5643" w:rsidRPr="00116F45" w:rsidRDefault="00DA5643" w:rsidP="00DA5643">
      <w:pPr>
        <w:spacing w:line="240" w:lineRule="auto"/>
        <w:rPr>
          <w:rFonts w:cs="Times New Roman"/>
          <w:szCs w:val="24"/>
          <w:lang w:val="en-US"/>
        </w:rPr>
      </w:pPr>
    </w:p>
    <w:p w14:paraId="71743084" w14:textId="661DD82B" w:rsidR="00DA5643" w:rsidRPr="00116F45" w:rsidRDefault="00DA5643" w:rsidP="00DA5643">
      <w:pPr>
        <w:spacing w:line="240" w:lineRule="auto"/>
        <w:rPr>
          <w:rFonts w:cs="Times New Roman"/>
          <w:sz w:val="20"/>
          <w:szCs w:val="20"/>
          <w:lang w:val="en-US"/>
        </w:rPr>
      </w:pPr>
      <w:r w:rsidRPr="00116F45">
        <w:rPr>
          <w:rFonts w:cs="Times New Roman"/>
          <w:sz w:val="20"/>
          <w:szCs w:val="20"/>
          <w:lang w:val="en-US"/>
        </w:rPr>
        <w:t>Multivariable adjustment was for age (as timescale), sex, household income, education, smoking, alcohol consumption, physical activity, body mass index, diabetes, hypertension, lipid-lowering therapy, LDL cholesterol, HDL cholesterol, and triglycerides. CI=confidence inter</w:t>
      </w:r>
      <w:r w:rsidR="00C6798E" w:rsidRPr="00116F45">
        <w:rPr>
          <w:rFonts w:cs="Times New Roman"/>
          <w:sz w:val="20"/>
          <w:szCs w:val="20"/>
          <w:lang w:val="en-US"/>
        </w:rPr>
        <w:t>v</w:t>
      </w:r>
      <w:r w:rsidRPr="00116F45">
        <w:rPr>
          <w:rFonts w:cs="Times New Roman"/>
          <w:sz w:val="20"/>
          <w:szCs w:val="20"/>
          <w:lang w:val="en-US"/>
        </w:rPr>
        <w:t>al; HDL cholesterol=high-density lipoprotein cholesterol; LDL cholesterol=low-density lipoprotein cholesterol.</w:t>
      </w:r>
    </w:p>
    <w:p w14:paraId="48B210B1" w14:textId="77777777" w:rsidR="007804BC" w:rsidRPr="00116F45" w:rsidRDefault="007804BC" w:rsidP="00873A27">
      <w:pPr>
        <w:spacing w:line="240" w:lineRule="auto"/>
        <w:rPr>
          <w:rFonts w:cs="Times New Roman"/>
          <w:sz w:val="20"/>
          <w:szCs w:val="20"/>
          <w:lang w:val="en-US"/>
        </w:rPr>
        <w:sectPr w:rsidR="007804BC" w:rsidRPr="00116F45" w:rsidSect="007804BC">
          <w:pgSz w:w="16838" w:h="11906" w:orient="landscape"/>
          <w:pgMar w:top="1134" w:right="1701" w:bottom="1134" w:left="1701" w:header="709" w:footer="709" w:gutter="0"/>
          <w:cols w:space="708"/>
          <w:docGrid w:linePitch="360"/>
        </w:sectPr>
      </w:pPr>
    </w:p>
    <w:p w14:paraId="3DD2EE56" w14:textId="489AE7BD" w:rsidR="00DB5E63" w:rsidRPr="00116F45" w:rsidRDefault="001777C1" w:rsidP="00E5295E">
      <w:pPr>
        <w:pStyle w:val="Heading2"/>
        <w:rPr>
          <w:lang w:val="en-US"/>
        </w:rPr>
      </w:pPr>
      <w:bookmarkStart w:id="29" w:name="_Toc110945236"/>
      <w:r w:rsidRPr="00116F45">
        <w:rPr>
          <w:lang w:val="en-US"/>
        </w:rPr>
        <w:lastRenderedPageBreak/>
        <w:t>Supplement</w:t>
      </w:r>
      <w:r w:rsidR="000F36F5" w:rsidRPr="00116F45">
        <w:rPr>
          <w:lang w:val="en-US"/>
        </w:rPr>
        <w:t>ary</w:t>
      </w:r>
      <w:r w:rsidRPr="00116F45">
        <w:rPr>
          <w:lang w:val="en-US"/>
        </w:rPr>
        <w:t xml:space="preserve"> </w:t>
      </w:r>
      <w:r w:rsidR="003F435D" w:rsidRPr="00116F45">
        <w:rPr>
          <w:lang w:val="en-US"/>
        </w:rPr>
        <w:t xml:space="preserve">Figure </w:t>
      </w:r>
      <w:r w:rsidR="00032743" w:rsidRPr="00116F45">
        <w:rPr>
          <w:lang w:val="en-US"/>
        </w:rPr>
        <w:t>7</w:t>
      </w:r>
      <w:r w:rsidR="003F435D" w:rsidRPr="00116F45">
        <w:rPr>
          <w:lang w:val="en-US"/>
        </w:rPr>
        <w:t xml:space="preserve">. </w:t>
      </w:r>
      <w:r w:rsidR="00DB5E63" w:rsidRPr="00116F45">
        <w:rPr>
          <w:lang w:val="en-US"/>
        </w:rPr>
        <w:t>Interaction between level of adherence to dietary guidelines and covariates on risk of non-Alzheimer’s dementia</w:t>
      </w:r>
      <w:r w:rsidR="00570D93" w:rsidRPr="00116F45">
        <w:rPr>
          <w:rFonts w:asciiTheme="minorHAnsi" w:eastAsiaTheme="minorHAnsi" w:hAnsiTheme="minorHAnsi" w:cs="Times New Roman"/>
          <w:bCs/>
          <w:lang w:val="en-US"/>
        </w:rPr>
        <w:t xml:space="preserve"> </w:t>
      </w:r>
      <w:r w:rsidR="00570D93" w:rsidRPr="00116F45">
        <w:rPr>
          <w:bCs/>
          <w:lang w:val="en-US"/>
        </w:rPr>
        <w:t xml:space="preserve">in </w:t>
      </w:r>
      <w:r w:rsidR="00036196" w:rsidRPr="00116F45">
        <w:rPr>
          <w:bCs/>
          <w:lang w:val="en-US"/>
        </w:rPr>
        <w:t xml:space="preserve">94,184 </w:t>
      </w:r>
      <w:r w:rsidR="00570D93" w:rsidRPr="00116F45">
        <w:rPr>
          <w:bCs/>
          <w:lang w:val="en-US"/>
        </w:rPr>
        <w:t>individuals in the Copenhagen General Population Study</w:t>
      </w:r>
      <w:r w:rsidR="00DB5E63" w:rsidRPr="00116F45">
        <w:rPr>
          <w:lang w:val="en-US"/>
        </w:rPr>
        <w:t>.</w:t>
      </w:r>
      <w:bookmarkEnd w:id="29"/>
      <w:r w:rsidR="00DB5E63" w:rsidRPr="00116F45">
        <w:rPr>
          <w:lang w:val="en-US"/>
        </w:rPr>
        <w:t xml:space="preserve"> </w:t>
      </w:r>
    </w:p>
    <w:p w14:paraId="068774B8" w14:textId="55ED3219" w:rsidR="006F7F2F" w:rsidRPr="00116F45" w:rsidRDefault="006F7F2F" w:rsidP="006F7F2F">
      <w:pPr>
        <w:rPr>
          <w:lang w:val="en-US"/>
        </w:rPr>
      </w:pPr>
      <w:r w:rsidRPr="00116F45">
        <w:rPr>
          <w:noProof/>
          <w:lang w:val="en-US"/>
        </w:rPr>
        <w:drawing>
          <wp:anchor distT="0" distB="0" distL="114300" distR="114300" simplePos="0" relativeHeight="251706368" behindDoc="0" locked="0" layoutInCell="1" allowOverlap="1" wp14:anchorId="22AF2E65" wp14:editId="39A8E214">
            <wp:simplePos x="0" y="0"/>
            <wp:positionH relativeFrom="margin">
              <wp:align>left</wp:align>
            </wp:positionH>
            <wp:positionV relativeFrom="paragraph">
              <wp:posOffset>182880</wp:posOffset>
            </wp:positionV>
            <wp:extent cx="6023610" cy="6798310"/>
            <wp:effectExtent l="0" t="0" r="0" b="2540"/>
            <wp:wrapTopAndBottom/>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101_interaction.TIF"/>
                    <pic:cNvPicPr/>
                  </pic:nvPicPr>
                  <pic:blipFill rotWithShape="1">
                    <a:blip r:embed="rId15" cstate="print">
                      <a:extLst>
                        <a:ext uri="{28A0092B-C50C-407E-A947-70E740481C1C}">
                          <a14:useLocalDpi xmlns:a14="http://schemas.microsoft.com/office/drawing/2010/main" val="0"/>
                        </a:ext>
                      </a:extLst>
                    </a:blip>
                    <a:srcRect t="20319"/>
                    <a:stretch/>
                  </pic:blipFill>
                  <pic:spPr bwMode="auto">
                    <a:xfrm>
                      <a:off x="0" y="0"/>
                      <a:ext cx="6023610" cy="6798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B0061ED" w14:textId="319930D5" w:rsidR="00624B2B" w:rsidRPr="00116F45" w:rsidRDefault="00DB5E63" w:rsidP="00672896">
      <w:pPr>
        <w:spacing w:line="240" w:lineRule="auto"/>
        <w:rPr>
          <w:rFonts w:cs="Times New Roman"/>
          <w:sz w:val="20"/>
          <w:szCs w:val="20"/>
          <w:lang w:val="en-US"/>
        </w:rPr>
      </w:pPr>
      <w:r w:rsidRPr="00116F45">
        <w:rPr>
          <w:rFonts w:cs="Times New Roman"/>
          <w:sz w:val="20"/>
          <w:szCs w:val="20"/>
          <w:lang w:val="en-US"/>
        </w:rPr>
        <w:t xml:space="preserve">Hazard ratios </w:t>
      </w:r>
      <w:r w:rsidR="0003739B" w:rsidRPr="00116F45">
        <w:rPr>
          <w:rFonts w:cs="Times New Roman"/>
          <w:sz w:val="20"/>
          <w:szCs w:val="20"/>
          <w:lang w:val="en-US"/>
        </w:rPr>
        <w:t xml:space="preserve">per one increase in group based on adherence to dietary guidelines </w:t>
      </w:r>
      <w:r w:rsidR="00570D93" w:rsidRPr="00116F45">
        <w:rPr>
          <w:rFonts w:cs="Times New Roman"/>
          <w:sz w:val="20"/>
          <w:szCs w:val="20"/>
          <w:lang w:val="en-US"/>
        </w:rPr>
        <w:t>for</w:t>
      </w:r>
      <w:r w:rsidRPr="00116F45">
        <w:rPr>
          <w:rFonts w:cs="Times New Roman"/>
          <w:sz w:val="20"/>
          <w:szCs w:val="20"/>
          <w:lang w:val="en-US"/>
        </w:rPr>
        <w:t xml:space="preserve"> risk of non-Alzheimer’s dementia were adjusted for age (as timescale), sex, </w:t>
      </w:r>
      <w:proofErr w:type="gramStart"/>
      <w:r w:rsidRPr="00116F45">
        <w:rPr>
          <w:rFonts w:cs="Times New Roman"/>
          <w:sz w:val="20"/>
          <w:szCs w:val="20"/>
          <w:lang w:val="en-US"/>
        </w:rPr>
        <w:t>income</w:t>
      </w:r>
      <w:proofErr w:type="gramEnd"/>
      <w:r w:rsidRPr="00116F45">
        <w:rPr>
          <w:rFonts w:cs="Times New Roman"/>
          <w:sz w:val="20"/>
          <w:szCs w:val="20"/>
          <w:lang w:val="en-US"/>
        </w:rPr>
        <w:t xml:space="preserve"> and education. </w:t>
      </w:r>
      <w:r w:rsidR="007804BC" w:rsidRPr="00116F45">
        <w:rPr>
          <w:rFonts w:cs="Times New Roman"/>
          <w:sz w:val="20"/>
          <w:szCs w:val="20"/>
          <w:lang w:val="en-US"/>
        </w:rPr>
        <w:t>H</w:t>
      </w:r>
      <w:r w:rsidRPr="00116F45">
        <w:rPr>
          <w:rFonts w:cs="Times New Roman"/>
          <w:sz w:val="20"/>
          <w:szCs w:val="20"/>
          <w:lang w:val="en-US"/>
        </w:rPr>
        <w:t>ousehold income (&lt;400,000 DKK/year vs. ≥ 400,00 DKK/year), education (&lt;8 years vs. ≥8 years), body mass index (</w:t>
      </w:r>
      <w:r w:rsidR="006F7F2F" w:rsidRPr="00116F45">
        <w:rPr>
          <w:rFonts w:cs="Times New Roman"/>
          <w:sz w:val="20"/>
          <w:szCs w:val="20"/>
          <w:lang w:val="en-US"/>
        </w:rPr>
        <w:t>≤50</w:t>
      </w:r>
      <w:r w:rsidR="006F7F2F" w:rsidRPr="00116F45">
        <w:rPr>
          <w:rFonts w:cs="Times New Roman"/>
          <w:sz w:val="20"/>
          <w:szCs w:val="20"/>
          <w:vertAlign w:val="superscript"/>
          <w:lang w:val="en-US"/>
        </w:rPr>
        <w:t>th</w:t>
      </w:r>
      <w:r w:rsidR="006F7F2F" w:rsidRPr="00116F45">
        <w:rPr>
          <w:rFonts w:cs="Times New Roman"/>
          <w:sz w:val="20"/>
          <w:szCs w:val="20"/>
          <w:lang w:val="en-US"/>
        </w:rPr>
        <w:t xml:space="preserve"> vs. &gt;50</w:t>
      </w:r>
      <w:r w:rsidR="006F7F2F" w:rsidRPr="00116F45">
        <w:rPr>
          <w:rFonts w:cs="Times New Roman"/>
          <w:sz w:val="20"/>
          <w:szCs w:val="20"/>
          <w:vertAlign w:val="superscript"/>
          <w:lang w:val="en-US"/>
        </w:rPr>
        <w:t>th</w:t>
      </w:r>
      <w:r w:rsidR="006F7F2F" w:rsidRPr="00116F45">
        <w:rPr>
          <w:rFonts w:cs="Times New Roman"/>
          <w:sz w:val="20"/>
          <w:szCs w:val="20"/>
          <w:lang w:val="en-US"/>
        </w:rPr>
        <w:t xml:space="preserve"> percentile</w:t>
      </w:r>
      <w:r w:rsidRPr="00116F45">
        <w:rPr>
          <w:rFonts w:cs="Times New Roman"/>
          <w:sz w:val="20"/>
          <w:szCs w:val="20"/>
          <w:lang w:val="en-US"/>
        </w:rPr>
        <w:t>), physical activity (&lt;4 hours/week vs. ≥4 hours/week), smoking</w:t>
      </w:r>
      <w:r w:rsidR="006F7F2F" w:rsidRPr="00116F45">
        <w:rPr>
          <w:rFonts w:cs="Times New Roman"/>
          <w:sz w:val="20"/>
          <w:szCs w:val="20"/>
          <w:lang w:val="en-US"/>
        </w:rPr>
        <w:t xml:space="preserve"> in pack-years</w:t>
      </w:r>
      <w:r w:rsidRPr="00116F45">
        <w:rPr>
          <w:rFonts w:cs="Times New Roman"/>
          <w:sz w:val="20"/>
          <w:szCs w:val="20"/>
          <w:lang w:val="en-US"/>
        </w:rPr>
        <w:t xml:space="preserve"> (</w:t>
      </w:r>
      <w:r w:rsidR="006F7F2F" w:rsidRPr="00116F45">
        <w:rPr>
          <w:rFonts w:cs="Times New Roman"/>
          <w:sz w:val="20"/>
          <w:szCs w:val="20"/>
          <w:lang w:val="en-US"/>
        </w:rPr>
        <w:t>≤50</w:t>
      </w:r>
      <w:r w:rsidR="006F7F2F" w:rsidRPr="00116F45">
        <w:rPr>
          <w:rFonts w:cs="Times New Roman"/>
          <w:sz w:val="20"/>
          <w:szCs w:val="20"/>
          <w:vertAlign w:val="superscript"/>
          <w:lang w:val="en-US"/>
        </w:rPr>
        <w:t>th</w:t>
      </w:r>
      <w:r w:rsidR="006F7F2F" w:rsidRPr="00116F45">
        <w:rPr>
          <w:rFonts w:cs="Times New Roman"/>
          <w:sz w:val="20"/>
          <w:szCs w:val="20"/>
          <w:lang w:val="en-US"/>
        </w:rPr>
        <w:t xml:space="preserve"> vs. &gt;50</w:t>
      </w:r>
      <w:r w:rsidR="006F7F2F" w:rsidRPr="00116F45">
        <w:rPr>
          <w:rFonts w:cs="Times New Roman"/>
          <w:sz w:val="20"/>
          <w:szCs w:val="20"/>
          <w:vertAlign w:val="superscript"/>
          <w:lang w:val="en-US"/>
        </w:rPr>
        <w:t>th</w:t>
      </w:r>
      <w:r w:rsidR="006F7F2F" w:rsidRPr="00116F45">
        <w:rPr>
          <w:rFonts w:cs="Times New Roman"/>
          <w:sz w:val="20"/>
          <w:szCs w:val="20"/>
          <w:lang w:val="en-US"/>
        </w:rPr>
        <w:t xml:space="preserve"> percentile</w:t>
      </w:r>
      <w:r w:rsidRPr="00116F45">
        <w:rPr>
          <w:rFonts w:cs="Times New Roman"/>
          <w:sz w:val="20"/>
          <w:szCs w:val="20"/>
          <w:lang w:val="en-US"/>
        </w:rPr>
        <w:t>), alcohol (women/men 0-14/0-21 drinks/week vs. &gt;15/&gt;22 drinks/week), hypertension (yes vs. no), diabetes mellitus (yes vs. no), lipid-lowering therapy (yes vs. no), triglycerides (≤50</w:t>
      </w:r>
      <w:r w:rsidR="0028304A" w:rsidRPr="00116F45">
        <w:rPr>
          <w:rFonts w:cs="Times New Roman"/>
          <w:sz w:val="20"/>
          <w:szCs w:val="20"/>
          <w:vertAlign w:val="superscript"/>
          <w:lang w:val="en-US"/>
        </w:rPr>
        <w:t>th</w:t>
      </w:r>
      <w:r w:rsidRPr="00116F45">
        <w:rPr>
          <w:rFonts w:cs="Times New Roman"/>
          <w:sz w:val="20"/>
          <w:szCs w:val="20"/>
          <w:lang w:val="en-US"/>
        </w:rPr>
        <w:t xml:space="preserve"> vs. &gt;50</w:t>
      </w:r>
      <w:r w:rsidR="0028304A" w:rsidRPr="00116F45">
        <w:rPr>
          <w:rFonts w:cs="Times New Roman"/>
          <w:sz w:val="20"/>
          <w:szCs w:val="20"/>
          <w:vertAlign w:val="superscript"/>
          <w:lang w:val="en-US"/>
        </w:rPr>
        <w:t>th</w:t>
      </w:r>
      <w:r w:rsidR="0028304A" w:rsidRPr="00116F45">
        <w:rPr>
          <w:rFonts w:cs="Times New Roman"/>
          <w:sz w:val="20"/>
          <w:szCs w:val="20"/>
          <w:lang w:val="en-US"/>
        </w:rPr>
        <w:t xml:space="preserve"> percentile</w:t>
      </w:r>
      <w:r w:rsidRPr="00116F45">
        <w:rPr>
          <w:rFonts w:cs="Times New Roman"/>
          <w:sz w:val="20"/>
          <w:szCs w:val="20"/>
          <w:lang w:val="en-US"/>
        </w:rPr>
        <w:t>), LDL cholesterol (≤50</w:t>
      </w:r>
      <w:r w:rsidR="0028304A" w:rsidRPr="00116F45">
        <w:rPr>
          <w:rFonts w:cs="Times New Roman"/>
          <w:sz w:val="20"/>
          <w:szCs w:val="20"/>
          <w:vertAlign w:val="superscript"/>
          <w:lang w:val="en-US"/>
        </w:rPr>
        <w:t>th</w:t>
      </w:r>
      <w:r w:rsidR="0028304A" w:rsidRPr="00116F45">
        <w:rPr>
          <w:rFonts w:cs="Times New Roman"/>
          <w:sz w:val="20"/>
          <w:szCs w:val="20"/>
          <w:lang w:val="en-US"/>
        </w:rPr>
        <w:t xml:space="preserve"> </w:t>
      </w:r>
      <w:r w:rsidRPr="00116F45">
        <w:rPr>
          <w:rFonts w:cs="Times New Roman"/>
          <w:sz w:val="20"/>
          <w:szCs w:val="20"/>
          <w:lang w:val="en-US"/>
        </w:rPr>
        <w:t>vs. &gt;50</w:t>
      </w:r>
      <w:r w:rsidR="0028304A" w:rsidRPr="00116F45">
        <w:rPr>
          <w:rFonts w:cs="Times New Roman"/>
          <w:sz w:val="20"/>
          <w:szCs w:val="20"/>
          <w:vertAlign w:val="superscript"/>
          <w:lang w:val="en-US"/>
        </w:rPr>
        <w:t>th</w:t>
      </w:r>
      <w:r w:rsidR="0028304A" w:rsidRPr="00116F45">
        <w:rPr>
          <w:rFonts w:cs="Times New Roman"/>
          <w:sz w:val="20"/>
          <w:szCs w:val="20"/>
          <w:lang w:val="en-US"/>
        </w:rPr>
        <w:t xml:space="preserve"> percentile</w:t>
      </w:r>
      <w:r w:rsidRPr="00116F45">
        <w:rPr>
          <w:rFonts w:cs="Times New Roman"/>
          <w:sz w:val="20"/>
          <w:szCs w:val="20"/>
          <w:lang w:val="en-US"/>
        </w:rPr>
        <w:t>), HDL cholesterol (≤50</w:t>
      </w:r>
      <w:r w:rsidR="0028304A" w:rsidRPr="00116F45">
        <w:rPr>
          <w:rFonts w:cs="Times New Roman"/>
          <w:sz w:val="20"/>
          <w:szCs w:val="20"/>
          <w:vertAlign w:val="superscript"/>
          <w:lang w:val="en-US"/>
        </w:rPr>
        <w:t>th</w:t>
      </w:r>
      <w:r w:rsidRPr="00116F45">
        <w:rPr>
          <w:rFonts w:cs="Times New Roman"/>
          <w:sz w:val="20"/>
          <w:szCs w:val="20"/>
          <w:lang w:val="en-US"/>
        </w:rPr>
        <w:t xml:space="preserve"> vs. &gt;50</w:t>
      </w:r>
      <w:r w:rsidR="0028304A" w:rsidRPr="00116F45">
        <w:rPr>
          <w:rFonts w:cs="Times New Roman"/>
          <w:sz w:val="20"/>
          <w:szCs w:val="20"/>
          <w:vertAlign w:val="superscript"/>
          <w:lang w:val="en-US"/>
        </w:rPr>
        <w:t>th</w:t>
      </w:r>
      <w:r w:rsidR="0028304A" w:rsidRPr="00116F45">
        <w:rPr>
          <w:rFonts w:cs="Times New Roman"/>
          <w:sz w:val="20"/>
          <w:szCs w:val="20"/>
          <w:lang w:val="en-US"/>
        </w:rPr>
        <w:t xml:space="preserve"> percentile</w:t>
      </w:r>
      <w:r w:rsidRPr="00116F45">
        <w:rPr>
          <w:rFonts w:cs="Times New Roman"/>
          <w:sz w:val="20"/>
          <w:szCs w:val="20"/>
          <w:lang w:val="en-US"/>
        </w:rPr>
        <w:t xml:space="preserve">). Interaction was tested by using two-factor interaction terms and a likelihood ratio test in the </w:t>
      </w:r>
      <w:r w:rsidRPr="00116F45">
        <w:rPr>
          <w:rFonts w:cs="Times New Roman"/>
          <w:sz w:val="20"/>
          <w:szCs w:val="20"/>
          <w:lang w:val="en-US"/>
        </w:rPr>
        <w:lastRenderedPageBreak/>
        <w:t>Cox regression model. P for interaction was calculated using likelihood ratio test.</w:t>
      </w:r>
      <w:r w:rsidRPr="00116F45">
        <w:rPr>
          <w:rFonts w:eastAsia="TimesNewRomanPSMT" w:cs="Times New Roman"/>
          <w:sz w:val="20"/>
          <w:szCs w:val="20"/>
          <w:lang w:val="en-US"/>
        </w:rPr>
        <w:t xml:space="preserve"> </w:t>
      </w:r>
      <w:r w:rsidRPr="00116F45">
        <w:rPr>
          <w:rFonts w:cs="Times New Roman"/>
          <w:sz w:val="20"/>
          <w:szCs w:val="20"/>
          <w:lang w:val="en-US"/>
        </w:rPr>
        <w:t>CI=confidence interval; HDL cholesterol=high</w:t>
      </w:r>
      <w:r w:rsidR="0028304A" w:rsidRPr="00116F45">
        <w:rPr>
          <w:rFonts w:cs="Times New Roman"/>
          <w:sz w:val="20"/>
          <w:szCs w:val="20"/>
          <w:lang w:val="en-US"/>
        </w:rPr>
        <w:t>-</w:t>
      </w:r>
      <w:r w:rsidRPr="00116F45">
        <w:rPr>
          <w:rFonts w:cs="Times New Roman"/>
          <w:sz w:val="20"/>
          <w:szCs w:val="20"/>
          <w:lang w:val="en-US"/>
        </w:rPr>
        <w:t xml:space="preserve">density lipoprotein cholesterol; </w:t>
      </w:r>
      <w:r w:rsidR="00AB2B30" w:rsidRPr="00116F45">
        <w:rPr>
          <w:rFonts w:cs="Times New Roman"/>
          <w:sz w:val="20"/>
          <w:szCs w:val="20"/>
          <w:lang w:val="en-US"/>
        </w:rPr>
        <w:t xml:space="preserve">HR=hazard ratio; </w:t>
      </w:r>
      <w:r w:rsidRPr="00116F45">
        <w:rPr>
          <w:rFonts w:cs="Times New Roman"/>
          <w:sz w:val="20"/>
          <w:szCs w:val="20"/>
          <w:lang w:val="en-US"/>
        </w:rPr>
        <w:t>LDL cholesterol=low</w:t>
      </w:r>
      <w:r w:rsidR="0028304A" w:rsidRPr="00116F45">
        <w:rPr>
          <w:rFonts w:cs="Times New Roman"/>
          <w:sz w:val="20"/>
          <w:szCs w:val="20"/>
          <w:lang w:val="en-US"/>
        </w:rPr>
        <w:t>-</w:t>
      </w:r>
      <w:r w:rsidRPr="00116F45">
        <w:rPr>
          <w:rFonts w:cs="Times New Roman"/>
          <w:sz w:val="20"/>
          <w:szCs w:val="20"/>
          <w:lang w:val="en-US"/>
        </w:rPr>
        <w:t>density lipoprotein cholesterol</w:t>
      </w:r>
      <w:r w:rsidR="00B9771C" w:rsidRPr="00116F45">
        <w:rPr>
          <w:rFonts w:cs="Times New Roman"/>
          <w:sz w:val="20"/>
          <w:szCs w:val="20"/>
          <w:lang w:val="en-US"/>
        </w:rPr>
        <w:t>.</w:t>
      </w:r>
    </w:p>
    <w:sectPr w:rsidR="00624B2B" w:rsidRPr="00116F45" w:rsidSect="00672896">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83E89" w14:textId="77777777" w:rsidR="009E39DF" w:rsidRDefault="009E39DF" w:rsidP="00B743C4">
      <w:pPr>
        <w:spacing w:line="240" w:lineRule="auto"/>
      </w:pPr>
      <w:r>
        <w:separator/>
      </w:r>
    </w:p>
  </w:endnote>
  <w:endnote w:type="continuationSeparator" w:id="0">
    <w:p w14:paraId="7355B6B0" w14:textId="77777777" w:rsidR="009E39DF" w:rsidRDefault="009E39DF" w:rsidP="00B743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imes New Roman"/>
      </w:rPr>
      <w:id w:val="-571736642"/>
      <w:docPartObj>
        <w:docPartGallery w:val="Page Numbers (Bottom of Page)"/>
        <w:docPartUnique/>
      </w:docPartObj>
    </w:sdtPr>
    <w:sdtContent>
      <w:p w14:paraId="71D4841C" w14:textId="77777777" w:rsidR="009E39DF" w:rsidRPr="00B743C4" w:rsidRDefault="009E39DF">
        <w:pPr>
          <w:pStyle w:val="Footer"/>
          <w:jc w:val="right"/>
          <w:rPr>
            <w:rFonts w:cs="Times New Roman"/>
          </w:rPr>
        </w:pPr>
        <w:r w:rsidRPr="00B743C4">
          <w:rPr>
            <w:rFonts w:cs="Times New Roman"/>
          </w:rPr>
          <w:fldChar w:fldCharType="begin"/>
        </w:r>
        <w:r w:rsidRPr="00B743C4">
          <w:rPr>
            <w:rFonts w:cs="Times New Roman"/>
          </w:rPr>
          <w:instrText>PAGE   \* MERGEFORMAT</w:instrText>
        </w:r>
        <w:r w:rsidRPr="00B743C4">
          <w:rPr>
            <w:rFonts w:cs="Times New Roman"/>
          </w:rPr>
          <w:fldChar w:fldCharType="separate"/>
        </w:r>
        <w:r w:rsidRPr="00B743C4">
          <w:rPr>
            <w:rFonts w:cs="Times New Roman"/>
          </w:rPr>
          <w:t>2</w:t>
        </w:r>
        <w:r w:rsidRPr="00B743C4">
          <w:rPr>
            <w:rFonts w:cs="Times New Roman"/>
          </w:rPr>
          <w:fldChar w:fldCharType="end"/>
        </w:r>
      </w:p>
    </w:sdtContent>
  </w:sdt>
  <w:p w14:paraId="00DD17D8" w14:textId="77777777" w:rsidR="009E39DF" w:rsidRPr="00B743C4" w:rsidRDefault="009E39DF">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5C9C4" w14:textId="77777777" w:rsidR="009E39DF" w:rsidRDefault="009E39DF" w:rsidP="00B743C4">
      <w:pPr>
        <w:spacing w:line="240" w:lineRule="auto"/>
      </w:pPr>
      <w:r>
        <w:separator/>
      </w:r>
    </w:p>
  </w:footnote>
  <w:footnote w:type="continuationSeparator" w:id="0">
    <w:p w14:paraId="58A41568" w14:textId="77777777" w:rsidR="009E39DF" w:rsidRDefault="009E39DF" w:rsidP="00B743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85C940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9A47C4A"/>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130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B62"/>
    <w:rsid w:val="00032743"/>
    <w:rsid w:val="00032C18"/>
    <w:rsid w:val="00036196"/>
    <w:rsid w:val="00036A38"/>
    <w:rsid w:val="0003739B"/>
    <w:rsid w:val="00064486"/>
    <w:rsid w:val="00080A00"/>
    <w:rsid w:val="000874B9"/>
    <w:rsid w:val="000B558F"/>
    <w:rsid w:val="000D1C70"/>
    <w:rsid w:val="000E7D1B"/>
    <w:rsid w:val="000F36F5"/>
    <w:rsid w:val="00111B8A"/>
    <w:rsid w:val="00116F45"/>
    <w:rsid w:val="00125459"/>
    <w:rsid w:val="00126341"/>
    <w:rsid w:val="0012785E"/>
    <w:rsid w:val="00140F24"/>
    <w:rsid w:val="00160C0A"/>
    <w:rsid w:val="00170D28"/>
    <w:rsid w:val="001777C1"/>
    <w:rsid w:val="00181729"/>
    <w:rsid w:val="00187F1A"/>
    <w:rsid w:val="00191EA5"/>
    <w:rsid w:val="00194FF7"/>
    <w:rsid w:val="001A1BF2"/>
    <w:rsid w:val="001B2E9B"/>
    <w:rsid w:val="002058BA"/>
    <w:rsid w:val="00211DBA"/>
    <w:rsid w:val="002274D3"/>
    <w:rsid w:val="002421A8"/>
    <w:rsid w:val="002521F2"/>
    <w:rsid w:val="0028304A"/>
    <w:rsid w:val="002B6574"/>
    <w:rsid w:val="002C3A87"/>
    <w:rsid w:val="002E497D"/>
    <w:rsid w:val="002F55DA"/>
    <w:rsid w:val="00312CDB"/>
    <w:rsid w:val="00312D9E"/>
    <w:rsid w:val="00333498"/>
    <w:rsid w:val="00362B88"/>
    <w:rsid w:val="00391FCA"/>
    <w:rsid w:val="003A3A39"/>
    <w:rsid w:val="003E0980"/>
    <w:rsid w:val="003F435D"/>
    <w:rsid w:val="003F644B"/>
    <w:rsid w:val="00401454"/>
    <w:rsid w:val="00401ED8"/>
    <w:rsid w:val="0048452D"/>
    <w:rsid w:val="004A4C7A"/>
    <w:rsid w:val="004B3964"/>
    <w:rsid w:val="004B5FBE"/>
    <w:rsid w:val="004C7DF4"/>
    <w:rsid w:val="004D186F"/>
    <w:rsid w:val="004D62C1"/>
    <w:rsid w:val="004E6DEC"/>
    <w:rsid w:val="005001D3"/>
    <w:rsid w:val="005323F3"/>
    <w:rsid w:val="00570D93"/>
    <w:rsid w:val="005857A8"/>
    <w:rsid w:val="005863F9"/>
    <w:rsid w:val="00590C46"/>
    <w:rsid w:val="005A61CE"/>
    <w:rsid w:val="005A6201"/>
    <w:rsid w:val="005A7DE5"/>
    <w:rsid w:val="005B1CF6"/>
    <w:rsid w:val="005C38BA"/>
    <w:rsid w:val="005E4A53"/>
    <w:rsid w:val="005F1B65"/>
    <w:rsid w:val="005F49AF"/>
    <w:rsid w:val="00604F94"/>
    <w:rsid w:val="00611CFE"/>
    <w:rsid w:val="00624B2B"/>
    <w:rsid w:val="006275FE"/>
    <w:rsid w:val="0064199A"/>
    <w:rsid w:val="00662C43"/>
    <w:rsid w:val="00667B90"/>
    <w:rsid w:val="00672896"/>
    <w:rsid w:val="006A027D"/>
    <w:rsid w:val="006B5AD4"/>
    <w:rsid w:val="006D7055"/>
    <w:rsid w:val="006E1936"/>
    <w:rsid w:val="006F7F2F"/>
    <w:rsid w:val="00721F2B"/>
    <w:rsid w:val="00724677"/>
    <w:rsid w:val="0073497B"/>
    <w:rsid w:val="00741109"/>
    <w:rsid w:val="00770173"/>
    <w:rsid w:val="00773748"/>
    <w:rsid w:val="007804BC"/>
    <w:rsid w:val="007922FA"/>
    <w:rsid w:val="007A2C7A"/>
    <w:rsid w:val="00804059"/>
    <w:rsid w:val="00812496"/>
    <w:rsid w:val="008470B7"/>
    <w:rsid w:val="00854F47"/>
    <w:rsid w:val="00873A27"/>
    <w:rsid w:val="008770B6"/>
    <w:rsid w:val="008821B0"/>
    <w:rsid w:val="0089045A"/>
    <w:rsid w:val="008A16C6"/>
    <w:rsid w:val="008B07DA"/>
    <w:rsid w:val="008B22DB"/>
    <w:rsid w:val="0090093E"/>
    <w:rsid w:val="009617A8"/>
    <w:rsid w:val="00961B59"/>
    <w:rsid w:val="0096789F"/>
    <w:rsid w:val="009760D1"/>
    <w:rsid w:val="00982290"/>
    <w:rsid w:val="00985D6B"/>
    <w:rsid w:val="00993E2D"/>
    <w:rsid w:val="00995809"/>
    <w:rsid w:val="009B4FBA"/>
    <w:rsid w:val="009C2082"/>
    <w:rsid w:val="009C4A12"/>
    <w:rsid w:val="009E39DF"/>
    <w:rsid w:val="00A02E23"/>
    <w:rsid w:val="00A10FE4"/>
    <w:rsid w:val="00A11D33"/>
    <w:rsid w:val="00A244B6"/>
    <w:rsid w:val="00A56AD8"/>
    <w:rsid w:val="00AB2B30"/>
    <w:rsid w:val="00AC422C"/>
    <w:rsid w:val="00AD6CCD"/>
    <w:rsid w:val="00AF2DF0"/>
    <w:rsid w:val="00B13214"/>
    <w:rsid w:val="00B712A4"/>
    <w:rsid w:val="00B743C4"/>
    <w:rsid w:val="00B85AB0"/>
    <w:rsid w:val="00B938D7"/>
    <w:rsid w:val="00B94E95"/>
    <w:rsid w:val="00B9771C"/>
    <w:rsid w:val="00BA448C"/>
    <w:rsid w:val="00BB7EF5"/>
    <w:rsid w:val="00C0127D"/>
    <w:rsid w:val="00C014B2"/>
    <w:rsid w:val="00C15B9D"/>
    <w:rsid w:val="00C608F0"/>
    <w:rsid w:val="00C6798E"/>
    <w:rsid w:val="00C85B62"/>
    <w:rsid w:val="00C85CE2"/>
    <w:rsid w:val="00C8686F"/>
    <w:rsid w:val="00C95618"/>
    <w:rsid w:val="00CA2C9A"/>
    <w:rsid w:val="00CC1F47"/>
    <w:rsid w:val="00CC4464"/>
    <w:rsid w:val="00CD5FE9"/>
    <w:rsid w:val="00CF5F2E"/>
    <w:rsid w:val="00D131D9"/>
    <w:rsid w:val="00D17808"/>
    <w:rsid w:val="00D34761"/>
    <w:rsid w:val="00D4047E"/>
    <w:rsid w:val="00D50104"/>
    <w:rsid w:val="00D65060"/>
    <w:rsid w:val="00D92E46"/>
    <w:rsid w:val="00DA5643"/>
    <w:rsid w:val="00DB5E63"/>
    <w:rsid w:val="00DB74F8"/>
    <w:rsid w:val="00DC0ED9"/>
    <w:rsid w:val="00DF3EEC"/>
    <w:rsid w:val="00DF4897"/>
    <w:rsid w:val="00E0695C"/>
    <w:rsid w:val="00E24AB8"/>
    <w:rsid w:val="00E24FAB"/>
    <w:rsid w:val="00E470BB"/>
    <w:rsid w:val="00E5295E"/>
    <w:rsid w:val="00E66AC7"/>
    <w:rsid w:val="00EA0AA0"/>
    <w:rsid w:val="00EA17D8"/>
    <w:rsid w:val="00EA1A0E"/>
    <w:rsid w:val="00EA579A"/>
    <w:rsid w:val="00EB7BDE"/>
    <w:rsid w:val="00ED75FD"/>
    <w:rsid w:val="00EF0D80"/>
    <w:rsid w:val="00EF1EC0"/>
    <w:rsid w:val="00F219BD"/>
    <w:rsid w:val="00F32622"/>
    <w:rsid w:val="00F63FA1"/>
    <w:rsid w:val="00F707DF"/>
    <w:rsid w:val="00F72E7D"/>
    <w:rsid w:val="00F861E6"/>
    <w:rsid w:val="00F94743"/>
    <w:rsid w:val="00FC7B77"/>
    <w:rsid w:val="00FD7659"/>
    <w:rsid w:val="00FF25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A7229E7"/>
  <w15:chartTrackingRefBased/>
  <w15:docId w15:val="{9196D44F-397B-4FB4-9ADB-3A5053075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95E"/>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E5295E"/>
    <w:pPr>
      <w:keepNext/>
      <w:keepLines/>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5295E"/>
    <w:pPr>
      <w:keepNext/>
      <w:keepLines/>
      <w:spacing w:line="240" w:lineRule="auto"/>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570D93"/>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A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A12"/>
    <w:rPr>
      <w:rFonts w:ascii="Segoe UI" w:hAnsi="Segoe UI" w:cs="Segoe UI"/>
      <w:sz w:val="18"/>
      <w:szCs w:val="18"/>
    </w:rPr>
  </w:style>
  <w:style w:type="paragraph" w:styleId="ListParagraph">
    <w:name w:val="List Paragraph"/>
    <w:basedOn w:val="Normal"/>
    <w:uiPriority w:val="34"/>
    <w:qFormat/>
    <w:rsid w:val="00AB2B30"/>
    <w:pPr>
      <w:spacing w:after="200" w:line="276" w:lineRule="auto"/>
      <w:ind w:left="720"/>
      <w:contextualSpacing/>
    </w:pPr>
  </w:style>
  <w:style w:type="paragraph" w:styleId="NoSpacing">
    <w:name w:val="No Spacing"/>
    <w:uiPriority w:val="1"/>
    <w:qFormat/>
    <w:rsid w:val="00AB2B30"/>
    <w:pPr>
      <w:spacing w:after="0" w:line="480" w:lineRule="auto"/>
    </w:pPr>
    <w:rPr>
      <w:rFonts w:ascii="Times New Roman" w:hAnsi="Times New Roman"/>
      <w:b/>
      <w:sz w:val="24"/>
    </w:rPr>
  </w:style>
  <w:style w:type="character" w:customStyle="1" w:styleId="Heading1Char">
    <w:name w:val="Heading 1 Char"/>
    <w:basedOn w:val="DefaultParagraphFont"/>
    <w:link w:val="Heading1"/>
    <w:uiPriority w:val="9"/>
    <w:rsid w:val="00E5295E"/>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AB2B30"/>
    <w:pPr>
      <w:outlineLvl w:val="9"/>
    </w:pPr>
    <w:rPr>
      <w:lang w:eastAsia="da-DK"/>
    </w:rPr>
  </w:style>
  <w:style w:type="paragraph" w:styleId="TOC1">
    <w:name w:val="toc 1"/>
    <w:basedOn w:val="Normal"/>
    <w:next w:val="Normal"/>
    <w:autoRedefine/>
    <w:uiPriority w:val="39"/>
    <w:unhideWhenUsed/>
    <w:rsid w:val="00AB2B30"/>
    <w:pPr>
      <w:spacing w:after="100"/>
    </w:pPr>
  </w:style>
  <w:style w:type="character" w:styleId="Hyperlink">
    <w:name w:val="Hyperlink"/>
    <w:basedOn w:val="DefaultParagraphFont"/>
    <w:uiPriority w:val="99"/>
    <w:unhideWhenUsed/>
    <w:rsid w:val="00AB2B30"/>
    <w:rPr>
      <w:color w:val="0563C1" w:themeColor="hyperlink"/>
      <w:u w:val="single"/>
    </w:rPr>
  </w:style>
  <w:style w:type="paragraph" w:styleId="Header">
    <w:name w:val="header"/>
    <w:basedOn w:val="Normal"/>
    <w:link w:val="HeaderChar"/>
    <w:uiPriority w:val="99"/>
    <w:unhideWhenUsed/>
    <w:rsid w:val="00B743C4"/>
    <w:pPr>
      <w:tabs>
        <w:tab w:val="center" w:pos="4819"/>
        <w:tab w:val="right" w:pos="9638"/>
      </w:tabs>
      <w:spacing w:line="240" w:lineRule="auto"/>
    </w:pPr>
  </w:style>
  <w:style w:type="character" w:customStyle="1" w:styleId="HeaderChar">
    <w:name w:val="Header Char"/>
    <w:basedOn w:val="DefaultParagraphFont"/>
    <w:link w:val="Header"/>
    <w:uiPriority w:val="99"/>
    <w:rsid w:val="00B743C4"/>
  </w:style>
  <w:style w:type="paragraph" w:styleId="Footer">
    <w:name w:val="footer"/>
    <w:basedOn w:val="Normal"/>
    <w:link w:val="FooterChar"/>
    <w:uiPriority w:val="99"/>
    <w:unhideWhenUsed/>
    <w:rsid w:val="00B743C4"/>
    <w:pPr>
      <w:tabs>
        <w:tab w:val="center" w:pos="4819"/>
        <w:tab w:val="right" w:pos="9638"/>
      </w:tabs>
      <w:spacing w:line="240" w:lineRule="auto"/>
    </w:pPr>
  </w:style>
  <w:style w:type="character" w:customStyle="1" w:styleId="FooterChar">
    <w:name w:val="Footer Char"/>
    <w:basedOn w:val="DefaultParagraphFont"/>
    <w:link w:val="Footer"/>
    <w:uiPriority w:val="99"/>
    <w:rsid w:val="00B743C4"/>
  </w:style>
  <w:style w:type="character" w:styleId="CommentReference">
    <w:name w:val="annotation reference"/>
    <w:basedOn w:val="DefaultParagraphFont"/>
    <w:uiPriority w:val="99"/>
    <w:semiHidden/>
    <w:unhideWhenUsed/>
    <w:rsid w:val="0028304A"/>
    <w:rPr>
      <w:sz w:val="16"/>
      <w:szCs w:val="16"/>
    </w:rPr>
  </w:style>
  <w:style w:type="paragraph" w:styleId="CommentText">
    <w:name w:val="annotation text"/>
    <w:basedOn w:val="Normal"/>
    <w:link w:val="CommentTextChar"/>
    <w:uiPriority w:val="99"/>
    <w:semiHidden/>
    <w:unhideWhenUsed/>
    <w:rsid w:val="0028304A"/>
    <w:pPr>
      <w:spacing w:line="240" w:lineRule="auto"/>
    </w:pPr>
    <w:rPr>
      <w:sz w:val="20"/>
      <w:szCs w:val="20"/>
    </w:rPr>
  </w:style>
  <w:style w:type="character" w:customStyle="1" w:styleId="CommentTextChar">
    <w:name w:val="Comment Text Char"/>
    <w:basedOn w:val="DefaultParagraphFont"/>
    <w:link w:val="CommentText"/>
    <w:uiPriority w:val="99"/>
    <w:semiHidden/>
    <w:rsid w:val="0028304A"/>
    <w:rPr>
      <w:sz w:val="20"/>
      <w:szCs w:val="20"/>
    </w:rPr>
  </w:style>
  <w:style w:type="paragraph" w:styleId="CommentSubject">
    <w:name w:val="annotation subject"/>
    <w:basedOn w:val="CommentText"/>
    <w:next w:val="CommentText"/>
    <w:link w:val="CommentSubjectChar"/>
    <w:uiPriority w:val="99"/>
    <w:semiHidden/>
    <w:unhideWhenUsed/>
    <w:rsid w:val="0028304A"/>
    <w:rPr>
      <w:b/>
      <w:bCs/>
    </w:rPr>
  </w:style>
  <w:style w:type="character" w:customStyle="1" w:styleId="CommentSubjectChar">
    <w:name w:val="Comment Subject Char"/>
    <w:basedOn w:val="CommentTextChar"/>
    <w:link w:val="CommentSubject"/>
    <w:uiPriority w:val="99"/>
    <w:semiHidden/>
    <w:rsid w:val="0028304A"/>
    <w:rPr>
      <w:b/>
      <w:bCs/>
      <w:sz w:val="20"/>
      <w:szCs w:val="20"/>
    </w:rPr>
  </w:style>
  <w:style w:type="paragraph" w:styleId="ListBullet">
    <w:name w:val="List Bullet"/>
    <w:basedOn w:val="Normal"/>
    <w:uiPriority w:val="99"/>
    <w:semiHidden/>
    <w:unhideWhenUsed/>
    <w:rsid w:val="00570D93"/>
    <w:pPr>
      <w:numPr>
        <w:numId w:val="1"/>
      </w:numPr>
      <w:contextualSpacing/>
    </w:pPr>
  </w:style>
  <w:style w:type="paragraph" w:styleId="ListNumber">
    <w:name w:val="List Number"/>
    <w:basedOn w:val="Normal"/>
    <w:uiPriority w:val="99"/>
    <w:semiHidden/>
    <w:unhideWhenUsed/>
    <w:rsid w:val="00570D93"/>
    <w:pPr>
      <w:numPr>
        <w:numId w:val="2"/>
      </w:numPr>
      <w:contextualSpacing/>
    </w:pPr>
  </w:style>
  <w:style w:type="character" w:customStyle="1" w:styleId="Heading2Char">
    <w:name w:val="Heading 2 Char"/>
    <w:basedOn w:val="DefaultParagraphFont"/>
    <w:link w:val="Heading2"/>
    <w:uiPriority w:val="9"/>
    <w:rsid w:val="00E5295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570D9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0B5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E4A53"/>
    <w:pPr>
      <w:spacing w:line="240" w:lineRule="auto"/>
    </w:pPr>
    <w:rPr>
      <w:sz w:val="20"/>
      <w:szCs w:val="20"/>
    </w:rPr>
  </w:style>
  <w:style w:type="character" w:customStyle="1" w:styleId="FootnoteTextChar">
    <w:name w:val="Footnote Text Char"/>
    <w:basedOn w:val="DefaultParagraphFont"/>
    <w:link w:val="FootnoteText"/>
    <w:uiPriority w:val="99"/>
    <w:semiHidden/>
    <w:rsid w:val="005E4A53"/>
    <w:rPr>
      <w:sz w:val="20"/>
      <w:szCs w:val="20"/>
    </w:rPr>
  </w:style>
  <w:style w:type="character" w:styleId="FootnoteReference">
    <w:name w:val="footnote reference"/>
    <w:basedOn w:val="DefaultParagraphFont"/>
    <w:uiPriority w:val="99"/>
    <w:semiHidden/>
    <w:unhideWhenUsed/>
    <w:rsid w:val="005E4A53"/>
    <w:rPr>
      <w:vertAlign w:val="superscript"/>
    </w:rPr>
  </w:style>
  <w:style w:type="table" w:customStyle="1" w:styleId="TableGrid1">
    <w:name w:val="Table Grid1"/>
    <w:basedOn w:val="TableNormal"/>
    <w:next w:val="TableGrid"/>
    <w:uiPriority w:val="39"/>
    <w:rsid w:val="002274D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5295E"/>
    <w:pPr>
      <w:spacing w:after="100"/>
      <w:ind w:left="240"/>
    </w:pPr>
  </w:style>
  <w:style w:type="character" w:styleId="LineNumber">
    <w:name w:val="line number"/>
    <w:basedOn w:val="DefaultParagraphFont"/>
    <w:uiPriority w:val="99"/>
    <w:semiHidden/>
    <w:unhideWhenUsed/>
    <w:rsid w:val="00770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63477">
      <w:bodyDiv w:val="1"/>
      <w:marLeft w:val="0"/>
      <w:marRight w:val="0"/>
      <w:marTop w:val="0"/>
      <w:marBottom w:val="0"/>
      <w:divBdr>
        <w:top w:val="none" w:sz="0" w:space="0" w:color="auto"/>
        <w:left w:val="none" w:sz="0" w:space="0" w:color="auto"/>
        <w:bottom w:val="none" w:sz="0" w:space="0" w:color="auto"/>
        <w:right w:val="none" w:sz="0" w:space="0" w:color="auto"/>
      </w:divBdr>
    </w:div>
    <w:div w:id="101607471">
      <w:bodyDiv w:val="1"/>
      <w:marLeft w:val="0"/>
      <w:marRight w:val="0"/>
      <w:marTop w:val="0"/>
      <w:marBottom w:val="0"/>
      <w:divBdr>
        <w:top w:val="none" w:sz="0" w:space="0" w:color="auto"/>
        <w:left w:val="none" w:sz="0" w:space="0" w:color="auto"/>
        <w:bottom w:val="none" w:sz="0" w:space="0" w:color="auto"/>
        <w:right w:val="none" w:sz="0" w:space="0" w:color="auto"/>
      </w:divBdr>
    </w:div>
    <w:div w:id="283461012">
      <w:bodyDiv w:val="1"/>
      <w:marLeft w:val="0"/>
      <w:marRight w:val="0"/>
      <w:marTop w:val="0"/>
      <w:marBottom w:val="0"/>
      <w:divBdr>
        <w:top w:val="none" w:sz="0" w:space="0" w:color="auto"/>
        <w:left w:val="none" w:sz="0" w:space="0" w:color="auto"/>
        <w:bottom w:val="none" w:sz="0" w:space="0" w:color="auto"/>
        <w:right w:val="none" w:sz="0" w:space="0" w:color="auto"/>
      </w:divBdr>
    </w:div>
    <w:div w:id="305010896">
      <w:bodyDiv w:val="1"/>
      <w:marLeft w:val="0"/>
      <w:marRight w:val="0"/>
      <w:marTop w:val="0"/>
      <w:marBottom w:val="0"/>
      <w:divBdr>
        <w:top w:val="none" w:sz="0" w:space="0" w:color="auto"/>
        <w:left w:val="none" w:sz="0" w:space="0" w:color="auto"/>
        <w:bottom w:val="none" w:sz="0" w:space="0" w:color="auto"/>
        <w:right w:val="none" w:sz="0" w:space="0" w:color="auto"/>
      </w:divBdr>
    </w:div>
    <w:div w:id="306206820">
      <w:bodyDiv w:val="1"/>
      <w:marLeft w:val="0"/>
      <w:marRight w:val="0"/>
      <w:marTop w:val="0"/>
      <w:marBottom w:val="0"/>
      <w:divBdr>
        <w:top w:val="none" w:sz="0" w:space="0" w:color="auto"/>
        <w:left w:val="none" w:sz="0" w:space="0" w:color="auto"/>
        <w:bottom w:val="none" w:sz="0" w:space="0" w:color="auto"/>
        <w:right w:val="none" w:sz="0" w:space="0" w:color="auto"/>
      </w:divBdr>
    </w:div>
    <w:div w:id="449277059">
      <w:bodyDiv w:val="1"/>
      <w:marLeft w:val="0"/>
      <w:marRight w:val="0"/>
      <w:marTop w:val="0"/>
      <w:marBottom w:val="0"/>
      <w:divBdr>
        <w:top w:val="none" w:sz="0" w:space="0" w:color="auto"/>
        <w:left w:val="none" w:sz="0" w:space="0" w:color="auto"/>
        <w:bottom w:val="none" w:sz="0" w:space="0" w:color="auto"/>
        <w:right w:val="none" w:sz="0" w:space="0" w:color="auto"/>
      </w:divBdr>
    </w:div>
    <w:div w:id="466581919">
      <w:bodyDiv w:val="1"/>
      <w:marLeft w:val="0"/>
      <w:marRight w:val="0"/>
      <w:marTop w:val="0"/>
      <w:marBottom w:val="0"/>
      <w:divBdr>
        <w:top w:val="none" w:sz="0" w:space="0" w:color="auto"/>
        <w:left w:val="none" w:sz="0" w:space="0" w:color="auto"/>
        <w:bottom w:val="none" w:sz="0" w:space="0" w:color="auto"/>
        <w:right w:val="none" w:sz="0" w:space="0" w:color="auto"/>
      </w:divBdr>
    </w:div>
    <w:div w:id="762187958">
      <w:bodyDiv w:val="1"/>
      <w:marLeft w:val="0"/>
      <w:marRight w:val="0"/>
      <w:marTop w:val="0"/>
      <w:marBottom w:val="0"/>
      <w:divBdr>
        <w:top w:val="none" w:sz="0" w:space="0" w:color="auto"/>
        <w:left w:val="none" w:sz="0" w:space="0" w:color="auto"/>
        <w:bottom w:val="none" w:sz="0" w:space="0" w:color="auto"/>
        <w:right w:val="none" w:sz="0" w:space="0" w:color="auto"/>
      </w:divBdr>
    </w:div>
    <w:div w:id="1055738632">
      <w:bodyDiv w:val="1"/>
      <w:marLeft w:val="0"/>
      <w:marRight w:val="0"/>
      <w:marTop w:val="0"/>
      <w:marBottom w:val="0"/>
      <w:divBdr>
        <w:top w:val="none" w:sz="0" w:space="0" w:color="auto"/>
        <w:left w:val="none" w:sz="0" w:space="0" w:color="auto"/>
        <w:bottom w:val="none" w:sz="0" w:space="0" w:color="auto"/>
        <w:right w:val="none" w:sz="0" w:space="0" w:color="auto"/>
      </w:divBdr>
    </w:div>
    <w:div w:id="1064915140">
      <w:bodyDiv w:val="1"/>
      <w:marLeft w:val="0"/>
      <w:marRight w:val="0"/>
      <w:marTop w:val="0"/>
      <w:marBottom w:val="0"/>
      <w:divBdr>
        <w:top w:val="none" w:sz="0" w:space="0" w:color="auto"/>
        <w:left w:val="none" w:sz="0" w:space="0" w:color="auto"/>
        <w:bottom w:val="none" w:sz="0" w:space="0" w:color="auto"/>
        <w:right w:val="none" w:sz="0" w:space="0" w:color="auto"/>
      </w:divBdr>
    </w:div>
    <w:div w:id="1376812250">
      <w:bodyDiv w:val="1"/>
      <w:marLeft w:val="0"/>
      <w:marRight w:val="0"/>
      <w:marTop w:val="0"/>
      <w:marBottom w:val="0"/>
      <w:divBdr>
        <w:top w:val="none" w:sz="0" w:space="0" w:color="auto"/>
        <w:left w:val="none" w:sz="0" w:space="0" w:color="auto"/>
        <w:bottom w:val="none" w:sz="0" w:space="0" w:color="auto"/>
        <w:right w:val="none" w:sz="0" w:space="0" w:color="auto"/>
      </w:divBdr>
    </w:div>
    <w:div w:id="1399522957">
      <w:bodyDiv w:val="1"/>
      <w:marLeft w:val="0"/>
      <w:marRight w:val="0"/>
      <w:marTop w:val="0"/>
      <w:marBottom w:val="0"/>
      <w:divBdr>
        <w:top w:val="none" w:sz="0" w:space="0" w:color="auto"/>
        <w:left w:val="none" w:sz="0" w:space="0" w:color="auto"/>
        <w:bottom w:val="none" w:sz="0" w:space="0" w:color="auto"/>
        <w:right w:val="none" w:sz="0" w:space="0" w:color="auto"/>
      </w:divBdr>
    </w:div>
    <w:div w:id="1492062886">
      <w:bodyDiv w:val="1"/>
      <w:marLeft w:val="0"/>
      <w:marRight w:val="0"/>
      <w:marTop w:val="0"/>
      <w:marBottom w:val="0"/>
      <w:divBdr>
        <w:top w:val="none" w:sz="0" w:space="0" w:color="auto"/>
        <w:left w:val="none" w:sz="0" w:space="0" w:color="auto"/>
        <w:bottom w:val="none" w:sz="0" w:space="0" w:color="auto"/>
        <w:right w:val="none" w:sz="0" w:space="0" w:color="auto"/>
      </w:divBdr>
    </w:div>
    <w:div w:id="1671374107">
      <w:bodyDiv w:val="1"/>
      <w:marLeft w:val="0"/>
      <w:marRight w:val="0"/>
      <w:marTop w:val="0"/>
      <w:marBottom w:val="0"/>
      <w:divBdr>
        <w:top w:val="none" w:sz="0" w:space="0" w:color="auto"/>
        <w:left w:val="none" w:sz="0" w:space="0" w:color="auto"/>
        <w:bottom w:val="none" w:sz="0" w:space="0" w:color="auto"/>
        <w:right w:val="none" w:sz="0" w:space="0" w:color="auto"/>
      </w:divBdr>
    </w:div>
    <w:div w:id="1785534557">
      <w:bodyDiv w:val="1"/>
      <w:marLeft w:val="0"/>
      <w:marRight w:val="0"/>
      <w:marTop w:val="0"/>
      <w:marBottom w:val="0"/>
      <w:divBdr>
        <w:top w:val="none" w:sz="0" w:space="0" w:color="auto"/>
        <w:left w:val="none" w:sz="0" w:space="0" w:color="auto"/>
        <w:bottom w:val="none" w:sz="0" w:space="0" w:color="auto"/>
        <w:right w:val="none" w:sz="0" w:space="0" w:color="auto"/>
      </w:divBdr>
    </w:div>
    <w:div w:id="1928535013">
      <w:bodyDiv w:val="1"/>
      <w:marLeft w:val="0"/>
      <w:marRight w:val="0"/>
      <w:marTop w:val="0"/>
      <w:marBottom w:val="0"/>
      <w:divBdr>
        <w:top w:val="none" w:sz="0" w:space="0" w:color="auto"/>
        <w:left w:val="none" w:sz="0" w:space="0" w:color="auto"/>
        <w:bottom w:val="none" w:sz="0" w:space="0" w:color="auto"/>
        <w:right w:val="none" w:sz="0" w:space="0" w:color="auto"/>
      </w:divBdr>
    </w:div>
    <w:div w:id="2018383511">
      <w:bodyDiv w:val="1"/>
      <w:marLeft w:val="0"/>
      <w:marRight w:val="0"/>
      <w:marTop w:val="0"/>
      <w:marBottom w:val="0"/>
      <w:divBdr>
        <w:top w:val="none" w:sz="0" w:space="0" w:color="auto"/>
        <w:left w:val="none" w:sz="0" w:space="0" w:color="auto"/>
        <w:bottom w:val="none" w:sz="0" w:space="0" w:color="auto"/>
        <w:right w:val="none" w:sz="0" w:space="0" w:color="auto"/>
      </w:divBdr>
    </w:div>
    <w:div w:id="20758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C9BF3-30C0-44F6-9F5C-78A948410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24</Pages>
  <Words>13495</Words>
  <Characters>76922</Characters>
  <Application>Microsoft Office Word</Application>
  <DocSecurity>0</DocSecurity>
  <Lines>641</Lines>
  <Paragraphs>180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Westerlin Kjeldsen</dc:creator>
  <cp:keywords/>
  <dc:description/>
  <cp:lastModifiedBy>Emilie Westerlin Kjeldsen</cp:lastModifiedBy>
  <cp:revision>8</cp:revision>
  <cp:lastPrinted>2021-03-09T15:37:00Z</cp:lastPrinted>
  <dcterms:created xsi:type="dcterms:W3CDTF">2022-09-30T03:54:00Z</dcterms:created>
  <dcterms:modified xsi:type="dcterms:W3CDTF">2022-09-30T06:30:00Z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https://csl.mendeley.com/styles/478898971/harvard-cite-them-right-no-et-al-5</vt:lpwstr>
  </property>
  <property fmtid="{D5CDD505-2E9C-101B-9397-08002B2CF9AE}" pid="5" name="Mendeley Recent Style Name 1_1">
    <vt:lpwstr>Cite Them Right 11th edition - Harvard (no "et al.") - Emilie Kjeldsen</vt:lpwstr>
  </property>
  <property fmtid="{D5CDD505-2E9C-101B-9397-08002B2CF9AE}" pid="6" name="Mendeley Recent Style Id 2_1">
    <vt:lpwstr>http://csl.mendeley.com/styles/478898971/harvard-cite-them-right-no-et-al-5</vt:lpwstr>
  </property>
  <property fmtid="{D5CDD505-2E9C-101B-9397-08002B2CF9AE}" pid="7" name="Mendeley Recent Style Name 2_1">
    <vt:lpwstr>Cite Them Right 11th edition - Harvard (no "et al.") - Emilie Kjeldsen</vt:lpwstr>
  </property>
  <property fmtid="{D5CDD505-2E9C-101B-9397-08002B2CF9AE}" pid="8" name="Mendeley Recent Style Id 3_1">
    <vt:lpwstr>https://csl.mendeley.com/styles/478898971/elsevier-with-titles-em</vt:lpwstr>
  </property>
  <property fmtid="{D5CDD505-2E9C-101B-9397-08002B2CF9AE}" pid="9" name="Mendeley Recent Style Name 3_1">
    <vt:lpwstr>Elsevier (numeric, with titles) - Emilie Kjeldsen</vt:lpwstr>
  </property>
  <property fmtid="{D5CDD505-2E9C-101B-9397-08002B2CF9AE}" pid="10" name="Mendeley Recent Style Id 4_1">
    <vt:lpwstr>http://www.zotero.org/styles/european-heart-journal</vt:lpwstr>
  </property>
  <property fmtid="{D5CDD505-2E9C-101B-9397-08002B2CF9AE}" pid="11" name="Mendeley Recent Style Name 4_1">
    <vt:lpwstr>European Heart Journal</vt:lpwstr>
  </property>
  <property fmtid="{D5CDD505-2E9C-101B-9397-08002B2CF9AE}" pid="12" name="Mendeley Recent Style Id 5_1">
    <vt:lpwstr>http://csl.mendeley.com/styles/478898971/PreventiveCardiology</vt:lpwstr>
  </property>
  <property fmtid="{D5CDD505-2E9C-101B-9397-08002B2CF9AE}" pid="13" name="Mendeley Recent Style Name 5_1">
    <vt:lpwstr>European Society of Cardiology - Emilie Kjeldsen</vt:lpwstr>
  </property>
  <property fmtid="{D5CDD505-2E9C-101B-9397-08002B2CF9AE}" pid="14" name="Mendeley Recent Style Id 6_1">
    <vt:lpwstr>http://www.zotero.org/styles/oxford-university-press-scimed-numeric</vt:lpwstr>
  </property>
  <property fmtid="{D5CDD505-2E9C-101B-9397-08002B2CF9AE}" pid="15" name="Mendeley Recent Style Name 6_1">
    <vt:lpwstr>Oxford University Press SciMed (numeric)</vt:lpwstr>
  </property>
  <property fmtid="{D5CDD505-2E9C-101B-9397-08002B2CF9AE}" pid="16" name="Mendeley Recent Style Id 7_1">
    <vt:lpwstr>http://www.zotero.org/styles/the-american-journal-of-clinical-nutrition</vt:lpwstr>
  </property>
  <property fmtid="{D5CDD505-2E9C-101B-9397-08002B2CF9AE}" pid="17" name="Mendeley Recent Style Name 7_1">
    <vt:lpwstr>The American Journal of Clinical Nutrition</vt:lpwstr>
  </property>
  <property fmtid="{D5CDD505-2E9C-101B-9397-08002B2CF9AE}" pid="18" name="Mendeley Recent Style Id 8_1">
    <vt:lpwstr>http://www.zotero.org/styles/the-lancet</vt:lpwstr>
  </property>
  <property fmtid="{D5CDD505-2E9C-101B-9397-08002B2CF9AE}" pid="19" name="Mendeley Recent Style Name 8_1">
    <vt:lpwstr>The Lancet</vt:lpwstr>
  </property>
  <property fmtid="{D5CDD505-2E9C-101B-9397-08002B2CF9AE}" pid="20" name="Mendeley Recent Style Id 9_1">
    <vt:lpwstr>http://csl.mendeley.com/styles/478898971/the-lancet-ph</vt:lpwstr>
  </property>
  <property fmtid="{D5CDD505-2E9C-101B-9397-08002B2CF9AE}" pid="21" name="Mendeley Recent Style Name 9_1">
    <vt:lpwstr>The Lancet - Emilie Kjeldsen</vt:lpwstr>
  </property>
  <property fmtid="{D5CDD505-2E9C-101B-9397-08002B2CF9AE}" pid="22" name="Mendeley Document_1">
    <vt:lpwstr>True</vt:lpwstr>
  </property>
  <property fmtid="{D5CDD505-2E9C-101B-9397-08002B2CF9AE}" pid="23" name="Mendeley Unique User Id_1">
    <vt:lpwstr>f75c047b-4426-3062-8fd4-8665630614c0</vt:lpwstr>
  </property>
  <property fmtid="{D5CDD505-2E9C-101B-9397-08002B2CF9AE}" pid="24" name="Mendeley Citation Style_1">
    <vt:lpwstr>https://csl.mendeley.com/styles/478898971/harvard-cite-them-right-no-et-al-5</vt:lpwstr>
  </property>
</Properties>
</file>