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9E139" w14:textId="229886AE" w:rsidR="00CB7E30" w:rsidRPr="007876CC" w:rsidRDefault="000C1E94" w:rsidP="722930FC">
      <w:pPr>
        <w:rPr>
          <w:sz w:val="20"/>
          <w:szCs w:val="20"/>
        </w:rPr>
      </w:pPr>
      <w:bookmarkStart w:id="0" w:name="_GoBack"/>
      <w:r w:rsidRPr="007876CC">
        <w:rPr>
          <w:b/>
          <w:sz w:val="20"/>
          <w:szCs w:val="20"/>
        </w:rPr>
        <w:t xml:space="preserve">Supplementary Table </w:t>
      </w:r>
      <w:r w:rsidR="48418EF2" w:rsidRPr="007876CC">
        <w:rPr>
          <w:b/>
          <w:sz w:val="20"/>
          <w:szCs w:val="20"/>
        </w:rPr>
        <w:t>S1</w:t>
      </w:r>
      <w:r w:rsidR="48418EF2" w:rsidRPr="007876CC">
        <w:rPr>
          <w:sz w:val="20"/>
          <w:szCs w:val="20"/>
        </w:rPr>
        <w:t xml:space="preserve"> </w:t>
      </w:r>
      <w:r w:rsidR="008202BC" w:rsidRPr="007876CC">
        <w:rPr>
          <w:sz w:val="20"/>
          <w:szCs w:val="20"/>
        </w:rPr>
        <w:t xml:space="preserve">Full list of </w:t>
      </w:r>
      <w:r w:rsidR="00597310">
        <w:rPr>
          <w:sz w:val="20"/>
          <w:szCs w:val="20"/>
        </w:rPr>
        <w:t xml:space="preserve">datasets, </w:t>
      </w:r>
      <w:r w:rsidR="008202BC" w:rsidRPr="007876CC">
        <w:rPr>
          <w:sz w:val="20"/>
          <w:szCs w:val="20"/>
        </w:rPr>
        <w:t>variables and cod</w:t>
      </w:r>
      <w:r w:rsidR="00210633" w:rsidRPr="007876CC">
        <w:rPr>
          <w:sz w:val="20"/>
          <w:szCs w:val="20"/>
        </w:rPr>
        <w:t>ing used to determine the period prevalence of</w:t>
      </w:r>
      <w:r w:rsidR="008202BC" w:rsidRPr="007876CC">
        <w:rPr>
          <w:sz w:val="20"/>
          <w:szCs w:val="20"/>
        </w:rPr>
        <w:t xml:space="preserve"> mental </w:t>
      </w:r>
      <w:r w:rsidR="00210633" w:rsidRPr="007876CC">
        <w:rPr>
          <w:sz w:val="20"/>
          <w:szCs w:val="20"/>
        </w:rPr>
        <w:t>ill-</w:t>
      </w:r>
      <w:r w:rsidR="008202BC" w:rsidRPr="007876CC">
        <w:rPr>
          <w:sz w:val="20"/>
          <w:szCs w:val="20"/>
        </w:rPr>
        <w:t>health of children</w:t>
      </w:r>
      <w:r w:rsidR="00210633" w:rsidRPr="007876CC">
        <w:rPr>
          <w:sz w:val="20"/>
          <w:szCs w:val="20"/>
        </w:rPr>
        <w:t xml:space="preserve"> aged 17 years or less</w:t>
      </w:r>
      <w:r w:rsidR="008202BC" w:rsidRPr="007876CC">
        <w:rPr>
          <w:sz w:val="20"/>
          <w:szCs w:val="20"/>
        </w:rPr>
        <w:t xml:space="preserve"> in Northern Ireland </w:t>
      </w:r>
      <w:r w:rsidR="00210633" w:rsidRPr="007876CC">
        <w:rPr>
          <w:sz w:val="20"/>
          <w:szCs w:val="20"/>
        </w:rPr>
        <w:t xml:space="preserve">in 2015 </w:t>
      </w:r>
      <w:r w:rsidR="008202BC" w:rsidRPr="007876CC">
        <w:rPr>
          <w:sz w:val="20"/>
          <w:szCs w:val="20"/>
        </w:rPr>
        <w:t xml:space="preserve">based on level of </w:t>
      </w:r>
      <w:r w:rsidR="2937E5C9" w:rsidRPr="007876CC">
        <w:rPr>
          <w:sz w:val="20"/>
          <w:szCs w:val="20"/>
        </w:rPr>
        <w:t xml:space="preserve">contact </w:t>
      </w:r>
      <w:r w:rsidR="008202BC" w:rsidRPr="007876CC">
        <w:rPr>
          <w:sz w:val="20"/>
          <w:szCs w:val="20"/>
        </w:rPr>
        <w:t xml:space="preserve">with social services   </w:t>
      </w:r>
    </w:p>
    <w:p w14:paraId="672A6659" w14:textId="77777777" w:rsidR="008202BC" w:rsidRDefault="008202BC"/>
    <w:tbl>
      <w:tblPr>
        <w:tblStyle w:val="TableGrid4"/>
        <w:tblW w:w="0" w:type="auto"/>
        <w:tblLook w:val="04A0" w:firstRow="1" w:lastRow="0" w:firstColumn="1" w:lastColumn="0" w:noHBand="0" w:noVBand="1"/>
      </w:tblPr>
      <w:tblGrid>
        <w:gridCol w:w="1985"/>
        <w:gridCol w:w="10348"/>
        <w:gridCol w:w="1417"/>
      </w:tblGrid>
      <w:tr w:rsidR="008202BC" w:rsidRPr="00966C84" w14:paraId="5A901E06" w14:textId="77777777" w:rsidTr="0017533E">
        <w:trPr>
          <w:trHeight w:val="340"/>
        </w:trPr>
        <w:tc>
          <w:tcPr>
            <w:tcW w:w="1985" w:type="dxa"/>
            <w:tcBorders>
              <w:left w:val="nil"/>
              <w:right w:val="nil"/>
            </w:tcBorders>
            <w:shd w:val="clear" w:color="auto" w:fill="DEEAF6" w:themeFill="accent1" w:themeFillTint="33"/>
          </w:tcPr>
          <w:p w14:paraId="642019BE" w14:textId="77777777" w:rsidR="008202BC" w:rsidRPr="00966C84" w:rsidRDefault="008202BC" w:rsidP="00297F59">
            <w:pPr>
              <w:spacing w:after="-1" w:afterAutospacing="1"/>
              <w:jc w:val="both"/>
              <w:rPr>
                <w:rFonts w:eastAsia="SimSun"/>
                <w:b/>
                <w:szCs w:val="21"/>
                <w:lang w:eastAsia="ja-JP"/>
              </w:rPr>
            </w:pPr>
            <w:r w:rsidRPr="00966C84">
              <w:rPr>
                <w:rFonts w:eastAsia="SimSun"/>
                <w:b/>
                <w:szCs w:val="21"/>
                <w:lang w:eastAsia="ja-JP"/>
              </w:rPr>
              <w:t>Variable</w:t>
            </w:r>
          </w:p>
        </w:tc>
        <w:tc>
          <w:tcPr>
            <w:tcW w:w="10348" w:type="dxa"/>
            <w:tcBorders>
              <w:left w:val="nil"/>
              <w:right w:val="nil"/>
            </w:tcBorders>
            <w:shd w:val="clear" w:color="auto" w:fill="DEEAF6" w:themeFill="accent1" w:themeFillTint="33"/>
          </w:tcPr>
          <w:p w14:paraId="31FF54C8" w14:textId="77777777" w:rsidR="008202BC" w:rsidRPr="00966C84" w:rsidRDefault="008202BC" w:rsidP="00297F59">
            <w:pPr>
              <w:spacing w:after="-1" w:afterAutospacing="1"/>
              <w:rPr>
                <w:rFonts w:eastAsia="SimSun"/>
                <w:b/>
                <w:szCs w:val="21"/>
                <w:lang w:eastAsia="ja-JP"/>
              </w:rPr>
            </w:pPr>
            <w:r w:rsidRPr="00966C84">
              <w:rPr>
                <w:rFonts w:eastAsia="SimSun"/>
                <w:b/>
                <w:szCs w:val="21"/>
                <w:lang w:eastAsia="ja-JP"/>
              </w:rPr>
              <w:t>Description</w:t>
            </w:r>
          </w:p>
        </w:tc>
        <w:tc>
          <w:tcPr>
            <w:tcW w:w="1417" w:type="dxa"/>
            <w:tcBorders>
              <w:left w:val="nil"/>
              <w:right w:val="nil"/>
            </w:tcBorders>
            <w:shd w:val="clear" w:color="auto" w:fill="DEEAF6" w:themeFill="accent1" w:themeFillTint="33"/>
          </w:tcPr>
          <w:p w14:paraId="58307C1A" w14:textId="77777777" w:rsidR="008202BC" w:rsidRPr="00966C84" w:rsidRDefault="008202BC" w:rsidP="00297F59">
            <w:pPr>
              <w:spacing w:after="-1" w:afterAutospacing="1"/>
              <w:jc w:val="both"/>
              <w:rPr>
                <w:rFonts w:eastAsia="SimSun"/>
                <w:b/>
                <w:szCs w:val="21"/>
                <w:lang w:eastAsia="ja-JP"/>
              </w:rPr>
            </w:pPr>
            <w:r w:rsidRPr="00966C84">
              <w:rPr>
                <w:rFonts w:eastAsia="SimSun"/>
                <w:b/>
                <w:szCs w:val="21"/>
                <w:lang w:eastAsia="ja-JP"/>
              </w:rPr>
              <w:t>Dataset</w:t>
            </w:r>
          </w:p>
        </w:tc>
      </w:tr>
      <w:tr w:rsidR="008202BC" w:rsidRPr="00966C84" w14:paraId="3457D332" w14:textId="77777777" w:rsidTr="00B9578C">
        <w:tc>
          <w:tcPr>
            <w:tcW w:w="1985" w:type="dxa"/>
            <w:tcBorders>
              <w:left w:val="nil"/>
              <w:right w:val="nil"/>
            </w:tcBorders>
          </w:tcPr>
          <w:p w14:paraId="2703819E" w14:textId="77777777" w:rsidR="008202BC" w:rsidRPr="00966C84" w:rsidRDefault="008202BC" w:rsidP="00297F59">
            <w:pPr>
              <w:spacing w:after="-1" w:afterAutospacing="1"/>
              <w:jc w:val="both"/>
              <w:rPr>
                <w:rFonts w:eastAsia="SimSun"/>
                <w:b/>
                <w:i/>
                <w:sz w:val="20"/>
                <w:szCs w:val="20"/>
                <w:lang w:eastAsia="ja-JP"/>
              </w:rPr>
            </w:pPr>
            <w:r w:rsidRPr="00966C84">
              <w:rPr>
                <w:rFonts w:eastAsia="SimSun"/>
                <w:b/>
                <w:i/>
                <w:sz w:val="20"/>
                <w:szCs w:val="20"/>
                <w:lang w:eastAsia="ja-JP"/>
              </w:rPr>
              <w:t>Individual characteristics</w:t>
            </w:r>
          </w:p>
        </w:tc>
        <w:tc>
          <w:tcPr>
            <w:tcW w:w="10348" w:type="dxa"/>
            <w:tcBorders>
              <w:left w:val="nil"/>
              <w:right w:val="nil"/>
            </w:tcBorders>
          </w:tcPr>
          <w:p w14:paraId="0A37501D" w14:textId="77777777" w:rsidR="008202BC" w:rsidRPr="00966C84" w:rsidRDefault="008202BC" w:rsidP="00297F59">
            <w:pPr>
              <w:spacing w:after="-1" w:afterAutospacing="1"/>
              <w:rPr>
                <w:rFonts w:eastAsia="SimSun"/>
                <w:sz w:val="20"/>
                <w:szCs w:val="20"/>
                <w:lang w:eastAsia="ja-JP"/>
              </w:rPr>
            </w:pPr>
          </w:p>
        </w:tc>
        <w:tc>
          <w:tcPr>
            <w:tcW w:w="1417" w:type="dxa"/>
            <w:tcBorders>
              <w:left w:val="nil"/>
              <w:right w:val="nil"/>
            </w:tcBorders>
          </w:tcPr>
          <w:p w14:paraId="5DAB6C7B" w14:textId="77777777" w:rsidR="008202BC" w:rsidRPr="00966C84" w:rsidRDefault="008202BC" w:rsidP="00297F59">
            <w:pPr>
              <w:spacing w:after="-1" w:afterAutospacing="1"/>
              <w:jc w:val="both"/>
              <w:rPr>
                <w:rFonts w:eastAsia="SimSun"/>
                <w:sz w:val="20"/>
                <w:szCs w:val="20"/>
                <w:lang w:eastAsia="ja-JP"/>
              </w:rPr>
            </w:pPr>
          </w:p>
        </w:tc>
      </w:tr>
      <w:tr w:rsidR="008202BC" w:rsidRPr="00966C84" w14:paraId="1C2D41CA" w14:textId="77777777" w:rsidTr="00B9578C">
        <w:tc>
          <w:tcPr>
            <w:tcW w:w="1985" w:type="dxa"/>
            <w:tcBorders>
              <w:left w:val="nil"/>
              <w:right w:val="nil"/>
            </w:tcBorders>
          </w:tcPr>
          <w:p w14:paraId="11F9B114" w14:textId="77777777" w:rsidR="008202BC" w:rsidRPr="00966C84" w:rsidRDefault="008202BC" w:rsidP="00297F59">
            <w:pPr>
              <w:spacing w:after="100" w:afterAutospacing="1"/>
              <w:rPr>
                <w:rFonts w:eastAsia="SimSun"/>
                <w:sz w:val="20"/>
                <w:szCs w:val="20"/>
                <w:lang w:eastAsia="ja-JP"/>
              </w:rPr>
            </w:pPr>
            <w:r w:rsidRPr="00966C84">
              <w:rPr>
                <w:rFonts w:eastAsia="SimSun"/>
                <w:sz w:val="20"/>
                <w:szCs w:val="20"/>
                <w:lang w:eastAsia="ja-JP"/>
              </w:rPr>
              <w:t>Child sex</w:t>
            </w:r>
          </w:p>
        </w:tc>
        <w:tc>
          <w:tcPr>
            <w:tcW w:w="10348" w:type="dxa"/>
            <w:tcBorders>
              <w:left w:val="nil"/>
              <w:right w:val="nil"/>
            </w:tcBorders>
          </w:tcPr>
          <w:p w14:paraId="239A50A5" w14:textId="77777777" w:rsidR="008202BC" w:rsidRPr="00966C84" w:rsidRDefault="008202BC" w:rsidP="00297F59">
            <w:pPr>
              <w:spacing w:after="-1" w:afterAutospacing="1"/>
              <w:rPr>
                <w:rFonts w:eastAsia="SimSun"/>
                <w:sz w:val="20"/>
                <w:szCs w:val="20"/>
                <w:lang w:eastAsia="ja-JP"/>
              </w:rPr>
            </w:pPr>
            <w:r w:rsidRPr="00966C84">
              <w:rPr>
                <w:rFonts w:eastAsia="SimSun"/>
                <w:sz w:val="20"/>
                <w:szCs w:val="20"/>
                <w:lang w:eastAsia="ja-JP"/>
              </w:rPr>
              <w:t>Male / female</w:t>
            </w:r>
          </w:p>
        </w:tc>
        <w:tc>
          <w:tcPr>
            <w:tcW w:w="1417" w:type="dxa"/>
            <w:tcBorders>
              <w:left w:val="nil"/>
              <w:right w:val="nil"/>
            </w:tcBorders>
          </w:tcPr>
          <w:p w14:paraId="6D474158" w14:textId="77777777" w:rsidR="008202BC" w:rsidRPr="00966C84" w:rsidRDefault="008202BC" w:rsidP="00297F59">
            <w:pPr>
              <w:spacing w:after="-1" w:afterAutospacing="1"/>
              <w:jc w:val="both"/>
              <w:rPr>
                <w:rFonts w:eastAsia="SimSun"/>
                <w:sz w:val="20"/>
                <w:szCs w:val="20"/>
                <w:lang w:eastAsia="ja-JP"/>
              </w:rPr>
            </w:pPr>
            <w:r w:rsidRPr="00966C84">
              <w:rPr>
                <w:rFonts w:eastAsia="SimSun"/>
                <w:sz w:val="20"/>
                <w:szCs w:val="20"/>
                <w:lang w:eastAsia="ja-JP"/>
              </w:rPr>
              <w:t>NHAIS</w:t>
            </w:r>
          </w:p>
        </w:tc>
      </w:tr>
      <w:tr w:rsidR="008202BC" w:rsidRPr="00966C84" w14:paraId="414FA1BB" w14:textId="77777777" w:rsidTr="00B9578C">
        <w:tc>
          <w:tcPr>
            <w:tcW w:w="1985" w:type="dxa"/>
            <w:tcBorders>
              <w:left w:val="nil"/>
              <w:right w:val="nil"/>
            </w:tcBorders>
          </w:tcPr>
          <w:p w14:paraId="01775537" w14:textId="77777777" w:rsidR="008202BC" w:rsidRPr="00966C84" w:rsidRDefault="008202BC" w:rsidP="00297F59">
            <w:pPr>
              <w:spacing w:after="100" w:afterAutospacing="1"/>
              <w:rPr>
                <w:rFonts w:eastAsia="SimSun"/>
                <w:sz w:val="20"/>
                <w:szCs w:val="20"/>
                <w:lang w:eastAsia="ja-JP"/>
              </w:rPr>
            </w:pPr>
            <w:r w:rsidRPr="00966C84">
              <w:rPr>
                <w:rFonts w:eastAsia="SimSun"/>
                <w:sz w:val="20"/>
                <w:szCs w:val="20"/>
                <w:lang w:eastAsia="ja-JP"/>
              </w:rPr>
              <w:t>Child age</w:t>
            </w:r>
          </w:p>
        </w:tc>
        <w:tc>
          <w:tcPr>
            <w:tcW w:w="10348" w:type="dxa"/>
            <w:tcBorders>
              <w:left w:val="nil"/>
              <w:right w:val="nil"/>
            </w:tcBorders>
          </w:tcPr>
          <w:p w14:paraId="4354E534" w14:textId="1AF38EE5" w:rsidR="008202BC" w:rsidRPr="00966C84" w:rsidRDefault="008202BC" w:rsidP="00297F59">
            <w:pPr>
              <w:spacing w:after="-1" w:afterAutospacing="1"/>
              <w:rPr>
                <w:rFonts w:eastAsia="SimSun"/>
                <w:sz w:val="20"/>
                <w:szCs w:val="20"/>
                <w:lang w:eastAsia="ja-JP"/>
              </w:rPr>
            </w:pPr>
            <w:r w:rsidRPr="00966C84">
              <w:rPr>
                <w:rFonts w:eastAsia="SimSun"/>
                <w:sz w:val="20"/>
                <w:szCs w:val="20"/>
                <w:lang w:eastAsia="ja-JP"/>
              </w:rPr>
              <w:t>Generated from date of birth and assigned at 1</w:t>
            </w:r>
            <w:r w:rsidRPr="00966C84">
              <w:rPr>
                <w:rFonts w:eastAsia="SimSun"/>
                <w:sz w:val="20"/>
                <w:szCs w:val="20"/>
                <w:vertAlign w:val="superscript"/>
                <w:lang w:eastAsia="ja-JP"/>
              </w:rPr>
              <w:t>st</w:t>
            </w:r>
            <w:r w:rsidRPr="00966C84">
              <w:rPr>
                <w:rFonts w:eastAsia="SimSun"/>
                <w:sz w:val="20"/>
                <w:szCs w:val="20"/>
                <w:lang w:eastAsia="ja-JP"/>
              </w:rPr>
              <w:t xml:space="preserve"> January 2015</w:t>
            </w:r>
            <w:r w:rsidR="00347352">
              <w:rPr>
                <w:rFonts w:eastAsia="SimSun"/>
                <w:sz w:val="20"/>
                <w:szCs w:val="20"/>
                <w:lang w:eastAsia="ja-JP"/>
              </w:rPr>
              <w:t>.</w:t>
            </w:r>
            <w:r w:rsidR="00D135B7" w:rsidRPr="00D135B7">
              <w:rPr>
                <w:rFonts w:eastAsia="SimSun"/>
                <w:szCs w:val="21"/>
                <w:lang w:eastAsia="ja-JP"/>
              </w:rPr>
              <w:t xml:space="preserve"> </w:t>
            </w:r>
            <w:r w:rsidR="00D135B7">
              <w:rPr>
                <w:rFonts w:eastAsia="SimSun"/>
                <w:sz w:val="20"/>
                <w:szCs w:val="20"/>
                <w:lang w:eastAsia="ja-JP"/>
              </w:rPr>
              <w:t>C</w:t>
            </w:r>
            <w:r w:rsidR="00D135B7" w:rsidRPr="00D135B7">
              <w:rPr>
                <w:rFonts w:eastAsia="SimSun"/>
                <w:sz w:val="20"/>
                <w:szCs w:val="20"/>
                <w:lang w:eastAsia="ja-JP"/>
              </w:rPr>
              <w:t>ategorised into ages 0-10 years and 11-17 years for descriptive purposes, to distinguish between children (pre-and-during primary school) and post-primary school aged children in the cohort</w:t>
            </w:r>
            <w:r w:rsidR="00D135B7">
              <w:rPr>
                <w:rFonts w:eastAsia="SimSun"/>
                <w:sz w:val="20"/>
                <w:szCs w:val="20"/>
                <w:lang w:eastAsia="ja-JP"/>
              </w:rPr>
              <w:t>. U</w:t>
            </w:r>
            <w:r w:rsidR="00D135B7" w:rsidRPr="00D135B7">
              <w:rPr>
                <w:rFonts w:eastAsia="SimSun"/>
                <w:sz w:val="20"/>
                <w:szCs w:val="20"/>
                <w:lang w:eastAsia="ja-JP"/>
              </w:rPr>
              <w:t>tilised as a continuous variable in regression analyses due to the relative rarity of the mental health indicators in very young children.</w:t>
            </w:r>
          </w:p>
        </w:tc>
        <w:tc>
          <w:tcPr>
            <w:tcW w:w="1417" w:type="dxa"/>
            <w:tcBorders>
              <w:left w:val="nil"/>
              <w:right w:val="nil"/>
            </w:tcBorders>
          </w:tcPr>
          <w:p w14:paraId="36C5A306" w14:textId="77777777" w:rsidR="008202BC" w:rsidRPr="00966C84" w:rsidRDefault="008202BC" w:rsidP="00297F59">
            <w:pPr>
              <w:spacing w:after="-1" w:afterAutospacing="1"/>
              <w:jc w:val="both"/>
              <w:rPr>
                <w:rFonts w:eastAsia="SimSun"/>
                <w:sz w:val="20"/>
                <w:szCs w:val="20"/>
                <w:lang w:eastAsia="ja-JP"/>
              </w:rPr>
            </w:pPr>
            <w:r w:rsidRPr="00966C84">
              <w:rPr>
                <w:rFonts w:eastAsia="SimSun"/>
                <w:sz w:val="20"/>
                <w:szCs w:val="20"/>
                <w:lang w:eastAsia="ja-JP"/>
              </w:rPr>
              <w:t>NHAIS</w:t>
            </w:r>
          </w:p>
        </w:tc>
      </w:tr>
      <w:tr w:rsidR="008202BC" w:rsidRPr="00966C84" w14:paraId="592FC1E4" w14:textId="77777777" w:rsidTr="00B9578C">
        <w:tc>
          <w:tcPr>
            <w:tcW w:w="1985" w:type="dxa"/>
            <w:tcBorders>
              <w:left w:val="nil"/>
              <w:right w:val="nil"/>
            </w:tcBorders>
          </w:tcPr>
          <w:p w14:paraId="4807ED4B" w14:textId="77777777" w:rsidR="008202BC" w:rsidRPr="00966C84" w:rsidRDefault="008202BC" w:rsidP="00297F59">
            <w:pPr>
              <w:spacing w:after="100" w:afterAutospacing="1"/>
              <w:rPr>
                <w:rFonts w:eastAsia="SimSun"/>
                <w:b/>
                <w:i/>
                <w:sz w:val="20"/>
                <w:szCs w:val="20"/>
                <w:lang w:eastAsia="ja-JP"/>
              </w:rPr>
            </w:pPr>
            <w:r w:rsidRPr="00966C84">
              <w:rPr>
                <w:rFonts w:eastAsia="SimSun"/>
                <w:b/>
                <w:i/>
                <w:sz w:val="20"/>
                <w:szCs w:val="20"/>
                <w:lang w:eastAsia="ja-JP"/>
              </w:rPr>
              <w:t>Area-level characteristics</w:t>
            </w:r>
          </w:p>
        </w:tc>
        <w:tc>
          <w:tcPr>
            <w:tcW w:w="10348" w:type="dxa"/>
            <w:tcBorders>
              <w:left w:val="nil"/>
              <w:right w:val="nil"/>
            </w:tcBorders>
          </w:tcPr>
          <w:p w14:paraId="02EB378F" w14:textId="77777777" w:rsidR="008202BC" w:rsidRPr="00966C84" w:rsidRDefault="008202BC" w:rsidP="00297F59">
            <w:pPr>
              <w:spacing w:after="-1" w:afterAutospacing="1"/>
              <w:rPr>
                <w:rFonts w:eastAsia="SimSun"/>
                <w:sz w:val="20"/>
                <w:szCs w:val="20"/>
                <w:lang w:eastAsia="ja-JP"/>
              </w:rPr>
            </w:pPr>
          </w:p>
        </w:tc>
        <w:tc>
          <w:tcPr>
            <w:tcW w:w="1417" w:type="dxa"/>
            <w:tcBorders>
              <w:left w:val="nil"/>
              <w:right w:val="nil"/>
            </w:tcBorders>
          </w:tcPr>
          <w:p w14:paraId="6A05A809" w14:textId="77777777" w:rsidR="008202BC" w:rsidRPr="00966C84" w:rsidRDefault="008202BC" w:rsidP="00297F59">
            <w:pPr>
              <w:spacing w:after="-1" w:afterAutospacing="1"/>
              <w:jc w:val="both"/>
              <w:rPr>
                <w:rFonts w:eastAsia="SimSun"/>
                <w:sz w:val="20"/>
                <w:szCs w:val="20"/>
                <w:lang w:eastAsia="ja-JP"/>
              </w:rPr>
            </w:pPr>
          </w:p>
        </w:tc>
      </w:tr>
      <w:tr w:rsidR="008202BC" w:rsidRPr="00966C84" w14:paraId="2B0FDFDE" w14:textId="77777777" w:rsidTr="00B9578C">
        <w:tc>
          <w:tcPr>
            <w:tcW w:w="1985" w:type="dxa"/>
            <w:tcBorders>
              <w:left w:val="nil"/>
              <w:right w:val="nil"/>
            </w:tcBorders>
          </w:tcPr>
          <w:p w14:paraId="537D40E7" w14:textId="77777777" w:rsidR="008202BC" w:rsidRPr="00966C84" w:rsidRDefault="008202BC" w:rsidP="00297F59">
            <w:pPr>
              <w:spacing w:after="100" w:afterAutospacing="1"/>
              <w:rPr>
                <w:rFonts w:eastAsia="SimSun"/>
                <w:sz w:val="20"/>
                <w:szCs w:val="20"/>
                <w:lang w:eastAsia="ja-JP"/>
              </w:rPr>
            </w:pPr>
            <w:r w:rsidRPr="00966C84">
              <w:rPr>
                <w:rFonts w:eastAsia="SimSun"/>
                <w:sz w:val="20"/>
                <w:szCs w:val="20"/>
                <w:lang w:eastAsia="ja-JP"/>
              </w:rPr>
              <w:t>Conurbation</w:t>
            </w:r>
          </w:p>
        </w:tc>
        <w:tc>
          <w:tcPr>
            <w:tcW w:w="10348" w:type="dxa"/>
            <w:tcBorders>
              <w:left w:val="nil"/>
              <w:right w:val="nil"/>
            </w:tcBorders>
          </w:tcPr>
          <w:p w14:paraId="39211A4D" w14:textId="420FAC97" w:rsidR="008202BC" w:rsidRPr="00966C84" w:rsidRDefault="008202BC" w:rsidP="00297F59">
            <w:pPr>
              <w:spacing w:after="-1" w:afterAutospacing="1"/>
              <w:rPr>
                <w:rFonts w:eastAsia="SimSun"/>
                <w:sz w:val="20"/>
                <w:szCs w:val="20"/>
                <w:lang w:eastAsia="ja-JP"/>
              </w:rPr>
            </w:pPr>
            <w:r w:rsidRPr="00966C84">
              <w:rPr>
                <w:rFonts w:eastAsia="SimSun"/>
                <w:sz w:val="20"/>
                <w:szCs w:val="20"/>
                <w:lang w:eastAsia="ja-JP"/>
              </w:rPr>
              <w:t>Indicator of level of conurbation assigned to address in 2010 or at birth if b</w:t>
            </w:r>
            <w:r w:rsidR="00E81969">
              <w:rPr>
                <w:rFonts w:eastAsia="SimSun"/>
                <w:sz w:val="20"/>
                <w:szCs w:val="20"/>
                <w:lang w:eastAsia="ja-JP"/>
              </w:rPr>
              <w:t xml:space="preserve">orn later. </w:t>
            </w:r>
            <w:r w:rsidR="00AD0754">
              <w:rPr>
                <w:rFonts w:eastAsia="SimSun"/>
                <w:sz w:val="20"/>
                <w:szCs w:val="20"/>
                <w:lang w:eastAsia="ja-JP"/>
              </w:rPr>
              <w:t xml:space="preserve">Data custodians </w:t>
            </w:r>
            <w:r w:rsidR="00E81969" w:rsidRPr="00E81969">
              <w:rPr>
                <w:rFonts w:eastAsia="SimSun"/>
                <w:sz w:val="20"/>
                <w:szCs w:val="20"/>
                <w:lang w:eastAsia="ja-JP"/>
              </w:rPr>
              <w:t>generate settlement band within NHAIS using postcode information from patient address, linked to the N</w:t>
            </w:r>
            <w:r w:rsidR="00E81969">
              <w:rPr>
                <w:rFonts w:eastAsia="SimSun"/>
                <w:sz w:val="20"/>
                <w:szCs w:val="20"/>
                <w:lang w:eastAsia="ja-JP"/>
              </w:rPr>
              <w:t>orthern Ireland Research and Statistics Agency (N</w:t>
            </w:r>
            <w:r w:rsidR="00E81969" w:rsidRPr="00E81969">
              <w:rPr>
                <w:rFonts w:eastAsia="SimSun"/>
                <w:sz w:val="20"/>
                <w:szCs w:val="20"/>
                <w:lang w:eastAsia="ja-JP"/>
              </w:rPr>
              <w:t>ISRA</w:t>
            </w:r>
            <w:r w:rsidR="00E81969">
              <w:rPr>
                <w:rFonts w:eastAsia="SimSun"/>
                <w:sz w:val="20"/>
                <w:szCs w:val="20"/>
                <w:lang w:eastAsia="ja-JP"/>
              </w:rPr>
              <w:t>)</w:t>
            </w:r>
            <w:r w:rsidR="00E81969" w:rsidRPr="00E81969">
              <w:rPr>
                <w:rFonts w:eastAsia="SimSun"/>
                <w:sz w:val="20"/>
                <w:szCs w:val="20"/>
                <w:lang w:eastAsia="ja-JP"/>
              </w:rPr>
              <w:t xml:space="preserve"> classification of settlements in N</w:t>
            </w:r>
            <w:r w:rsidR="004444B5">
              <w:rPr>
                <w:rFonts w:eastAsia="SimSun"/>
                <w:sz w:val="20"/>
                <w:szCs w:val="20"/>
                <w:lang w:eastAsia="ja-JP"/>
              </w:rPr>
              <w:t xml:space="preserve">orthern </w:t>
            </w:r>
            <w:r w:rsidR="00E81969" w:rsidRPr="00E81969">
              <w:rPr>
                <w:rFonts w:eastAsia="SimSun"/>
                <w:sz w:val="20"/>
                <w:szCs w:val="20"/>
                <w:lang w:eastAsia="ja-JP"/>
              </w:rPr>
              <w:t>I</w:t>
            </w:r>
            <w:r w:rsidR="004444B5">
              <w:rPr>
                <w:rFonts w:eastAsia="SimSun"/>
                <w:sz w:val="20"/>
                <w:szCs w:val="20"/>
                <w:lang w:eastAsia="ja-JP"/>
              </w:rPr>
              <w:t>reland</w:t>
            </w:r>
            <w:r w:rsidR="00E81969" w:rsidRPr="00E81969">
              <w:rPr>
                <w:rFonts w:eastAsia="SimSun"/>
                <w:sz w:val="20"/>
                <w:szCs w:val="20"/>
                <w:lang w:eastAsia="ja-JP"/>
              </w:rPr>
              <w:t>. Settlement bands range from band A-H</w:t>
            </w:r>
            <w:r w:rsidR="00E81969">
              <w:rPr>
                <w:rFonts w:eastAsia="SimSun"/>
                <w:sz w:val="20"/>
                <w:szCs w:val="20"/>
                <w:lang w:eastAsia="ja-JP"/>
              </w:rPr>
              <w:t>. L</w:t>
            </w:r>
            <w:r w:rsidR="00E81969" w:rsidRPr="00E81969">
              <w:rPr>
                <w:rFonts w:eastAsia="SimSun"/>
                <w:sz w:val="20"/>
                <w:szCs w:val="20"/>
                <w:lang w:eastAsia="ja-JP"/>
              </w:rPr>
              <w:t xml:space="preserve">evel of conurbation was categorised into three groups: urban (bands A-B, </w:t>
            </w:r>
            <w:r w:rsidR="00C47641">
              <w:rPr>
                <w:rFonts w:eastAsia="SimSun"/>
                <w:sz w:val="20"/>
                <w:szCs w:val="20"/>
                <w:lang w:eastAsia="ja-JP"/>
              </w:rPr>
              <w:t xml:space="preserve">cities </w:t>
            </w:r>
            <w:r w:rsidR="00E81969" w:rsidRPr="00E81969">
              <w:rPr>
                <w:rFonts w:eastAsia="SimSun"/>
                <w:sz w:val="20"/>
                <w:szCs w:val="20"/>
                <w:lang w:eastAsia="ja-JP"/>
              </w:rPr>
              <w:t>Belfast and Derry); intermediate (bands C-</w:t>
            </w:r>
            <w:r w:rsidR="00A56912">
              <w:rPr>
                <w:rFonts w:eastAsia="SimSun"/>
                <w:sz w:val="20"/>
                <w:szCs w:val="20"/>
                <w:lang w:eastAsia="ja-JP"/>
              </w:rPr>
              <w:t>F</w:t>
            </w:r>
            <w:r w:rsidR="00E81969" w:rsidRPr="00E81969">
              <w:rPr>
                <w:rFonts w:eastAsia="SimSun"/>
                <w:sz w:val="20"/>
                <w:szCs w:val="20"/>
                <w:lang w:eastAsia="ja-JP"/>
              </w:rPr>
              <w:t>, towns</w:t>
            </w:r>
            <w:r w:rsidR="00C47641">
              <w:rPr>
                <w:rFonts w:eastAsia="SimSun"/>
                <w:sz w:val="20"/>
                <w:szCs w:val="20"/>
                <w:lang w:eastAsia="ja-JP"/>
              </w:rPr>
              <w:t xml:space="preserve"> and intermediate settlements</w:t>
            </w:r>
            <w:r w:rsidR="00E81969" w:rsidRPr="00E81969">
              <w:rPr>
                <w:rFonts w:eastAsia="SimSun"/>
                <w:sz w:val="20"/>
                <w:szCs w:val="20"/>
                <w:lang w:eastAsia="ja-JP"/>
              </w:rPr>
              <w:t>); and rural (band</w:t>
            </w:r>
            <w:r w:rsidR="00A56912">
              <w:rPr>
                <w:rFonts w:eastAsia="SimSun"/>
                <w:sz w:val="20"/>
                <w:szCs w:val="20"/>
                <w:lang w:eastAsia="ja-JP"/>
              </w:rPr>
              <w:t>s G-</w:t>
            </w:r>
            <w:r w:rsidR="00E81969" w:rsidRPr="00E81969">
              <w:rPr>
                <w:rFonts w:eastAsia="SimSun"/>
                <w:sz w:val="20"/>
                <w:szCs w:val="20"/>
                <w:lang w:eastAsia="ja-JP"/>
              </w:rPr>
              <w:t xml:space="preserve">H, </w:t>
            </w:r>
            <w:r w:rsidR="00A56912">
              <w:rPr>
                <w:rFonts w:eastAsia="SimSun"/>
                <w:sz w:val="20"/>
                <w:szCs w:val="20"/>
                <w:lang w:eastAsia="ja-JP"/>
              </w:rPr>
              <w:t xml:space="preserve">villages and settlements </w:t>
            </w:r>
            <w:r w:rsidR="00500766">
              <w:rPr>
                <w:rFonts w:eastAsia="SimSun"/>
                <w:sz w:val="20"/>
                <w:szCs w:val="20"/>
                <w:lang w:eastAsia="ja-JP"/>
              </w:rPr>
              <w:t>&lt;</w:t>
            </w:r>
            <w:r w:rsidR="00E81969" w:rsidRPr="00E81969">
              <w:rPr>
                <w:rFonts w:eastAsia="SimSun"/>
                <w:sz w:val="20"/>
                <w:szCs w:val="20"/>
                <w:lang w:eastAsia="ja-JP"/>
              </w:rPr>
              <w:t xml:space="preserve">1,000 people and open countryside). </w:t>
            </w:r>
          </w:p>
        </w:tc>
        <w:tc>
          <w:tcPr>
            <w:tcW w:w="1417" w:type="dxa"/>
            <w:tcBorders>
              <w:left w:val="nil"/>
              <w:right w:val="nil"/>
            </w:tcBorders>
          </w:tcPr>
          <w:p w14:paraId="77F81B9E" w14:textId="77777777" w:rsidR="008202BC" w:rsidRPr="00966C84" w:rsidRDefault="008202BC" w:rsidP="00297F59">
            <w:pPr>
              <w:spacing w:after="-1" w:afterAutospacing="1"/>
              <w:jc w:val="both"/>
              <w:rPr>
                <w:rFonts w:eastAsia="SimSun"/>
                <w:sz w:val="20"/>
                <w:szCs w:val="20"/>
                <w:lang w:eastAsia="ja-JP"/>
              </w:rPr>
            </w:pPr>
            <w:r w:rsidRPr="00966C84">
              <w:rPr>
                <w:rFonts w:eastAsia="SimSun"/>
                <w:sz w:val="20"/>
                <w:szCs w:val="20"/>
                <w:lang w:eastAsia="ja-JP"/>
              </w:rPr>
              <w:t>NHAIS</w:t>
            </w:r>
          </w:p>
        </w:tc>
      </w:tr>
      <w:tr w:rsidR="008202BC" w:rsidRPr="00966C84" w14:paraId="35CB95A2" w14:textId="77777777" w:rsidTr="00B9578C">
        <w:tc>
          <w:tcPr>
            <w:tcW w:w="1985" w:type="dxa"/>
            <w:tcBorders>
              <w:left w:val="nil"/>
              <w:right w:val="nil"/>
            </w:tcBorders>
          </w:tcPr>
          <w:p w14:paraId="6B67810C" w14:textId="77777777" w:rsidR="008202BC" w:rsidRPr="00966C84" w:rsidRDefault="008202BC" w:rsidP="00297F59">
            <w:pPr>
              <w:spacing w:after="100" w:afterAutospacing="1"/>
              <w:rPr>
                <w:rFonts w:eastAsia="SimSun"/>
                <w:sz w:val="20"/>
                <w:szCs w:val="20"/>
                <w:lang w:eastAsia="ja-JP"/>
              </w:rPr>
            </w:pPr>
            <w:r w:rsidRPr="00966C84">
              <w:rPr>
                <w:rFonts w:eastAsia="SimSun"/>
                <w:sz w:val="20"/>
                <w:szCs w:val="20"/>
                <w:lang w:eastAsia="ja-JP"/>
              </w:rPr>
              <w:t>Area-level deprivation</w:t>
            </w:r>
          </w:p>
        </w:tc>
        <w:tc>
          <w:tcPr>
            <w:tcW w:w="10348" w:type="dxa"/>
            <w:tcBorders>
              <w:left w:val="nil"/>
              <w:right w:val="nil"/>
            </w:tcBorders>
          </w:tcPr>
          <w:p w14:paraId="46A6FBCF" w14:textId="19411DE6" w:rsidR="008202BC" w:rsidRPr="00966C84" w:rsidRDefault="008202BC" w:rsidP="00297F59">
            <w:pPr>
              <w:spacing w:after="-1" w:afterAutospacing="1"/>
              <w:rPr>
                <w:rFonts w:eastAsia="SimSun"/>
                <w:sz w:val="20"/>
                <w:szCs w:val="20"/>
                <w:lang w:eastAsia="ja-JP"/>
              </w:rPr>
            </w:pPr>
            <w:r w:rsidRPr="4F33C083">
              <w:rPr>
                <w:rFonts w:eastAsia="SimSun"/>
                <w:sz w:val="20"/>
                <w:szCs w:val="20"/>
                <w:lang w:eastAsia="ja-JP"/>
              </w:rPr>
              <w:t>Indicator of area-level income deprivation assigned to address in 2010, or address at birt</w:t>
            </w:r>
            <w:r w:rsidR="00C87418" w:rsidRPr="4F33C083">
              <w:rPr>
                <w:rFonts w:eastAsia="SimSun"/>
                <w:sz w:val="20"/>
                <w:szCs w:val="20"/>
                <w:lang w:eastAsia="ja-JP"/>
              </w:rPr>
              <w:t xml:space="preserve">h if born later. </w:t>
            </w:r>
            <w:r w:rsidR="00C87418" w:rsidRPr="4F33C083">
              <w:rPr>
                <w:rFonts w:eastAsia="SimSun"/>
                <w:sz w:val="20"/>
                <w:szCs w:val="20"/>
                <w:lang w:val="en-US" w:eastAsia="ja-JP"/>
              </w:rPr>
              <w:t>Area-level income deprivation generated by data custodians using patient address from NHAIS and the Income domain of the 2010 Northern Ireland Multiple Deprivation Measure (NIMDM). Areas were ranked from the most to least deprived,</w:t>
            </w:r>
            <w:r w:rsidR="37793C91" w:rsidRPr="4F33C083">
              <w:rPr>
                <w:rFonts w:eastAsia="SimSun"/>
                <w:sz w:val="20"/>
                <w:szCs w:val="20"/>
                <w:lang w:val="en-US" w:eastAsia="ja-JP"/>
              </w:rPr>
              <w:t xml:space="preserve"> </w:t>
            </w:r>
            <w:r w:rsidR="00C87418" w:rsidRPr="4F33C083">
              <w:rPr>
                <w:rFonts w:eastAsia="SimSun"/>
                <w:sz w:val="20"/>
                <w:szCs w:val="20"/>
                <w:lang w:val="en-US" w:eastAsia="ja-JP"/>
              </w:rPr>
              <w:t xml:space="preserve">and divided into quintiles. Quintiles were subsequently </w:t>
            </w:r>
            <w:proofErr w:type="spellStart"/>
            <w:r w:rsidR="00C87418" w:rsidRPr="4F33C083">
              <w:rPr>
                <w:rFonts w:eastAsia="SimSun"/>
                <w:sz w:val="20"/>
                <w:szCs w:val="20"/>
                <w:lang w:val="en-US" w:eastAsia="ja-JP"/>
              </w:rPr>
              <w:t>categorised</w:t>
            </w:r>
            <w:proofErr w:type="spellEnd"/>
            <w:r w:rsidR="00C87418" w:rsidRPr="4F33C083">
              <w:rPr>
                <w:rFonts w:eastAsia="SimSun"/>
                <w:sz w:val="20"/>
                <w:szCs w:val="20"/>
                <w:lang w:val="en-US" w:eastAsia="ja-JP"/>
              </w:rPr>
              <w:t xml:space="preserve"> into two groups, less deprived an</w:t>
            </w:r>
            <w:r w:rsidR="00403F0D">
              <w:rPr>
                <w:rFonts w:eastAsia="SimSun"/>
                <w:sz w:val="20"/>
                <w:szCs w:val="20"/>
                <w:lang w:val="en-US" w:eastAsia="ja-JP"/>
              </w:rPr>
              <w:t>d more deprived</w:t>
            </w:r>
            <w:r w:rsidR="00C87418" w:rsidRPr="4F33C083">
              <w:rPr>
                <w:rFonts w:eastAsia="SimSun"/>
                <w:sz w:val="20"/>
                <w:szCs w:val="20"/>
                <w:lang w:val="en-US" w:eastAsia="ja-JP"/>
              </w:rPr>
              <w:t xml:space="preserve">. </w:t>
            </w:r>
          </w:p>
        </w:tc>
        <w:tc>
          <w:tcPr>
            <w:tcW w:w="1417" w:type="dxa"/>
            <w:tcBorders>
              <w:left w:val="nil"/>
              <w:right w:val="nil"/>
            </w:tcBorders>
          </w:tcPr>
          <w:p w14:paraId="7791F8CD" w14:textId="77777777" w:rsidR="008202BC" w:rsidRPr="00966C84" w:rsidRDefault="008202BC" w:rsidP="00297F59">
            <w:pPr>
              <w:spacing w:after="-1" w:afterAutospacing="1"/>
              <w:jc w:val="both"/>
              <w:rPr>
                <w:rFonts w:eastAsia="SimSun"/>
                <w:sz w:val="20"/>
                <w:szCs w:val="20"/>
                <w:lang w:eastAsia="ja-JP"/>
              </w:rPr>
            </w:pPr>
            <w:r w:rsidRPr="00966C84">
              <w:rPr>
                <w:rFonts w:eastAsia="SimSun"/>
                <w:sz w:val="20"/>
                <w:szCs w:val="20"/>
                <w:lang w:eastAsia="ja-JP"/>
              </w:rPr>
              <w:t>NHAIS</w:t>
            </w:r>
          </w:p>
        </w:tc>
      </w:tr>
      <w:tr w:rsidR="008202BC" w:rsidRPr="00966C84" w14:paraId="71CCED57" w14:textId="77777777" w:rsidTr="00B9578C">
        <w:tc>
          <w:tcPr>
            <w:tcW w:w="1985" w:type="dxa"/>
            <w:tcBorders>
              <w:left w:val="nil"/>
              <w:right w:val="nil"/>
            </w:tcBorders>
          </w:tcPr>
          <w:p w14:paraId="389032F9" w14:textId="77777777" w:rsidR="008202BC" w:rsidRPr="00966C84" w:rsidRDefault="008202BC" w:rsidP="00297F59">
            <w:pPr>
              <w:spacing w:after="100" w:afterAutospacing="1"/>
              <w:rPr>
                <w:rFonts w:eastAsia="SimSun"/>
                <w:sz w:val="20"/>
                <w:szCs w:val="20"/>
                <w:lang w:eastAsia="ja-JP"/>
              </w:rPr>
            </w:pPr>
            <w:r w:rsidRPr="00966C84">
              <w:rPr>
                <w:rFonts w:eastAsia="SimSun"/>
                <w:sz w:val="20"/>
                <w:szCs w:val="20"/>
                <w:lang w:eastAsia="ja-JP"/>
              </w:rPr>
              <w:t>Health and Social Care Trust</w:t>
            </w:r>
            <w:r w:rsidR="008F15F4">
              <w:rPr>
                <w:rFonts w:eastAsia="SimSun"/>
                <w:sz w:val="20"/>
                <w:szCs w:val="20"/>
                <w:lang w:eastAsia="ja-JP"/>
              </w:rPr>
              <w:t xml:space="preserve"> (HSCT)</w:t>
            </w:r>
          </w:p>
        </w:tc>
        <w:tc>
          <w:tcPr>
            <w:tcW w:w="10348" w:type="dxa"/>
            <w:tcBorders>
              <w:left w:val="nil"/>
              <w:right w:val="nil"/>
            </w:tcBorders>
          </w:tcPr>
          <w:p w14:paraId="5286018F" w14:textId="470C4E90" w:rsidR="008202BC" w:rsidRPr="00966C84" w:rsidRDefault="008202BC" w:rsidP="00297F59">
            <w:pPr>
              <w:spacing w:after="-1" w:afterAutospacing="1"/>
              <w:rPr>
                <w:rFonts w:eastAsia="SimSun"/>
                <w:sz w:val="20"/>
                <w:szCs w:val="20"/>
                <w:lang w:eastAsia="ja-JP"/>
              </w:rPr>
            </w:pPr>
            <w:r w:rsidRPr="00966C84">
              <w:rPr>
                <w:rFonts w:eastAsia="SimSun"/>
                <w:sz w:val="20"/>
                <w:szCs w:val="20"/>
                <w:lang w:eastAsia="ja-JP"/>
              </w:rPr>
              <w:t xml:space="preserve">HSCT identifier </w:t>
            </w:r>
            <w:r w:rsidR="008F15F4">
              <w:rPr>
                <w:rFonts w:eastAsia="SimSun"/>
                <w:sz w:val="20"/>
                <w:szCs w:val="20"/>
                <w:lang w:eastAsia="ja-JP"/>
              </w:rPr>
              <w:t>(</w:t>
            </w:r>
            <w:r w:rsidR="008F15F4" w:rsidRPr="00535AF7">
              <w:rPr>
                <w:rFonts w:eastAsia="SimSun"/>
                <w:sz w:val="20"/>
                <w:szCs w:val="20"/>
                <w:lang w:eastAsia="ja-JP"/>
              </w:rPr>
              <w:t>n</w:t>
            </w:r>
            <w:r w:rsidR="008F15F4">
              <w:rPr>
                <w:rFonts w:eastAsia="SimSun"/>
                <w:sz w:val="20"/>
                <w:szCs w:val="20"/>
                <w:lang w:eastAsia="ja-JP"/>
              </w:rPr>
              <w:t xml:space="preserve">=5) </w:t>
            </w:r>
            <w:r w:rsidRPr="00966C84">
              <w:rPr>
                <w:rFonts w:eastAsia="SimSun"/>
                <w:sz w:val="20"/>
                <w:szCs w:val="20"/>
                <w:lang w:eastAsia="ja-JP"/>
              </w:rPr>
              <w:t>assigned to address in 2010</w:t>
            </w:r>
            <w:r w:rsidR="00297F59">
              <w:rPr>
                <w:rFonts w:eastAsia="SimSun"/>
                <w:sz w:val="20"/>
                <w:szCs w:val="20"/>
                <w:lang w:eastAsia="ja-JP"/>
              </w:rPr>
              <w:t xml:space="preserve">. </w:t>
            </w:r>
          </w:p>
        </w:tc>
        <w:tc>
          <w:tcPr>
            <w:tcW w:w="1417" w:type="dxa"/>
            <w:tcBorders>
              <w:left w:val="nil"/>
              <w:right w:val="nil"/>
            </w:tcBorders>
          </w:tcPr>
          <w:p w14:paraId="7421F32B" w14:textId="77777777" w:rsidR="008202BC" w:rsidRPr="00966C84" w:rsidRDefault="008202BC" w:rsidP="00297F59">
            <w:pPr>
              <w:spacing w:after="-1" w:afterAutospacing="1"/>
              <w:jc w:val="both"/>
              <w:rPr>
                <w:rFonts w:eastAsia="SimSun"/>
                <w:sz w:val="20"/>
                <w:szCs w:val="20"/>
                <w:lang w:eastAsia="ja-JP"/>
              </w:rPr>
            </w:pPr>
            <w:r w:rsidRPr="00966C84">
              <w:rPr>
                <w:rFonts w:eastAsia="SimSun"/>
                <w:sz w:val="20"/>
                <w:szCs w:val="20"/>
                <w:lang w:eastAsia="ja-JP"/>
              </w:rPr>
              <w:t>NHAIS</w:t>
            </w:r>
          </w:p>
        </w:tc>
      </w:tr>
      <w:tr w:rsidR="008202BC" w:rsidRPr="00966C84" w14:paraId="4F6250BD" w14:textId="77777777" w:rsidTr="00B9578C">
        <w:tc>
          <w:tcPr>
            <w:tcW w:w="1985" w:type="dxa"/>
            <w:tcBorders>
              <w:left w:val="nil"/>
              <w:right w:val="nil"/>
            </w:tcBorders>
          </w:tcPr>
          <w:p w14:paraId="06636019" w14:textId="77777777" w:rsidR="008202BC" w:rsidRPr="00966C84" w:rsidRDefault="008202BC" w:rsidP="00297F59">
            <w:pPr>
              <w:spacing w:after="100" w:afterAutospacing="1"/>
              <w:rPr>
                <w:rFonts w:eastAsia="SimSun"/>
                <w:b/>
                <w:i/>
                <w:sz w:val="20"/>
                <w:szCs w:val="20"/>
                <w:lang w:eastAsia="ja-JP"/>
              </w:rPr>
            </w:pPr>
            <w:r w:rsidRPr="00966C84">
              <w:rPr>
                <w:rFonts w:eastAsia="SimSun"/>
                <w:b/>
                <w:i/>
                <w:sz w:val="20"/>
                <w:szCs w:val="20"/>
                <w:lang w:eastAsia="ja-JP"/>
              </w:rPr>
              <w:t>Social care characteristics</w:t>
            </w:r>
          </w:p>
        </w:tc>
        <w:tc>
          <w:tcPr>
            <w:tcW w:w="10348" w:type="dxa"/>
            <w:tcBorders>
              <w:left w:val="nil"/>
              <w:right w:val="nil"/>
            </w:tcBorders>
          </w:tcPr>
          <w:p w14:paraId="5A39BBE3" w14:textId="77777777" w:rsidR="008202BC" w:rsidRPr="00966C84" w:rsidRDefault="008202BC" w:rsidP="00297F59">
            <w:pPr>
              <w:spacing w:after="-1" w:afterAutospacing="1"/>
              <w:rPr>
                <w:rFonts w:eastAsia="SimSun"/>
                <w:sz w:val="20"/>
                <w:szCs w:val="20"/>
                <w:lang w:eastAsia="ja-JP"/>
              </w:rPr>
            </w:pPr>
          </w:p>
        </w:tc>
        <w:tc>
          <w:tcPr>
            <w:tcW w:w="1417" w:type="dxa"/>
            <w:tcBorders>
              <w:left w:val="nil"/>
              <w:right w:val="nil"/>
            </w:tcBorders>
          </w:tcPr>
          <w:p w14:paraId="41C8F396" w14:textId="77777777" w:rsidR="008202BC" w:rsidRPr="00966C84" w:rsidRDefault="008202BC" w:rsidP="00297F59">
            <w:pPr>
              <w:spacing w:after="-1" w:afterAutospacing="1"/>
              <w:jc w:val="both"/>
              <w:rPr>
                <w:rFonts w:eastAsia="SimSun"/>
                <w:sz w:val="20"/>
                <w:szCs w:val="20"/>
                <w:lang w:eastAsia="ja-JP"/>
              </w:rPr>
            </w:pPr>
          </w:p>
        </w:tc>
      </w:tr>
      <w:tr w:rsidR="008202BC" w:rsidRPr="00966C84" w14:paraId="23725AF8" w14:textId="77777777" w:rsidTr="00B9578C">
        <w:tc>
          <w:tcPr>
            <w:tcW w:w="1985" w:type="dxa"/>
            <w:tcBorders>
              <w:left w:val="nil"/>
              <w:right w:val="nil"/>
            </w:tcBorders>
          </w:tcPr>
          <w:p w14:paraId="6D90B8CE" w14:textId="77777777" w:rsidR="008202BC" w:rsidRPr="00966C84" w:rsidRDefault="008202BC" w:rsidP="00297F59">
            <w:pPr>
              <w:spacing w:after="100" w:afterAutospacing="1"/>
              <w:rPr>
                <w:rFonts w:eastAsia="SimSun"/>
                <w:sz w:val="20"/>
                <w:szCs w:val="20"/>
                <w:lang w:eastAsia="ja-JP"/>
              </w:rPr>
            </w:pPr>
            <w:r w:rsidRPr="00966C84">
              <w:rPr>
                <w:rFonts w:eastAsia="SimSun"/>
                <w:sz w:val="20"/>
                <w:szCs w:val="20"/>
                <w:lang w:eastAsia="ja-JP"/>
              </w:rPr>
              <w:t>Exposure history</w:t>
            </w:r>
          </w:p>
        </w:tc>
        <w:tc>
          <w:tcPr>
            <w:tcW w:w="10348" w:type="dxa"/>
            <w:tcBorders>
              <w:left w:val="nil"/>
              <w:right w:val="nil"/>
            </w:tcBorders>
          </w:tcPr>
          <w:p w14:paraId="7A7D95A3" w14:textId="7B2270D5" w:rsidR="008202BC" w:rsidRPr="00966C84" w:rsidRDefault="008202BC" w:rsidP="00DB0ABD">
            <w:pPr>
              <w:spacing w:after="100" w:afterAutospacing="1"/>
              <w:rPr>
                <w:rFonts w:eastAsia="SimSun"/>
                <w:sz w:val="20"/>
                <w:szCs w:val="20"/>
                <w:lang w:eastAsia="ja-JP"/>
              </w:rPr>
            </w:pPr>
            <w:r w:rsidRPr="4F33C083">
              <w:rPr>
                <w:rFonts w:eastAsia="SimSun"/>
                <w:sz w:val="20"/>
                <w:szCs w:val="20"/>
                <w:lang w:eastAsia="ja-JP"/>
              </w:rPr>
              <w:t xml:space="preserve">Level of </w:t>
            </w:r>
            <w:r w:rsidR="00297F59">
              <w:rPr>
                <w:rFonts w:eastAsia="SimSun"/>
                <w:sz w:val="20"/>
                <w:szCs w:val="20"/>
                <w:lang w:eastAsia="ja-JP"/>
              </w:rPr>
              <w:t xml:space="preserve">interaction with social services </w:t>
            </w:r>
            <w:r w:rsidRPr="4F33C083">
              <w:rPr>
                <w:rFonts w:eastAsia="SimSun"/>
                <w:sz w:val="20"/>
                <w:szCs w:val="20"/>
                <w:lang w:eastAsia="ja-JP"/>
              </w:rPr>
              <w:t xml:space="preserve">in childhood </w:t>
            </w:r>
            <w:r w:rsidR="3026B228" w:rsidRPr="4F33C083">
              <w:rPr>
                <w:rFonts w:eastAsia="SimSun"/>
                <w:sz w:val="20"/>
                <w:szCs w:val="20"/>
                <w:lang w:eastAsia="ja-JP"/>
              </w:rPr>
              <w:t xml:space="preserve">coded into four </w:t>
            </w:r>
            <w:r w:rsidR="344D82F0" w:rsidRPr="4F33C083">
              <w:rPr>
                <w:rFonts w:eastAsia="SimSun"/>
                <w:sz w:val="20"/>
                <w:szCs w:val="20"/>
                <w:lang w:eastAsia="ja-JP"/>
              </w:rPr>
              <w:t xml:space="preserve">mutually exclusive </w:t>
            </w:r>
            <w:r w:rsidR="3026B228" w:rsidRPr="4F33C083">
              <w:rPr>
                <w:rFonts w:eastAsia="SimSun"/>
                <w:sz w:val="20"/>
                <w:szCs w:val="20"/>
                <w:lang w:eastAsia="ja-JP"/>
              </w:rPr>
              <w:t>categories</w:t>
            </w:r>
            <w:r w:rsidR="32BFE69C" w:rsidRPr="4F33C083">
              <w:rPr>
                <w:rFonts w:eastAsia="SimSun"/>
                <w:sz w:val="20"/>
                <w:szCs w:val="20"/>
                <w:lang w:eastAsia="ja-JP"/>
              </w:rPr>
              <w:t xml:space="preserve"> based</w:t>
            </w:r>
            <w:r w:rsidR="00297F59">
              <w:rPr>
                <w:rFonts w:eastAsia="SimSun"/>
                <w:sz w:val="20"/>
                <w:szCs w:val="20"/>
                <w:lang w:eastAsia="ja-JP"/>
              </w:rPr>
              <w:t xml:space="preserve"> on highest level</w:t>
            </w:r>
            <w:r w:rsidR="3026B228" w:rsidRPr="4F33C083">
              <w:rPr>
                <w:rFonts w:eastAsia="SimSun"/>
                <w:sz w:val="20"/>
                <w:szCs w:val="20"/>
                <w:lang w:eastAsia="ja-JP"/>
              </w:rPr>
              <w:t xml:space="preserve"> </w:t>
            </w:r>
            <w:r w:rsidRPr="4F33C083">
              <w:rPr>
                <w:rFonts w:eastAsia="SimSun"/>
                <w:sz w:val="20"/>
                <w:szCs w:val="20"/>
                <w:lang w:eastAsia="ja-JP"/>
              </w:rPr>
              <w:t>(no involvement; not in need</w:t>
            </w:r>
            <w:r w:rsidR="09AB56C9" w:rsidRPr="4F33C083">
              <w:rPr>
                <w:rFonts w:eastAsia="SimSun"/>
                <w:sz w:val="20"/>
                <w:szCs w:val="20"/>
                <w:lang w:eastAsia="ja-JP"/>
              </w:rPr>
              <w:t xml:space="preserve"> (NIN)</w:t>
            </w:r>
            <w:r w:rsidRPr="4F33C083">
              <w:rPr>
                <w:rFonts w:eastAsia="SimSun"/>
                <w:sz w:val="20"/>
                <w:szCs w:val="20"/>
                <w:lang w:eastAsia="ja-JP"/>
              </w:rPr>
              <w:t>; child in need</w:t>
            </w:r>
            <w:r w:rsidR="09AB56C9" w:rsidRPr="4F33C083">
              <w:rPr>
                <w:rFonts w:eastAsia="SimSun"/>
                <w:sz w:val="20"/>
                <w:szCs w:val="20"/>
                <w:lang w:eastAsia="ja-JP"/>
              </w:rPr>
              <w:t xml:space="preserve"> (CIN)</w:t>
            </w:r>
            <w:r w:rsidRPr="4F33C083">
              <w:rPr>
                <w:rFonts w:eastAsia="SimSun"/>
                <w:sz w:val="20"/>
                <w:szCs w:val="20"/>
                <w:lang w:eastAsia="ja-JP"/>
              </w:rPr>
              <w:t>; child in care</w:t>
            </w:r>
            <w:r w:rsidR="5DA758FF" w:rsidRPr="4F33C083">
              <w:rPr>
                <w:rFonts w:eastAsia="SimSun"/>
                <w:sz w:val="20"/>
                <w:szCs w:val="20"/>
                <w:lang w:eastAsia="ja-JP"/>
              </w:rPr>
              <w:t xml:space="preserve"> </w:t>
            </w:r>
            <w:r w:rsidR="09AB56C9" w:rsidRPr="4F33C083">
              <w:rPr>
                <w:rFonts w:eastAsia="SimSun"/>
                <w:sz w:val="20"/>
                <w:szCs w:val="20"/>
                <w:lang w:eastAsia="ja-JP"/>
              </w:rPr>
              <w:t>(CIC)</w:t>
            </w:r>
            <w:r w:rsidRPr="4F33C083">
              <w:rPr>
                <w:rFonts w:eastAsia="SimSun"/>
                <w:sz w:val="20"/>
                <w:szCs w:val="20"/>
                <w:lang w:eastAsia="ja-JP"/>
              </w:rPr>
              <w:t>)</w:t>
            </w:r>
            <w:r w:rsidR="1EDA8D95" w:rsidRPr="4F33C083">
              <w:rPr>
                <w:rFonts w:eastAsia="SimSun"/>
                <w:sz w:val="20"/>
                <w:szCs w:val="20"/>
                <w:lang w:eastAsia="ja-JP"/>
              </w:rPr>
              <w:t xml:space="preserve">. </w:t>
            </w:r>
            <w:r w:rsidR="36213A1F" w:rsidRPr="4F33C083">
              <w:rPr>
                <w:rFonts w:eastAsia="SimSun"/>
                <w:sz w:val="20"/>
                <w:szCs w:val="20"/>
                <w:lang w:eastAsia="ja-JP"/>
              </w:rPr>
              <w:t xml:space="preserve">NIN was defined as children referred to social services but </w:t>
            </w:r>
            <w:r w:rsidR="4E06B002" w:rsidRPr="4F33C083">
              <w:rPr>
                <w:rFonts w:eastAsia="SimSun"/>
                <w:sz w:val="20"/>
                <w:szCs w:val="20"/>
                <w:lang w:eastAsia="ja-JP"/>
              </w:rPr>
              <w:t>assessed</w:t>
            </w:r>
            <w:r w:rsidR="36213A1F" w:rsidRPr="4F33C083">
              <w:rPr>
                <w:rFonts w:eastAsia="SimSun"/>
                <w:sz w:val="20"/>
                <w:szCs w:val="20"/>
                <w:lang w:eastAsia="ja-JP"/>
              </w:rPr>
              <w:t xml:space="preserve"> not in need</w:t>
            </w:r>
            <w:r w:rsidR="00DB0ABD">
              <w:rPr>
                <w:rFonts w:eastAsia="SimSun"/>
                <w:sz w:val="20"/>
                <w:szCs w:val="20"/>
                <w:lang w:eastAsia="ja-JP"/>
              </w:rPr>
              <w:t xml:space="preserve"> of help or protection</w:t>
            </w:r>
            <w:r w:rsidR="0E7BB52B" w:rsidRPr="4F33C083">
              <w:rPr>
                <w:rFonts w:eastAsia="SimSun"/>
                <w:sz w:val="20"/>
                <w:szCs w:val="20"/>
                <w:lang w:eastAsia="ja-JP"/>
              </w:rPr>
              <w:t>,</w:t>
            </w:r>
            <w:r w:rsidR="36213A1F" w:rsidRPr="4F33C083">
              <w:rPr>
                <w:rFonts w:eastAsia="SimSun"/>
                <w:sz w:val="20"/>
                <w:szCs w:val="20"/>
                <w:lang w:eastAsia="ja-JP"/>
              </w:rPr>
              <w:t xml:space="preserve"> in every inte</w:t>
            </w:r>
            <w:r w:rsidR="661AC29F" w:rsidRPr="4F33C083">
              <w:rPr>
                <w:rFonts w:eastAsia="SimSun"/>
                <w:sz w:val="20"/>
                <w:szCs w:val="20"/>
                <w:lang w:eastAsia="ja-JP"/>
              </w:rPr>
              <w:t>racti</w:t>
            </w:r>
            <w:r w:rsidR="00DB0ABD">
              <w:rPr>
                <w:rFonts w:eastAsia="SimSun"/>
                <w:sz w:val="20"/>
                <w:szCs w:val="20"/>
                <w:lang w:eastAsia="ja-JP"/>
              </w:rPr>
              <w:t xml:space="preserve">on. CIN was defined as children services in receipt of social care services i.e. </w:t>
            </w:r>
            <w:r w:rsidR="661AC29F" w:rsidRPr="4F33C083">
              <w:rPr>
                <w:rFonts w:eastAsia="SimSun"/>
                <w:sz w:val="20"/>
                <w:szCs w:val="20"/>
                <w:lang w:eastAsia="ja-JP"/>
              </w:rPr>
              <w:t xml:space="preserve">on a Child in Need Plan and/or </w:t>
            </w:r>
            <w:r w:rsidR="00297F59">
              <w:rPr>
                <w:rFonts w:eastAsia="SimSun"/>
                <w:sz w:val="20"/>
                <w:szCs w:val="20"/>
                <w:lang w:eastAsia="ja-JP"/>
              </w:rPr>
              <w:t>subject to child protection investigation/registration</w:t>
            </w:r>
            <w:r w:rsidR="6A624EE9" w:rsidRPr="4F33C083">
              <w:rPr>
                <w:rFonts w:eastAsia="SimSun"/>
                <w:sz w:val="20"/>
                <w:szCs w:val="20"/>
                <w:lang w:eastAsia="ja-JP"/>
              </w:rPr>
              <w:t xml:space="preserve">. CIC was defined as Looked After Children in </w:t>
            </w:r>
            <w:r w:rsidR="1FB85F97" w:rsidRPr="4F33C083">
              <w:rPr>
                <w:rFonts w:eastAsia="SimSun"/>
                <w:sz w:val="20"/>
                <w:szCs w:val="20"/>
                <w:lang w:eastAsia="ja-JP"/>
              </w:rPr>
              <w:t>care</w:t>
            </w:r>
            <w:r w:rsidR="58323687" w:rsidRPr="4F33C083">
              <w:rPr>
                <w:rFonts w:eastAsia="SimSun"/>
                <w:sz w:val="20"/>
                <w:szCs w:val="20"/>
                <w:lang w:eastAsia="ja-JP"/>
              </w:rPr>
              <w:t>, including for respite purposes</w:t>
            </w:r>
            <w:r w:rsidR="1FB85F97" w:rsidRPr="4F33C083">
              <w:rPr>
                <w:rFonts w:eastAsia="SimSun"/>
                <w:sz w:val="20"/>
                <w:szCs w:val="20"/>
                <w:lang w:eastAsia="ja-JP"/>
              </w:rPr>
              <w:t xml:space="preserve">. </w:t>
            </w:r>
            <w:r w:rsidR="09AB56C9" w:rsidRPr="4F33C083">
              <w:rPr>
                <w:rFonts w:eastAsia="SimSun"/>
                <w:sz w:val="20"/>
                <w:szCs w:val="20"/>
                <w:lang w:eastAsia="ja-JP"/>
              </w:rPr>
              <w:t>It was necessary to examine incident cases of CIN in 2015 (i.e. new referrals), but prevalent cases of CIC in 2015, because the SOSCARE data contained no ‘case closed’ date for CIN. NIN and CIN were identified by a referral episode with social services at any point during 2015. CIC in 2015 were identified if they were in care at any point during 2015.</w:t>
            </w:r>
          </w:p>
        </w:tc>
        <w:tc>
          <w:tcPr>
            <w:tcW w:w="1417" w:type="dxa"/>
            <w:tcBorders>
              <w:left w:val="nil"/>
              <w:right w:val="nil"/>
            </w:tcBorders>
          </w:tcPr>
          <w:p w14:paraId="31372AD7" w14:textId="77777777" w:rsidR="008202BC" w:rsidRPr="00966C84" w:rsidRDefault="008202BC" w:rsidP="00297F59">
            <w:pPr>
              <w:spacing w:after="-1" w:afterAutospacing="1"/>
              <w:jc w:val="both"/>
              <w:rPr>
                <w:rFonts w:eastAsia="SimSun"/>
                <w:sz w:val="20"/>
                <w:szCs w:val="20"/>
                <w:lang w:eastAsia="ja-JP"/>
              </w:rPr>
            </w:pPr>
            <w:r w:rsidRPr="00966C84">
              <w:rPr>
                <w:rFonts w:eastAsia="SimSun"/>
                <w:sz w:val="20"/>
                <w:szCs w:val="20"/>
                <w:lang w:eastAsia="ja-JP"/>
              </w:rPr>
              <w:t>SOSCARE</w:t>
            </w:r>
          </w:p>
        </w:tc>
      </w:tr>
    </w:tbl>
    <w:p w14:paraId="2E857C80" w14:textId="77777777" w:rsidR="00B9578C" w:rsidRDefault="00B9578C"/>
    <w:p w14:paraId="484663D9" w14:textId="076447AA" w:rsidR="00B9578C" w:rsidRPr="008661A7" w:rsidRDefault="00B9578C" w:rsidP="722930FC">
      <w:pPr>
        <w:rPr>
          <w:i/>
          <w:iCs/>
          <w:sz w:val="20"/>
          <w:szCs w:val="20"/>
        </w:rPr>
      </w:pPr>
      <w:r w:rsidRPr="008661A7">
        <w:rPr>
          <w:b/>
          <w:sz w:val="20"/>
          <w:szCs w:val="20"/>
        </w:rPr>
        <w:t>Supplementary Table</w:t>
      </w:r>
      <w:r w:rsidR="000C1E94" w:rsidRPr="008661A7">
        <w:rPr>
          <w:b/>
          <w:i/>
          <w:iCs/>
          <w:sz w:val="20"/>
          <w:szCs w:val="20"/>
        </w:rPr>
        <w:t xml:space="preserve"> </w:t>
      </w:r>
      <w:r w:rsidR="5CC931BF" w:rsidRPr="008661A7">
        <w:rPr>
          <w:b/>
          <w:iCs/>
          <w:sz w:val="20"/>
          <w:szCs w:val="20"/>
        </w:rPr>
        <w:t>S1</w:t>
      </w:r>
      <w:r w:rsidRPr="008661A7">
        <w:rPr>
          <w:i/>
          <w:iCs/>
          <w:sz w:val="20"/>
          <w:szCs w:val="20"/>
        </w:rPr>
        <w:t xml:space="preserve"> continued</w:t>
      </w:r>
    </w:p>
    <w:tbl>
      <w:tblPr>
        <w:tblStyle w:val="TableGrid4"/>
        <w:tblW w:w="0" w:type="auto"/>
        <w:tblLook w:val="04A0" w:firstRow="1" w:lastRow="0" w:firstColumn="1" w:lastColumn="0" w:noHBand="0" w:noVBand="1"/>
      </w:tblPr>
      <w:tblGrid>
        <w:gridCol w:w="1985"/>
        <w:gridCol w:w="10348"/>
        <w:gridCol w:w="1417"/>
      </w:tblGrid>
      <w:tr w:rsidR="00B9578C" w:rsidRPr="00966C84" w14:paraId="0A214DB3" w14:textId="77777777" w:rsidTr="009A1E57">
        <w:trPr>
          <w:trHeight w:val="2087"/>
        </w:trPr>
        <w:tc>
          <w:tcPr>
            <w:tcW w:w="1985" w:type="dxa"/>
            <w:tcBorders>
              <w:left w:val="nil"/>
              <w:right w:val="nil"/>
            </w:tcBorders>
          </w:tcPr>
          <w:p w14:paraId="29027329" w14:textId="77777777" w:rsidR="00B9578C" w:rsidRPr="00966C84" w:rsidRDefault="00B9578C" w:rsidP="00626713">
            <w:pPr>
              <w:spacing w:after="100" w:afterAutospacing="1"/>
              <w:rPr>
                <w:rFonts w:eastAsia="SimSun"/>
                <w:sz w:val="20"/>
                <w:szCs w:val="20"/>
                <w:lang w:eastAsia="ja-JP"/>
              </w:rPr>
            </w:pPr>
            <w:r w:rsidRPr="00966C84">
              <w:rPr>
                <w:rFonts w:eastAsia="SimSun"/>
                <w:sz w:val="20"/>
                <w:szCs w:val="20"/>
                <w:lang w:eastAsia="ja-JP"/>
              </w:rPr>
              <w:t>Reason involved with social services</w:t>
            </w:r>
          </w:p>
        </w:tc>
        <w:tc>
          <w:tcPr>
            <w:tcW w:w="10348" w:type="dxa"/>
            <w:tcBorders>
              <w:left w:val="nil"/>
              <w:right w:val="nil"/>
            </w:tcBorders>
          </w:tcPr>
          <w:p w14:paraId="5E08C698" w14:textId="77777777" w:rsidR="00B9578C" w:rsidRDefault="00B9578C" w:rsidP="00626713">
            <w:pPr>
              <w:rPr>
                <w:rFonts w:eastAsia="SimSun"/>
                <w:sz w:val="20"/>
                <w:szCs w:val="20"/>
                <w:lang w:eastAsia="ja-JP"/>
              </w:rPr>
            </w:pPr>
            <w:r w:rsidRPr="4F33C083">
              <w:rPr>
                <w:rFonts w:eastAsia="SimSun"/>
                <w:sz w:val="20"/>
                <w:szCs w:val="20"/>
                <w:lang w:eastAsia="ja-JP"/>
              </w:rPr>
              <w:t>Most common reason for involvement with social services from all possible reasons coded in SOSCARE was established for each child across their full social care history and subsequently coded into three categories (parent or guardian factors; wellbeing prejudiced; other). Children referred but assessed Not in Need in every interaction do not have a reason.</w:t>
            </w:r>
          </w:p>
          <w:p w14:paraId="11B79D7C" w14:textId="60DA8B0D" w:rsidR="00B9578C" w:rsidRPr="00345DDD" w:rsidRDefault="00B9578C" w:rsidP="00626713">
            <w:pPr>
              <w:rPr>
                <w:rFonts w:eastAsia="SimSun"/>
                <w:sz w:val="20"/>
                <w:szCs w:val="20"/>
                <w:lang w:eastAsia="ja-JP"/>
              </w:rPr>
            </w:pPr>
            <w:r w:rsidRPr="70795023">
              <w:rPr>
                <w:rFonts w:eastAsia="SimSun"/>
                <w:sz w:val="20"/>
                <w:szCs w:val="20"/>
                <w:lang w:eastAsia="ja-JP"/>
              </w:rPr>
              <w:t>Parent or guardian factors includes: no one exercising parental responsibility; carer temporarily unable to care; carer requires support; family bereavement</w:t>
            </w:r>
            <w:r w:rsidR="00B13484">
              <w:rPr>
                <w:rFonts w:eastAsia="SimSun"/>
                <w:sz w:val="20"/>
                <w:szCs w:val="20"/>
                <w:lang w:eastAsia="ja-JP"/>
              </w:rPr>
              <w:t>.</w:t>
            </w:r>
          </w:p>
          <w:p w14:paraId="4C215B30" w14:textId="77777777" w:rsidR="00B9578C" w:rsidRPr="00345DDD" w:rsidRDefault="00B9578C" w:rsidP="00626713">
            <w:pPr>
              <w:rPr>
                <w:rFonts w:eastAsia="SimSun"/>
                <w:sz w:val="20"/>
                <w:szCs w:val="20"/>
                <w:lang w:eastAsia="ja-JP"/>
              </w:rPr>
            </w:pPr>
            <w:r w:rsidRPr="00345DDD">
              <w:rPr>
                <w:rFonts w:eastAsia="SimSun"/>
                <w:sz w:val="20"/>
                <w:szCs w:val="20"/>
                <w:lang w:eastAsia="ja-JP"/>
              </w:rPr>
              <w:t>Wellbeing prejudiced includes: subject to a child protection investigation; wellbeing significantly prejudiced; welfare prejudiced homelessness; with caring duties impairing development; request for financial assistance.</w:t>
            </w:r>
          </w:p>
          <w:p w14:paraId="37A2D8FB" w14:textId="2E6E21D9" w:rsidR="00B9578C" w:rsidRPr="00966C84" w:rsidRDefault="00B9578C" w:rsidP="009A1E57">
            <w:pPr>
              <w:rPr>
                <w:sz w:val="20"/>
                <w:szCs w:val="20"/>
              </w:rPr>
            </w:pPr>
            <w:r w:rsidRPr="4F33C083">
              <w:rPr>
                <w:rFonts w:eastAsia="SimSun"/>
                <w:sz w:val="20"/>
                <w:szCs w:val="20"/>
                <w:lang w:eastAsia="ja-JP"/>
              </w:rPr>
              <w:t xml:space="preserve">Other includes: </w:t>
            </w:r>
            <w:r w:rsidRPr="4F33C083">
              <w:rPr>
                <w:sz w:val="20"/>
                <w:szCs w:val="20"/>
              </w:rPr>
              <w:t>offending a significant feature; ceasing to be 'looked after' by Trust; awaiting assessment; other/unknown</w:t>
            </w:r>
          </w:p>
        </w:tc>
        <w:tc>
          <w:tcPr>
            <w:tcW w:w="1417" w:type="dxa"/>
            <w:tcBorders>
              <w:left w:val="nil"/>
              <w:right w:val="nil"/>
            </w:tcBorders>
          </w:tcPr>
          <w:p w14:paraId="7D6AED5F" w14:textId="77777777" w:rsidR="00B9578C" w:rsidRPr="00966C84" w:rsidRDefault="00B9578C" w:rsidP="00626713">
            <w:pPr>
              <w:spacing w:after="-1" w:afterAutospacing="1"/>
              <w:jc w:val="both"/>
              <w:rPr>
                <w:rFonts w:eastAsia="SimSun"/>
                <w:sz w:val="20"/>
                <w:szCs w:val="20"/>
                <w:lang w:eastAsia="ja-JP"/>
              </w:rPr>
            </w:pPr>
            <w:r w:rsidRPr="00966C84">
              <w:rPr>
                <w:rFonts w:eastAsia="SimSun"/>
                <w:sz w:val="20"/>
                <w:szCs w:val="20"/>
                <w:lang w:eastAsia="ja-JP"/>
              </w:rPr>
              <w:t>SOSCARE</w:t>
            </w:r>
          </w:p>
        </w:tc>
      </w:tr>
      <w:tr w:rsidR="00B9578C" w:rsidRPr="00966C84" w14:paraId="431267A5" w14:textId="77777777" w:rsidTr="009A1E57">
        <w:trPr>
          <w:trHeight w:val="2116"/>
        </w:trPr>
        <w:tc>
          <w:tcPr>
            <w:tcW w:w="1985" w:type="dxa"/>
            <w:tcBorders>
              <w:left w:val="nil"/>
              <w:right w:val="nil"/>
            </w:tcBorders>
          </w:tcPr>
          <w:p w14:paraId="3AAE8CFE" w14:textId="77777777" w:rsidR="00B9578C" w:rsidRPr="00966C84" w:rsidRDefault="00B9578C" w:rsidP="00626713">
            <w:pPr>
              <w:spacing w:after="100" w:afterAutospacing="1"/>
              <w:rPr>
                <w:rFonts w:eastAsia="SimSun"/>
                <w:sz w:val="20"/>
                <w:szCs w:val="20"/>
                <w:lang w:eastAsia="ja-JP"/>
              </w:rPr>
            </w:pPr>
            <w:r w:rsidRPr="00966C84">
              <w:rPr>
                <w:rFonts w:eastAsia="SimSun"/>
                <w:sz w:val="20"/>
                <w:szCs w:val="20"/>
                <w:lang w:eastAsia="ja-JP"/>
              </w:rPr>
              <w:t>Reason in care</w:t>
            </w:r>
          </w:p>
        </w:tc>
        <w:tc>
          <w:tcPr>
            <w:tcW w:w="10348" w:type="dxa"/>
            <w:tcBorders>
              <w:left w:val="nil"/>
              <w:right w:val="nil"/>
            </w:tcBorders>
          </w:tcPr>
          <w:p w14:paraId="5563B241" w14:textId="77777777" w:rsidR="00B9578C" w:rsidRDefault="00B9578C" w:rsidP="00626713">
            <w:pPr>
              <w:rPr>
                <w:rFonts w:eastAsia="SimSun"/>
                <w:sz w:val="20"/>
                <w:szCs w:val="20"/>
                <w:lang w:eastAsia="ja-JP"/>
              </w:rPr>
            </w:pPr>
            <w:r w:rsidRPr="70795023">
              <w:rPr>
                <w:rFonts w:eastAsia="SimSun"/>
                <w:sz w:val="20"/>
                <w:szCs w:val="20"/>
                <w:lang w:eastAsia="ja-JP"/>
              </w:rPr>
              <w:t>Most common reason for placement in care coded in SOSCARE was established for each child across their full care history and subsequently coded into three categories (parent or guardian factors; abuse or neglect; other).</w:t>
            </w:r>
          </w:p>
          <w:p w14:paraId="6CBA5A7A" w14:textId="77777777" w:rsidR="00B9578C" w:rsidRDefault="00B9578C" w:rsidP="00626713">
            <w:pPr>
              <w:rPr>
                <w:rFonts w:eastAsia="SimSun"/>
                <w:sz w:val="20"/>
                <w:szCs w:val="20"/>
                <w:lang w:eastAsia="ja-JP"/>
              </w:rPr>
            </w:pPr>
            <w:r w:rsidRPr="70795023">
              <w:rPr>
                <w:rFonts w:eastAsia="SimSun"/>
                <w:sz w:val="20"/>
                <w:szCs w:val="20"/>
                <w:lang w:eastAsia="ja-JP"/>
              </w:rPr>
              <w:t>Parent or guardian factors incudes: confinement of parent/carer; death of parent/carer; imprisonment of parent/carer; physical illness parent/carer; mental illness parent/carer; predicted parental inadequacy; desertion by parent/carer; beyond control of parent/carer.</w:t>
            </w:r>
          </w:p>
          <w:p w14:paraId="442DE59E" w14:textId="5C22B865" w:rsidR="00B9578C" w:rsidRDefault="00B9578C" w:rsidP="00626713">
            <w:pPr>
              <w:rPr>
                <w:rFonts w:eastAsia="SimSun"/>
                <w:sz w:val="20"/>
                <w:szCs w:val="20"/>
                <w:lang w:eastAsia="ja-JP"/>
              </w:rPr>
            </w:pPr>
            <w:r w:rsidRPr="70795023">
              <w:rPr>
                <w:rFonts w:eastAsia="SimSun"/>
                <w:sz w:val="20"/>
                <w:szCs w:val="20"/>
                <w:lang w:eastAsia="ja-JP"/>
              </w:rPr>
              <w:t>Abuse o</w:t>
            </w:r>
            <w:r w:rsidR="00427C46">
              <w:rPr>
                <w:rFonts w:eastAsia="SimSun"/>
                <w:sz w:val="20"/>
                <w:szCs w:val="20"/>
                <w:lang w:eastAsia="ja-JP"/>
              </w:rPr>
              <w:t>r</w:t>
            </w:r>
            <w:r w:rsidRPr="70795023">
              <w:rPr>
                <w:rFonts w:eastAsia="SimSun"/>
                <w:sz w:val="20"/>
                <w:szCs w:val="20"/>
                <w:lang w:eastAsia="ja-JP"/>
              </w:rPr>
              <w:t xml:space="preserve"> neglect includes: neglect; suspected abuse; emotional abuse; physical abuse; sexual abuse.</w:t>
            </w:r>
          </w:p>
          <w:p w14:paraId="2FCEBC6F" w14:textId="44016098" w:rsidR="00B9578C" w:rsidRPr="00966C84" w:rsidRDefault="00B9578C" w:rsidP="00626713">
            <w:pPr>
              <w:rPr>
                <w:rFonts w:eastAsia="SimSun"/>
                <w:sz w:val="20"/>
                <w:szCs w:val="20"/>
                <w:lang w:eastAsia="ja-JP"/>
              </w:rPr>
            </w:pPr>
            <w:r w:rsidRPr="70795023">
              <w:rPr>
                <w:rFonts w:eastAsia="SimSun"/>
                <w:sz w:val="20"/>
                <w:szCs w:val="20"/>
                <w:lang w:eastAsia="ja-JP"/>
              </w:rPr>
              <w:t>Other includes: missing; access; pre-adoption; family relief/respite; relief of parental stress; criminal offence child; power of courts; self-referral by child; schedule 1 offender household member.</w:t>
            </w:r>
          </w:p>
        </w:tc>
        <w:tc>
          <w:tcPr>
            <w:tcW w:w="1417" w:type="dxa"/>
            <w:tcBorders>
              <w:left w:val="nil"/>
              <w:right w:val="nil"/>
            </w:tcBorders>
          </w:tcPr>
          <w:p w14:paraId="291FC697" w14:textId="77777777" w:rsidR="00B9578C" w:rsidRPr="00966C84" w:rsidRDefault="00B9578C" w:rsidP="00626713">
            <w:pPr>
              <w:spacing w:after="-1" w:afterAutospacing="1"/>
              <w:jc w:val="both"/>
              <w:rPr>
                <w:rFonts w:eastAsia="SimSun"/>
                <w:sz w:val="20"/>
                <w:szCs w:val="20"/>
                <w:lang w:eastAsia="ja-JP"/>
              </w:rPr>
            </w:pPr>
            <w:r w:rsidRPr="00966C84">
              <w:rPr>
                <w:rFonts w:eastAsia="SimSun"/>
                <w:sz w:val="20"/>
                <w:szCs w:val="20"/>
                <w:lang w:eastAsia="ja-JP"/>
              </w:rPr>
              <w:t>SOSCARE</w:t>
            </w:r>
          </w:p>
        </w:tc>
      </w:tr>
      <w:tr w:rsidR="00B9578C" w:rsidRPr="00966C84" w14:paraId="0CEF9EDB" w14:textId="77777777" w:rsidTr="009A1E57">
        <w:trPr>
          <w:trHeight w:val="558"/>
        </w:trPr>
        <w:tc>
          <w:tcPr>
            <w:tcW w:w="1985" w:type="dxa"/>
            <w:tcBorders>
              <w:left w:val="nil"/>
              <w:right w:val="nil"/>
            </w:tcBorders>
          </w:tcPr>
          <w:p w14:paraId="341F0826" w14:textId="77777777" w:rsidR="00B9578C" w:rsidRPr="00966C84" w:rsidRDefault="00B9578C" w:rsidP="00626713">
            <w:pPr>
              <w:spacing w:after="100" w:afterAutospacing="1"/>
              <w:rPr>
                <w:rFonts w:eastAsia="SimSun"/>
                <w:sz w:val="20"/>
                <w:szCs w:val="20"/>
                <w:lang w:eastAsia="ja-JP"/>
              </w:rPr>
            </w:pPr>
            <w:r w:rsidRPr="00966C84">
              <w:rPr>
                <w:rFonts w:eastAsia="SimSun"/>
                <w:sz w:val="20"/>
                <w:szCs w:val="20"/>
                <w:lang w:eastAsia="ja-JP"/>
              </w:rPr>
              <w:t>Child age at first referral</w:t>
            </w:r>
          </w:p>
        </w:tc>
        <w:tc>
          <w:tcPr>
            <w:tcW w:w="10348" w:type="dxa"/>
            <w:tcBorders>
              <w:left w:val="nil"/>
              <w:right w:val="nil"/>
            </w:tcBorders>
          </w:tcPr>
          <w:p w14:paraId="2588602A" w14:textId="77777777" w:rsidR="00B9578C" w:rsidRPr="00966C84" w:rsidRDefault="00B9578C" w:rsidP="00626713">
            <w:pPr>
              <w:spacing w:after="-1" w:afterAutospacing="1"/>
              <w:rPr>
                <w:rFonts w:eastAsia="SimSun"/>
                <w:sz w:val="20"/>
                <w:szCs w:val="20"/>
                <w:lang w:eastAsia="ja-JP"/>
              </w:rPr>
            </w:pPr>
            <w:r w:rsidRPr="00CB72D1">
              <w:rPr>
                <w:rFonts w:eastAsia="SimSun"/>
                <w:sz w:val="20"/>
                <w:szCs w:val="20"/>
                <w:lang w:eastAsia="ja-JP"/>
              </w:rPr>
              <w:t>Child age at their first referral to social services was calculated by using date of birth and first recorded SOSCARE episode</w:t>
            </w:r>
            <w:r>
              <w:rPr>
                <w:rFonts w:eastAsia="SimSun"/>
                <w:sz w:val="20"/>
                <w:szCs w:val="20"/>
                <w:lang w:eastAsia="ja-JP"/>
              </w:rPr>
              <w:t xml:space="preserve"> and subsequently coded into three categories (</w:t>
            </w:r>
            <w:r w:rsidRPr="00966C84">
              <w:rPr>
                <w:rFonts w:eastAsia="SimSun"/>
                <w:sz w:val="20"/>
                <w:szCs w:val="20"/>
                <w:lang w:eastAsia="ja-JP"/>
              </w:rPr>
              <w:t xml:space="preserve">0-3 years; 4-10 years; </w:t>
            </w:r>
            <w:r w:rsidRPr="00966C84">
              <w:rPr>
                <w:rFonts w:eastAsia="SimSun" w:cs="Calibri"/>
                <w:sz w:val="20"/>
                <w:szCs w:val="20"/>
                <w:lang w:eastAsia="ja-JP"/>
              </w:rPr>
              <w:t>≥</w:t>
            </w:r>
            <w:r w:rsidRPr="00966C84">
              <w:rPr>
                <w:rFonts w:eastAsia="SimSun"/>
                <w:sz w:val="20"/>
                <w:szCs w:val="20"/>
                <w:lang w:eastAsia="ja-JP"/>
              </w:rPr>
              <w:t>11 years)</w:t>
            </w:r>
            <w:r>
              <w:rPr>
                <w:rFonts w:eastAsia="SimSun"/>
                <w:sz w:val="20"/>
                <w:szCs w:val="20"/>
                <w:lang w:eastAsia="ja-JP"/>
              </w:rPr>
              <w:t xml:space="preserve">. </w:t>
            </w:r>
          </w:p>
        </w:tc>
        <w:tc>
          <w:tcPr>
            <w:tcW w:w="1417" w:type="dxa"/>
            <w:tcBorders>
              <w:left w:val="nil"/>
              <w:right w:val="nil"/>
            </w:tcBorders>
          </w:tcPr>
          <w:p w14:paraId="7BDDF43C" w14:textId="77777777" w:rsidR="00B9578C" w:rsidRPr="00966C84" w:rsidRDefault="00B9578C" w:rsidP="00626713">
            <w:pPr>
              <w:spacing w:after="-1" w:afterAutospacing="1"/>
              <w:jc w:val="both"/>
              <w:rPr>
                <w:rFonts w:eastAsia="SimSun"/>
                <w:sz w:val="20"/>
                <w:szCs w:val="20"/>
                <w:lang w:eastAsia="ja-JP"/>
              </w:rPr>
            </w:pPr>
            <w:r w:rsidRPr="00966C84">
              <w:rPr>
                <w:rFonts w:eastAsia="SimSun"/>
                <w:sz w:val="20"/>
                <w:szCs w:val="20"/>
                <w:lang w:eastAsia="ja-JP"/>
              </w:rPr>
              <w:t>SOSCARE</w:t>
            </w:r>
          </w:p>
        </w:tc>
      </w:tr>
      <w:tr w:rsidR="00B9578C" w:rsidRPr="00966C84" w14:paraId="470E8B67" w14:textId="77777777" w:rsidTr="009A1E57">
        <w:trPr>
          <w:trHeight w:val="566"/>
        </w:trPr>
        <w:tc>
          <w:tcPr>
            <w:tcW w:w="1985" w:type="dxa"/>
            <w:tcBorders>
              <w:left w:val="nil"/>
              <w:right w:val="nil"/>
            </w:tcBorders>
          </w:tcPr>
          <w:p w14:paraId="5FADF12D" w14:textId="77777777" w:rsidR="00B9578C" w:rsidRPr="00966C84" w:rsidRDefault="00B9578C" w:rsidP="00626713">
            <w:pPr>
              <w:spacing w:after="100" w:afterAutospacing="1"/>
              <w:rPr>
                <w:rFonts w:eastAsia="SimSun"/>
                <w:sz w:val="20"/>
                <w:szCs w:val="20"/>
                <w:lang w:eastAsia="ja-JP"/>
              </w:rPr>
            </w:pPr>
            <w:r w:rsidRPr="00966C84">
              <w:rPr>
                <w:rFonts w:eastAsia="SimSun"/>
                <w:sz w:val="20"/>
                <w:szCs w:val="20"/>
                <w:lang w:eastAsia="ja-JP"/>
              </w:rPr>
              <w:t>Child age at first entry to care</w:t>
            </w:r>
          </w:p>
        </w:tc>
        <w:tc>
          <w:tcPr>
            <w:tcW w:w="10348" w:type="dxa"/>
            <w:tcBorders>
              <w:left w:val="nil"/>
              <w:right w:val="nil"/>
            </w:tcBorders>
          </w:tcPr>
          <w:p w14:paraId="2F0A3F57" w14:textId="77777777" w:rsidR="00B9578C" w:rsidRPr="00966C84" w:rsidRDefault="00B9578C" w:rsidP="00626713">
            <w:pPr>
              <w:spacing w:after="-1" w:afterAutospacing="1"/>
              <w:rPr>
                <w:rFonts w:eastAsia="SimSun"/>
                <w:sz w:val="20"/>
                <w:szCs w:val="20"/>
                <w:lang w:eastAsia="ja-JP"/>
              </w:rPr>
            </w:pPr>
            <w:r w:rsidRPr="00966C84">
              <w:rPr>
                <w:rFonts w:eastAsia="SimSun"/>
                <w:sz w:val="20"/>
                <w:szCs w:val="20"/>
                <w:lang w:eastAsia="ja-JP"/>
              </w:rPr>
              <w:t>Age at first placement in care</w:t>
            </w:r>
            <w:r w:rsidRPr="00CF6DBB">
              <w:rPr>
                <w:rFonts w:eastAsia="SimSun"/>
                <w:lang w:eastAsia="ja-JP"/>
              </w:rPr>
              <w:t xml:space="preserve"> </w:t>
            </w:r>
            <w:r w:rsidRPr="00CF6DBB">
              <w:rPr>
                <w:rFonts w:eastAsia="SimSun"/>
                <w:sz w:val="20"/>
                <w:szCs w:val="20"/>
                <w:lang w:eastAsia="ja-JP"/>
              </w:rPr>
              <w:t>was calculated by using date of birth and first recorded SOSCARE episode of care</w:t>
            </w:r>
            <w:r>
              <w:rPr>
                <w:rFonts w:eastAsia="SimSun"/>
                <w:sz w:val="20"/>
                <w:szCs w:val="20"/>
                <w:lang w:eastAsia="ja-JP"/>
              </w:rPr>
              <w:t xml:space="preserve"> and subsequently coded into three categories </w:t>
            </w:r>
            <w:r w:rsidRPr="00966C84">
              <w:rPr>
                <w:rFonts w:eastAsia="SimSun"/>
                <w:sz w:val="20"/>
                <w:szCs w:val="20"/>
                <w:lang w:eastAsia="ja-JP"/>
              </w:rPr>
              <w:t xml:space="preserve"> (0-3 years; 4-10 years; </w:t>
            </w:r>
            <w:r w:rsidRPr="00966C84">
              <w:rPr>
                <w:rFonts w:eastAsia="SimSun" w:cs="Calibri"/>
                <w:sz w:val="20"/>
                <w:szCs w:val="20"/>
                <w:lang w:eastAsia="ja-JP"/>
              </w:rPr>
              <w:t>≥</w:t>
            </w:r>
            <w:r w:rsidRPr="00966C84">
              <w:rPr>
                <w:rFonts w:eastAsia="SimSun"/>
                <w:sz w:val="20"/>
                <w:szCs w:val="20"/>
                <w:lang w:eastAsia="ja-JP"/>
              </w:rPr>
              <w:t>11 years)</w:t>
            </w:r>
          </w:p>
        </w:tc>
        <w:tc>
          <w:tcPr>
            <w:tcW w:w="1417" w:type="dxa"/>
            <w:tcBorders>
              <w:left w:val="nil"/>
              <w:right w:val="nil"/>
            </w:tcBorders>
          </w:tcPr>
          <w:p w14:paraId="372CA6FA" w14:textId="77777777" w:rsidR="00B9578C" w:rsidRPr="00966C84" w:rsidRDefault="00B9578C" w:rsidP="00626713">
            <w:pPr>
              <w:spacing w:after="-1" w:afterAutospacing="1"/>
              <w:jc w:val="both"/>
              <w:rPr>
                <w:rFonts w:eastAsia="SimSun"/>
                <w:sz w:val="20"/>
                <w:szCs w:val="20"/>
                <w:lang w:eastAsia="ja-JP"/>
              </w:rPr>
            </w:pPr>
            <w:r w:rsidRPr="00966C84">
              <w:rPr>
                <w:rFonts w:eastAsia="SimSun"/>
                <w:sz w:val="20"/>
                <w:szCs w:val="20"/>
                <w:lang w:eastAsia="ja-JP"/>
              </w:rPr>
              <w:t>SOSCARE</w:t>
            </w:r>
          </w:p>
        </w:tc>
      </w:tr>
      <w:tr w:rsidR="00B9578C" w:rsidRPr="00966C84" w14:paraId="5F419FD6" w14:textId="77777777" w:rsidTr="009A1E57">
        <w:trPr>
          <w:trHeight w:val="560"/>
        </w:trPr>
        <w:tc>
          <w:tcPr>
            <w:tcW w:w="1985" w:type="dxa"/>
            <w:tcBorders>
              <w:left w:val="nil"/>
              <w:right w:val="nil"/>
            </w:tcBorders>
          </w:tcPr>
          <w:p w14:paraId="1406CC4E" w14:textId="77777777" w:rsidR="00B9578C" w:rsidRPr="00966C84" w:rsidRDefault="00B9578C" w:rsidP="00626713">
            <w:pPr>
              <w:spacing w:after="100" w:afterAutospacing="1"/>
              <w:rPr>
                <w:rFonts w:eastAsia="SimSun"/>
                <w:sz w:val="20"/>
                <w:szCs w:val="20"/>
                <w:lang w:eastAsia="ja-JP"/>
              </w:rPr>
            </w:pPr>
            <w:r w:rsidRPr="00966C84">
              <w:rPr>
                <w:rFonts w:eastAsia="SimSun"/>
                <w:sz w:val="20"/>
                <w:szCs w:val="20"/>
                <w:lang w:eastAsia="ja-JP"/>
              </w:rPr>
              <w:t>Number of referral episodes</w:t>
            </w:r>
          </w:p>
        </w:tc>
        <w:tc>
          <w:tcPr>
            <w:tcW w:w="10348" w:type="dxa"/>
            <w:tcBorders>
              <w:left w:val="nil"/>
              <w:right w:val="nil"/>
            </w:tcBorders>
          </w:tcPr>
          <w:p w14:paraId="63D896AA" w14:textId="77777777" w:rsidR="00B9578C" w:rsidRPr="00966C84" w:rsidRDefault="00B9578C" w:rsidP="00626713">
            <w:pPr>
              <w:spacing w:after="-1" w:afterAutospacing="1"/>
              <w:rPr>
                <w:rFonts w:eastAsia="SimSun"/>
                <w:sz w:val="20"/>
                <w:szCs w:val="20"/>
                <w:lang w:eastAsia="ja-JP"/>
              </w:rPr>
            </w:pPr>
            <w:r w:rsidRPr="00CF6DBB">
              <w:rPr>
                <w:rFonts w:eastAsia="SimSun"/>
                <w:sz w:val="20"/>
                <w:szCs w:val="20"/>
                <w:lang w:eastAsia="ja-JP"/>
              </w:rPr>
              <w:t xml:space="preserve">The number of unique episodes recorded in SOSCARE was used to provide an estimate of the number of times a child </w:t>
            </w:r>
            <w:r>
              <w:rPr>
                <w:rFonts w:eastAsia="SimSun"/>
                <w:sz w:val="20"/>
                <w:szCs w:val="20"/>
                <w:lang w:eastAsia="ja-JP"/>
              </w:rPr>
              <w:t xml:space="preserve">was referred to social services, and subsequently coded into three categories </w:t>
            </w:r>
            <w:r w:rsidRPr="00966C84">
              <w:rPr>
                <w:rFonts w:eastAsia="SimSun"/>
                <w:sz w:val="20"/>
                <w:szCs w:val="20"/>
                <w:lang w:eastAsia="ja-JP"/>
              </w:rPr>
              <w:t xml:space="preserve">(1; 2-3; </w:t>
            </w:r>
            <w:r w:rsidRPr="00966C84">
              <w:rPr>
                <w:rFonts w:eastAsia="SimSun" w:cs="Calibri"/>
                <w:sz w:val="20"/>
                <w:szCs w:val="20"/>
                <w:lang w:eastAsia="ja-JP"/>
              </w:rPr>
              <w:t>≥4)</w:t>
            </w:r>
          </w:p>
        </w:tc>
        <w:tc>
          <w:tcPr>
            <w:tcW w:w="1417" w:type="dxa"/>
            <w:tcBorders>
              <w:left w:val="nil"/>
              <w:right w:val="nil"/>
            </w:tcBorders>
          </w:tcPr>
          <w:p w14:paraId="0718D8CB" w14:textId="77777777" w:rsidR="00B9578C" w:rsidRPr="00966C84" w:rsidRDefault="00B9578C" w:rsidP="00626713">
            <w:pPr>
              <w:spacing w:after="-1" w:afterAutospacing="1"/>
              <w:jc w:val="both"/>
              <w:rPr>
                <w:rFonts w:eastAsia="SimSun"/>
                <w:sz w:val="20"/>
                <w:szCs w:val="20"/>
                <w:lang w:eastAsia="ja-JP"/>
              </w:rPr>
            </w:pPr>
            <w:r w:rsidRPr="00966C84">
              <w:rPr>
                <w:rFonts w:eastAsia="SimSun"/>
                <w:sz w:val="20"/>
                <w:szCs w:val="20"/>
                <w:lang w:eastAsia="ja-JP"/>
              </w:rPr>
              <w:t>SOSCARE</w:t>
            </w:r>
          </w:p>
        </w:tc>
      </w:tr>
      <w:tr w:rsidR="00B9578C" w:rsidRPr="00966C84" w14:paraId="1E9972AB" w14:textId="77777777" w:rsidTr="009A1E57">
        <w:trPr>
          <w:trHeight w:val="824"/>
        </w:trPr>
        <w:tc>
          <w:tcPr>
            <w:tcW w:w="1985" w:type="dxa"/>
            <w:tcBorders>
              <w:left w:val="nil"/>
              <w:right w:val="nil"/>
            </w:tcBorders>
          </w:tcPr>
          <w:p w14:paraId="739DC881" w14:textId="77777777" w:rsidR="00B9578C" w:rsidRPr="00966C84" w:rsidRDefault="00B9578C" w:rsidP="00626713">
            <w:pPr>
              <w:spacing w:after="100" w:afterAutospacing="1"/>
              <w:rPr>
                <w:rFonts w:eastAsia="SimSun"/>
                <w:sz w:val="20"/>
                <w:szCs w:val="20"/>
                <w:lang w:eastAsia="ja-JP"/>
              </w:rPr>
            </w:pPr>
            <w:r w:rsidRPr="00966C84">
              <w:rPr>
                <w:rFonts w:eastAsia="SimSun"/>
                <w:sz w:val="20"/>
                <w:szCs w:val="20"/>
                <w:lang w:eastAsia="ja-JP"/>
              </w:rPr>
              <w:t>Number of care episodes</w:t>
            </w:r>
          </w:p>
        </w:tc>
        <w:tc>
          <w:tcPr>
            <w:tcW w:w="10348" w:type="dxa"/>
            <w:tcBorders>
              <w:left w:val="nil"/>
              <w:right w:val="nil"/>
            </w:tcBorders>
          </w:tcPr>
          <w:p w14:paraId="0721EF0F" w14:textId="77777777" w:rsidR="00B9578C" w:rsidRPr="00966C84" w:rsidRDefault="00B9578C" w:rsidP="00626713">
            <w:pPr>
              <w:spacing w:after="-1" w:afterAutospacing="1"/>
              <w:rPr>
                <w:rFonts w:eastAsia="SimSun"/>
                <w:sz w:val="20"/>
                <w:szCs w:val="20"/>
                <w:lang w:eastAsia="ja-JP"/>
              </w:rPr>
            </w:pPr>
            <w:r>
              <w:rPr>
                <w:rFonts w:eastAsia="SimSun"/>
                <w:sz w:val="20"/>
                <w:szCs w:val="20"/>
                <w:lang w:eastAsia="ja-JP"/>
              </w:rPr>
              <w:t>M</w:t>
            </w:r>
            <w:r w:rsidRPr="00FC7FE0">
              <w:rPr>
                <w:rFonts w:eastAsia="SimSun"/>
                <w:sz w:val="20"/>
                <w:szCs w:val="20"/>
                <w:lang w:eastAsia="ja-JP"/>
              </w:rPr>
              <w:t xml:space="preserve">onth and </w:t>
            </w:r>
            <w:r>
              <w:rPr>
                <w:rFonts w:eastAsia="SimSun"/>
                <w:sz w:val="20"/>
                <w:szCs w:val="20"/>
                <w:lang w:eastAsia="ja-JP"/>
              </w:rPr>
              <w:t>year of each care episode</w:t>
            </w:r>
            <w:r w:rsidRPr="00FC7FE0">
              <w:rPr>
                <w:rFonts w:eastAsia="SimSun"/>
                <w:sz w:val="20"/>
                <w:szCs w:val="20"/>
                <w:lang w:eastAsia="ja-JP"/>
              </w:rPr>
              <w:t xml:space="preserve"> was used to calculat</w:t>
            </w:r>
            <w:r>
              <w:rPr>
                <w:rFonts w:eastAsia="SimSun"/>
                <w:sz w:val="20"/>
                <w:szCs w:val="20"/>
                <w:lang w:eastAsia="ja-JP"/>
              </w:rPr>
              <w:t>e the number of unique episodes, and subsequently coded into three categories</w:t>
            </w:r>
            <w:r w:rsidRPr="00FC7FE0">
              <w:rPr>
                <w:rFonts w:eastAsia="SimSun"/>
                <w:sz w:val="20"/>
                <w:szCs w:val="20"/>
                <w:lang w:eastAsia="ja-JP"/>
              </w:rPr>
              <w:t xml:space="preserve"> </w:t>
            </w:r>
            <w:r w:rsidRPr="00966C84">
              <w:rPr>
                <w:rFonts w:eastAsia="SimSun"/>
                <w:sz w:val="20"/>
                <w:szCs w:val="20"/>
                <w:lang w:eastAsia="ja-JP"/>
              </w:rPr>
              <w:t xml:space="preserve">(1; 2-3; </w:t>
            </w:r>
            <w:r w:rsidRPr="00966C84">
              <w:rPr>
                <w:rFonts w:eastAsia="SimSun" w:cs="Calibri"/>
                <w:sz w:val="20"/>
                <w:szCs w:val="20"/>
                <w:lang w:eastAsia="ja-JP"/>
              </w:rPr>
              <w:t>≥4)</w:t>
            </w:r>
            <w:r>
              <w:rPr>
                <w:rFonts w:eastAsia="SimSun" w:cs="Calibri"/>
                <w:sz w:val="20"/>
                <w:szCs w:val="20"/>
                <w:lang w:eastAsia="ja-JP"/>
              </w:rPr>
              <w:t xml:space="preserve">. </w:t>
            </w:r>
            <w:r w:rsidRPr="00FC7FE0">
              <w:rPr>
                <w:rFonts w:eastAsia="SimSun"/>
                <w:sz w:val="20"/>
                <w:szCs w:val="20"/>
                <w:lang w:eastAsia="ja-JP"/>
              </w:rPr>
              <w:t>New episodes may relate to new referrals after a case closure, but also a change in the legal status of the child or a change in care provision such as a placement move</w:t>
            </w:r>
            <w:r>
              <w:rPr>
                <w:rFonts w:eastAsia="SimSun"/>
                <w:sz w:val="20"/>
                <w:szCs w:val="20"/>
                <w:lang w:eastAsia="ja-JP"/>
              </w:rPr>
              <w:t>.</w:t>
            </w:r>
          </w:p>
        </w:tc>
        <w:tc>
          <w:tcPr>
            <w:tcW w:w="1417" w:type="dxa"/>
            <w:tcBorders>
              <w:left w:val="nil"/>
              <w:right w:val="nil"/>
            </w:tcBorders>
          </w:tcPr>
          <w:p w14:paraId="3BDCBF08" w14:textId="77777777" w:rsidR="00B9578C" w:rsidRPr="00966C84" w:rsidRDefault="00B9578C" w:rsidP="00626713">
            <w:pPr>
              <w:spacing w:after="-1" w:afterAutospacing="1"/>
              <w:jc w:val="both"/>
              <w:rPr>
                <w:rFonts w:eastAsia="SimSun"/>
                <w:sz w:val="20"/>
                <w:szCs w:val="20"/>
                <w:lang w:eastAsia="ja-JP"/>
              </w:rPr>
            </w:pPr>
            <w:r w:rsidRPr="00966C84">
              <w:rPr>
                <w:rFonts w:eastAsia="SimSun"/>
                <w:sz w:val="20"/>
                <w:szCs w:val="20"/>
                <w:lang w:eastAsia="ja-JP"/>
              </w:rPr>
              <w:t>SOSCARE</w:t>
            </w:r>
          </w:p>
        </w:tc>
      </w:tr>
      <w:tr w:rsidR="00B9578C" w:rsidRPr="00966C84" w14:paraId="196F3206" w14:textId="77777777" w:rsidTr="009A1E57">
        <w:trPr>
          <w:trHeight w:val="566"/>
        </w:trPr>
        <w:tc>
          <w:tcPr>
            <w:tcW w:w="1985" w:type="dxa"/>
            <w:tcBorders>
              <w:left w:val="nil"/>
              <w:right w:val="nil"/>
            </w:tcBorders>
          </w:tcPr>
          <w:p w14:paraId="7FD0DF03" w14:textId="77777777" w:rsidR="00B9578C" w:rsidRPr="00966C84" w:rsidRDefault="00B9578C" w:rsidP="00626713">
            <w:pPr>
              <w:spacing w:after="100" w:afterAutospacing="1"/>
              <w:rPr>
                <w:rFonts w:eastAsia="SimSun"/>
                <w:sz w:val="20"/>
                <w:szCs w:val="20"/>
                <w:lang w:eastAsia="ja-JP"/>
              </w:rPr>
            </w:pPr>
            <w:r w:rsidRPr="00966C84">
              <w:rPr>
                <w:rFonts w:eastAsia="SimSun"/>
                <w:sz w:val="20"/>
                <w:szCs w:val="20"/>
                <w:lang w:eastAsia="ja-JP"/>
              </w:rPr>
              <w:t>Placement type</w:t>
            </w:r>
          </w:p>
        </w:tc>
        <w:tc>
          <w:tcPr>
            <w:tcW w:w="10348" w:type="dxa"/>
            <w:tcBorders>
              <w:left w:val="nil"/>
              <w:right w:val="nil"/>
            </w:tcBorders>
          </w:tcPr>
          <w:p w14:paraId="0B086E94" w14:textId="77777777" w:rsidR="00B9578C" w:rsidRPr="00966C84" w:rsidRDefault="00B9578C" w:rsidP="00626713">
            <w:pPr>
              <w:spacing w:after="-1" w:afterAutospacing="1"/>
              <w:rPr>
                <w:rFonts w:eastAsia="SimSun"/>
                <w:sz w:val="20"/>
                <w:szCs w:val="20"/>
                <w:lang w:eastAsia="ja-JP"/>
              </w:rPr>
            </w:pPr>
            <w:r w:rsidRPr="00966C84">
              <w:rPr>
                <w:rFonts w:eastAsia="SimSun"/>
                <w:sz w:val="20"/>
                <w:szCs w:val="20"/>
                <w:lang w:eastAsia="ja-JP"/>
              </w:rPr>
              <w:t>Most frequently recorded care placement type (kinship foster; non-kinship foster; children’s home; other)</w:t>
            </w:r>
            <w:r>
              <w:rPr>
                <w:rFonts w:eastAsia="SimSun"/>
                <w:sz w:val="20"/>
                <w:szCs w:val="20"/>
                <w:lang w:eastAsia="ja-JP"/>
              </w:rPr>
              <w:t xml:space="preserve">. Other </w:t>
            </w:r>
            <w:r w:rsidRPr="009734A1">
              <w:rPr>
                <w:rFonts w:eastAsia="SimSun"/>
                <w:sz w:val="20"/>
                <w:szCs w:val="20"/>
                <w:lang w:val="en-US" w:eastAsia="ja-JP"/>
              </w:rPr>
              <w:t xml:space="preserve">includes supported/temporary accommodation; juvenile justice/prison; </w:t>
            </w:r>
            <w:r>
              <w:rPr>
                <w:rFonts w:eastAsia="SimSun"/>
                <w:sz w:val="20"/>
                <w:szCs w:val="20"/>
                <w:lang w:val="en-US" w:eastAsia="ja-JP"/>
              </w:rPr>
              <w:t>at home with parent(s).</w:t>
            </w:r>
          </w:p>
        </w:tc>
        <w:tc>
          <w:tcPr>
            <w:tcW w:w="1417" w:type="dxa"/>
            <w:tcBorders>
              <w:left w:val="nil"/>
              <w:right w:val="nil"/>
            </w:tcBorders>
          </w:tcPr>
          <w:p w14:paraId="5D86DA3D" w14:textId="77777777" w:rsidR="00B9578C" w:rsidRPr="00966C84" w:rsidRDefault="00B9578C" w:rsidP="00626713">
            <w:pPr>
              <w:spacing w:after="-1" w:afterAutospacing="1"/>
              <w:jc w:val="both"/>
              <w:rPr>
                <w:rFonts w:eastAsia="SimSun"/>
                <w:sz w:val="20"/>
                <w:szCs w:val="20"/>
                <w:lang w:eastAsia="ja-JP"/>
              </w:rPr>
            </w:pPr>
            <w:r w:rsidRPr="00966C84">
              <w:rPr>
                <w:rFonts w:eastAsia="SimSun"/>
                <w:sz w:val="20"/>
                <w:szCs w:val="20"/>
                <w:lang w:eastAsia="ja-JP"/>
              </w:rPr>
              <w:t>SOSCARE</w:t>
            </w:r>
          </w:p>
        </w:tc>
      </w:tr>
    </w:tbl>
    <w:p w14:paraId="3ED00481" w14:textId="148AD8A7" w:rsidR="00B9578C" w:rsidRDefault="00B9578C"/>
    <w:p w14:paraId="2DA637EA" w14:textId="5CBBDD27" w:rsidR="00B9578C" w:rsidRDefault="00B9578C"/>
    <w:p w14:paraId="2E201682" w14:textId="200C3DF0" w:rsidR="00B9578C" w:rsidRDefault="00B9578C"/>
    <w:p w14:paraId="10B0E952" w14:textId="4418715B" w:rsidR="00B9578C" w:rsidRPr="008661A7" w:rsidRDefault="00B9578C" w:rsidP="722930FC">
      <w:pPr>
        <w:rPr>
          <w:i/>
          <w:iCs/>
          <w:sz w:val="20"/>
          <w:szCs w:val="20"/>
        </w:rPr>
      </w:pPr>
      <w:r w:rsidRPr="008661A7">
        <w:rPr>
          <w:b/>
          <w:sz w:val="20"/>
          <w:szCs w:val="20"/>
        </w:rPr>
        <w:t>Supplementary Tabl</w:t>
      </w:r>
      <w:r w:rsidR="006B71F5" w:rsidRPr="00B50B34">
        <w:rPr>
          <w:b/>
          <w:iCs/>
          <w:sz w:val="20"/>
          <w:szCs w:val="20"/>
        </w:rPr>
        <w:t>e</w:t>
      </w:r>
      <w:r w:rsidR="006B71F5" w:rsidRPr="008661A7">
        <w:rPr>
          <w:b/>
          <w:iCs/>
          <w:sz w:val="20"/>
          <w:szCs w:val="20"/>
        </w:rPr>
        <w:t xml:space="preserve"> </w:t>
      </w:r>
      <w:r w:rsidR="01BC2DAC" w:rsidRPr="008661A7">
        <w:rPr>
          <w:b/>
          <w:iCs/>
          <w:sz w:val="20"/>
          <w:szCs w:val="20"/>
        </w:rPr>
        <w:t>S1</w:t>
      </w:r>
      <w:r w:rsidRPr="008661A7">
        <w:rPr>
          <w:sz w:val="20"/>
          <w:szCs w:val="20"/>
        </w:rPr>
        <w:t xml:space="preserve"> </w:t>
      </w:r>
      <w:r w:rsidRPr="008661A7">
        <w:rPr>
          <w:i/>
          <w:iCs/>
          <w:sz w:val="20"/>
          <w:szCs w:val="20"/>
        </w:rPr>
        <w:t>continued</w:t>
      </w:r>
    </w:p>
    <w:tbl>
      <w:tblPr>
        <w:tblStyle w:val="TableGrid4"/>
        <w:tblW w:w="0" w:type="auto"/>
        <w:tblLook w:val="04A0" w:firstRow="1" w:lastRow="0" w:firstColumn="1" w:lastColumn="0" w:noHBand="0" w:noVBand="1"/>
      </w:tblPr>
      <w:tblGrid>
        <w:gridCol w:w="1985"/>
        <w:gridCol w:w="10348"/>
        <w:gridCol w:w="1417"/>
      </w:tblGrid>
      <w:tr w:rsidR="00DA0A69" w:rsidRPr="00966C84" w14:paraId="2BA49651" w14:textId="77777777" w:rsidTr="00626713">
        <w:tc>
          <w:tcPr>
            <w:tcW w:w="1985" w:type="dxa"/>
            <w:tcBorders>
              <w:left w:val="nil"/>
              <w:right w:val="nil"/>
            </w:tcBorders>
          </w:tcPr>
          <w:p w14:paraId="4B4632A5" w14:textId="4B064670" w:rsidR="00DA0A69" w:rsidRPr="00004A67" w:rsidRDefault="00DA0A69" w:rsidP="00626713">
            <w:pPr>
              <w:rPr>
                <w:b/>
                <w:i/>
                <w:sz w:val="20"/>
              </w:rPr>
            </w:pPr>
            <w:r w:rsidRPr="00DA0A69">
              <w:rPr>
                <w:b/>
                <w:i/>
                <w:sz w:val="20"/>
              </w:rPr>
              <w:t xml:space="preserve">Physical </w:t>
            </w:r>
            <w:r>
              <w:rPr>
                <w:b/>
                <w:i/>
                <w:sz w:val="20"/>
              </w:rPr>
              <w:t>d</w:t>
            </w:r>
            <w:r w:rsidRPr="00DA0A69">
              <w:rPr>
                <w:b/>
                <w:i/>
                <w:sz w:val="20"/>
              </w:rPr>
              <w:t>isability</w:t>
            </w:r>
          </w:p>
        </w:tc>
        <w:tc>
          <w:tcPr>
            <w:tcW w:w="10348" w:type="dxa"/>
            <w:tcBorders>
              <w:left w:val="nil"/>
              <w:right w:val="nil"/>
            </w:tcBorders>
          </w:tcPr>
          <w:p w14:paraId="5F11C0ED" w14:textId="46538369" w:rsidR="00DA0A69" w:rsidRPr="00004A67" w:rsidRDefault="00DA0A69" w:rsidP="00626713">
            <w:pPr>
              <w:rPr>
                <w:sz w:val="20"/>
              </w:rPr>
            </w:pPr>
            <w:r>
              <w:rPr>
                <w:sz w:val="20"/>
              </w:rPr>
              <w:t>Yes/N</w:t>
            </w:r>
            <w:r w:rsidRPr="00DA0A69">
              <w:rPr>
                <w:sz w:val="20"/>
              </w:rPr>
              <w:t xml:space="preserve">o indicator of the individual having a record </w:t>
            </w:r>
            <w:r>
              <w:rPr>
                <w:sz w:val="20"/>
              </w:rPr>
              <w:t xml:space="preserve">in </w:t>
            </w:r>
            <w:r w:rsidR="0040575B">
              <w:rPr>
                <w:sz w:val="20"/>
              </w:rPr>
              <w:t xml:space="preserve">the </w:t>
            </w:r>
            <w:r>
              <w:rPr>
                <w:sz w:val="20"/>
              </w:rPr>
              <w:t xml:space="preserve">SOSCARE </w:t>
            </w:r>
            <w:r w:rsidR="0040575B">
              <w:rPr>
                <w:sz w:val="20"/>
              </w:rPr>
              <w:t xml:space="preserve">“Physical Disability” module </w:t>
            </w:r>
            <w:r w:rsidRPr="00DA0A69">
              <w:rPr>
                <w:sz w:val="20"/>
              </w:rPr>
              <w:t>to identify potential disability</w:t>
            </w:r>
            <w:r w:rsidR="0040575B">
              <w:rPr>
                <w:sz w:val="20"/>
              </w:rPr>
              <w:t>. U</w:t>
            </w:r>
            <w:r>
              <w:rPr>
                <w:sz w:val="20"/>
              </w:rPr>
              <w:t>sed to delineate cohort.</w:t>
            </w:r>
          </w:p>
        </w:tc>
        <w:tc>
          <w:tcPr>
            <w:tcW w:w="1417" w:type="dxa"/>
            <w:tcBorders>
              <w:left w:val="nil"/>
              <w:right w:val="nil"/>
            </w:tcBorders>
          </w:tcPr>
          <w:p w14:paraId="47232DE5" w14:textId="324EAF26" w:rsidR="00DA0A69" w:rsidRPr="00004A67" w:rsidRDefault="00DA0A69" w:rsidP="00626713">
            <w:pPr>
              <w:rPr>
                <w:sz w:val="20"/>
              </w:rPr>
            </w:pPr>
            <w:r>
              <w:rPr>
                <w:sz w:val="20"/>
              </w:rPr>
              <w:t>SOSCARE</w:t>
            </w:r>
          </w:p>
        </w:tc>
      </w:tr>
      <w:tr w:rsidR="00DA0A69" w:rsidRPr="00966C84" w14:paraId="646E10E4" w14:textId="77777777" w:rsidTr="00626713">
        <w:tc>
          <w:tcPr>
            <w:tcW w:w="1985" w:type="dxa"/>
            <w:tcBorders>
              <w:left w:val="nil"/>
              <w:right w:val="nil"/>
            </w:tcBorders>
          </w:tcPr>
          <w:p w14:paraId="0EAEEDBA" w14:textId="32706506" w:rsidR="00DA0A69" w:rsidRPr="00004A67" w:rsidRDefault="00DA0A69" w:rsidP="00DA0A69">
            <w:pPr>
              <w:rPr>
                <w:b/>
                <w:i/>
                <w:sz w:val="20"/>
              </w:rPr>
            </w:pPr>
            <w:r>
              <w:rPr>
                <w:b/>
                <w:i/>
                <w:sz w:val="20"/>
              </w:rPr>
              <w:t>Mental disability</w:t>
            </w:r>
          </w:p>
        </w:tc>
        <w:tc>
          <w:tcPr>
            <w:tcW w:w="10348" w:type="dxa"/>
            <w:tcBorders>
              <w:left w:val="nil"/>
              <w:right w:val="nil"/>
            </w:tcBorders>
          </w:tcPr>
          <w:p w14:paraId="67E2B27D" w14:textId="4CB11D97" w:rsidR="00DA0A69" w:rsidRPr="00004A67" w:rsidRDefault="00DA0A69" w:rsidP="00DA0A69">
            <w:pPr>
              <w:rPr>
                <w:sz w:val="20"/>
              </w:rPr>
            </w:pPr>
            <w:r>
              <w:rPr>
                <w:sz w:val="20"/>
              </w:rPr>
              <w:t>Yes/N</w:t>
            </w:r>
            <w:r w:rsidRPr="00DA0A69">
              <w:rPr>
                <w:sz w:val="20"/>
              </w:rPr>
              <w:t>o indicator of the individual having a record</w:t>
            </w:r>
            <w:r>
              <w:rPr>
                <w:sz w:val="20"/>
              </w:rPr>
              <w:t xml:space="preserve"> in </w:t>
            </w:r>
            <w:r w:rsidR="0040575B">
              <w:rPr>
                <w:sz w:val="20"/>
              </w:rPr>
              <w:t xml:space="preserve">the </w:t>
            </w:r>
            <w:r>
              <w:rPr>
                <w:sz w:val="20"/>
              </w:rPr>
              <w:t>SOSCARE</w:t>
            </w:r>
            <w:r w:rsidR="00EB7025">
              <w:rPr>
                <w:sz w:val="20"/>
              </w:rPr>
              <w:t xml:space="preserve"> “</w:t>
            </w:r>
            <w:r w:rsidR="0040575B">
              <w:rPr>
                <w:sz w:val="20"/>
              </w:rPr>
              <w:t>Mental Disability” module</w:t>
            </w:r>
            <w:r w:rsidRPr="00DA0A69">
              <w:rPr>
                <w:sz w:val="20"/>
              </w:rPr>
              <w:t xml:space="preserve"> to identify potential disability</w:t>
            </w:r>
            <w:r>
              <w:rPr>
                <w:sz w:val="20"/>
              </w:rPr>
              <w:t>. Used to delineate cohort.</w:t>
            </w:r>
          </w:p>
        </w:tc>
        <w:tc>
          <w:tcPr>
            <w:tcW w:w="1417" w:type="dxa"/>
            <w:tcBorders>
              <w:left w:val="nil"/>
              <w:right w:val="nil"/>
            </w:tcBorders>
          </w:tcPr>
          <w:p w14:paraId="7EE64EE8" w14:textId="7BCAB93B" w:rsidR="00DA0A69" w:rsidRPr="00004A67" w:rsidRDefault="00DA0A69" w:rsidP="00DA0A69">
            <w:pPr>
              <w:rPr>
                <w:sz w:val="20"/>
              </w:rPr>
            </w:pPr>
            <w:r>
              <w:rPr>
                <w:sz w:val="20"/>
              </w:rPr>
              <w:t>SOSCARE</w:t>
            </w:r>
          </w:p>
        </w:tc>
      </w:tr>
      <w:tr w:rsidR="00DA0A69" w:rsidRPr="00966C84" w14:paraId="40E141D8" w14:textId="77777777" w:rsidTr="00626713">
        <w:tc>
          <w:tcPr>
            <w:tcW w:w="1985" w:type="dxa"/>
            <w:tcBorders>
              <w:left w:val="nil"/>
              <w:right w:val="nil"/>
            </w:tcBorders>
          </w:tcPr>
          <w:p w14:paraId="2AFDBD1A" w14:textId="5DEE9146" w:rsidR="00DA0A69" w:rsidRPr="00004A67" w:rsidRDefault="0040575B" w:rsidP="00DA0A69">
            <w:pPr>
              <w:rPr>
                <w:b/>
                <w:i/>
                <w:sz w:val="20"/>
              </w:rPr>
            </w:pPr>
            <w:r>
              <w:rPr>
                <w:b/>
                <w:i/>
                <w:sz w:val="20"/>
              </w:rPr>
              <w:t>Learning</w:t>
            </w:r>
            <w:r w:rsidR="00DA0A69">
              <w:rPr>
                <w:b/>
                <w:i/>
                <w:sz w:val="20"/>
              </w:rPr>
              <w:t xml:space="preserve"> disability</w:t>
            </w:r>
          </w:p>
        </w:tc>
        <w:tc>
          <w:tcPr>
            <w:tcW w:w="10348" w:type="dxa"/>
            <w:tcBorders>
              <w:left w:val="nil"/>
              <w:right w:val="nil"/>
            </w:tcBorders>
          </w:tcPr>
          <w:p w14:paraId="634C46F0" w14:textId="2E4E5A60" w:rsidR="00DA0A69" w:rsidRPr="00004A67" w:rsidRDefault="00DA0A69" w:rsidP="00DA0A69">
            <w:pPr>
              <w:rPr>
                <w:sz w:val="20"/>
              </w:rPr>
            </w:pPr>
            <w:r>
              <w:rPr>
                <w:sz w:val="20"/>
              </w:rPr>
              <w:t>Yes/N</w:t>
            </w:r>
            <w:r w:rsidRPr="00DA0A69">
              <w:rPr>
                <w:sz w:val="20"/>
              </w:rPr>
              <w:t xml:space="preserve">o indicator of the individual having a record </w:t>
            </w:r>
            <w:r>
              <w:rPr>
                <w:sz w:val="20"/>
              </w:rPr>
              <w:t xml:space="preserve">in </w:t>
            </w:r>
            <w:r w:rsidR="0040575B">
              <w:rPr>
                <w:sz w:val="20"/>
              </w:rPr>
              <w:t xml:space="preserve">the </w:t>
            </w:r>
            <w:r>
              <w:rPr>
                <w:sz w:val="20"/>
              </w:rPr>
              <w:t xml:space="preserve">SOSCARE </w:t>
            </w:r>
            <w:r w:rsidR="0040575B">
              <w:rPr>
                <w:sz w:val="20"/>
              </w:rPr>
              <w:t xml:space="preserve">“Learning Disability” module </w:t>
            </w:r>
            <w:r w:rsidRPr="00DA0A69">
              <w:rPr>
                <w:sz w:val="20"/>
              </w:rPr>
              <w:t>to identify potential disability</w:t>
            </w:r>
            <w:r>
              <w:rPr>
                <w:sz w:val="20"/>
              </w:rPr>
              <w:t>. Used to delineate cohort.</w:t>
            </w:r>
          </w:p>
        </w:tc>
        <w:tc>
          <w:tcPr>
            <w:tcW w:w="1417" w:type="dxa"/>
            <w:tcBorders>
              <w:left w:val="nil"/>
              <w:right w:val="nil"/>
            </w:tcBorders>
          </w:tcPr>
          <w:p w14:paraId="004A63BF" w14:textId="0F9ED59C" w:rsidR="00DA0A69" w:rsidRPr="00004A67" w:rsidRDefault="00DA0A69" w:rsidP="00DA0A69">
            <w:pPr>
              <w:rPr>
                <w:sz w:val="20"/>
              </w:rPr>
            </w:pPr>
            <w:r>
              <w:rPr>
                <w:sz w:val="20"/>
              </w:rPr>
              <w:t>SOSCARE</w:t>
            </w:r>
          </w:p>
        </w:tc>
      </w:tr>
      <w:tr w:rsidR="00DA0A69" w:rsidRPr="00966C84" w14:paraId="536135A9" w14:textId="77777777" w:rsidTr="00626713">
        <w:tc>
          <w:tcPr>
            <w:tcW w:w="1985" w:type="dxa"/>
            <w:tcBorders>
              <w:left w:val="nil"/>
              <w:right w:val="nil"/>
            </w:tcBorders>
          </w:tcPr>
          <w:p w14:paraId="59DEDE2E" w14:textId="77777777" w:rsidR="00DA0A69" w:rsidRPr="00004A67" w:rsidRDefault="00DA0A69" w:rsidP="00DA0A69">
            <w:pPr>
              <w:rPr>
                <w:b/>
                <w:i/>
                <w:sz w:val="20"/>
              </w:rPr>
            </w:pPr>
            <w:r w:rsidRPr="00004A67">
              <w:rPr>
                <w:b/>
                <w:i/>
                <w:sz w:val="20"/>
              </w:rPr>
              <w:t xml:space="preserve">Mental </w:t>
            </w:r>
            <w:r>
              <w:rPr>
                <w:b/>
                <w:i/>
                <w:sz w:val="20"/>
              </w:rPr>
              <w:t>ill-</w:t>
            </w:r>
            <w:r w:rsidRPr="00004A67">
              <w:rPr>
                <w:b/>
                <w:i/>
                <w:sz w:val="20"/>
              </w:rPr>
              <w:t xml:space="preserve">health </w:t>
            </w:r>
            <w:r>
              <w:rPr>
                <w:b/>
                <w:i/>
                <w:sz w:val="20"/>
              </w:rPr>
              <w:t>indicator</w:t>
            </w:r>
          </w:p>
        </w:tc>
        <w:tc>
          <w:tcPr>
            <w:tcW w:w="10348" w:type="dxa"/>
            <w:tcBorders>
              <w:left w:val="nil"/>
              <w:right w:val="nil"/>
            </w:tcBorders>
          </w:tcPr>
          <w:p w14:paraId="55FE67EC" w14:textId="77777777" w:rsidR="00DA0A69" w:rsidRPr="00004A67" w:rsidRDefault="00DA0A69" w:rsidP="00DA0A69">
            <w:pPr>
              <w:rPr>
                <w:sz w:val="20"/>
              </w:rPr>
            </w:pPr>
          </w:p>
        </w:tc>
        <w:tc>
          <w:tcPr>
            <w:tcW w:w="1417" w:type="dxa"/>
            <w:tcBorders>
              <w:left w:val="nil"/>
              <w:right w:val="nil"/>
            </w:tcBorders>
          </w:tcPr>
          <w:p w14:paraId="1BE5A114" w14:textId="77777777" w:rsidR="00DA0A69" w:rsidRPr="00004A67" w:rsidRDefault="00DA0A69" w:rsidP="00DA0A69">
            <w:pPr>
              <w:rPr>
                <w:sz w:val="20"/>
              </w:rPr>
            </w:pPr>
          </w:p>
        </w:tc>
      </w:tr>
      <w:tr w:rsidR="00DA0A69" w:rsidRPr="00966C84" w14:paraId="7F4430F6" w14:textId="77777777" w:rsidTr="002C6933">
        <w:trPr>
          <w:trHeight w:val="591"/>
        </w:trPr>
        <w:tc>
          <w:tcPr>
            <w:tcW w:w="1985" w:type="dxa"/>
            <w:tcBorders>
              <w:left w:val="nil"/>
              <w:right w:val="nil"/>
            </w:tcBorders>
          </w:tcPr>
          <w:p w14:paraId="5354737A" w14:textId="77777777" w:rsidR="00DA0A69" w:rsidRPr="00004A67" w:rsidRDefault="00DA0A69" w:rsidP="00DA0A69">
            <w:pPr>
              <w:rPr>
                <w:sz w:val="20"/>
              </w:rPr>
            </w:pPr>
            <w:r w:rsidRPr="00004A67">
              <w:rPr>
                <w:sz w:val="20"/>
              </w:rPr>
              <w:t>Antidepressants</w:t>
            </w:r>
          </w:p>
        </w:tc>
        <w:tc>
          <w:tcPr>
            <w:tcW w:w="10348" w:type="dxa"/>
            <w:tcBorders>
              <w:left w:val="nil"/>
              <w:right w:val="nil"/>
            </w:tcBorders>
          </w:tcPr>
          <w:p w14:paraId="69DEFC6A" w14:textId="77777777" w:rsidR="00DA0A69" w:rsidRPr="00004A67" w:rsidRDefault="00DA0A69" w:rsidP="00DA0A69">
            <w:pPr>
              <w:rPr>
                <w:sz w:val="20"/>
              </w:rPr>
            </w:pPr>
            <w:r w:rsidRPr="00004A67">
              <w:rPr>
                <w:sz w:val="20"/>
              </w:rPr>
              <w:t xml:space="preserve">Yes/No indicator for ever/never prescribed </w:t>
            </w:r>
            <w:r>
              <w:rPr>
                <w:sz w:val="20"/>
              </w:rPr>
              <w:t xml:space="preserve">at least one prescription or item </w:t>
            </w:r>
            <w:r w:rsidRPr="00004A67">
              <w:rPr>
                <w:sz w:val="20"/>
              </w:rPr>
              <w:t>in 2015</w:t>
            </w:r>
            <w:r>
              <w:rPr>
                <w:sz w:val="20"/>
              </w:rPr>
              <w:t xml:space="preserve">. </w:t>
            </w:r>
            <w:r w:rsidRPr="002D1C00">
              <w:rPr>
                <w:sz w:val="20"/>
              </w:rPr>
              <w:t xml:space="preserve">British National Formulary 69 (BNF) </w:t>
            </w:r>
            <w:r>
              <w:rPr>
                <w:sz w:val="20"/>
              </w:rPr>
              <w:t>classifications 4.3.1; 4.3.2; 4.3.3; &amp; 4.3.4</w:t>
            </w:r>
          </w:p>
        </w:tc>
        <w:tc>
          <w:tcPr>
            <w:tcW w:w="1417" w:type="dxa"/>
            <w:tcBorders>
              <w:left w:val="nil"/>
              <w:right w:val="nil"/>
            </w:tcBorders>
          </w:tcPr>
          <w:p w14:paraId="2A865A55" w14:textId="77777777" w:rsidR="00DA0A69" w:rsidRPr="00004A67" w:rsidRDefault="00DA0A69" w:rsidP="00DA0A69">
            <w:pPr>
              <w:rPr>
                <w:sz w:val="20"/>
              </w:rPr>
            </w:pPr>
            <w:r w:rsidRPr="00004A67">
              <w:rPr>
                <w:sz w:val="20"/>
              </w:rPr>
              <w:t>EPD</w:t>
            </w:r>
          </w:p>
        </w:tc>
      </w:tr>
      <w:tr w:rsidR="00DA0A69" w:rsidRPr="00966C84" w14:paraId="6C744EC7" w14:textId="77777777" w:rsidTr="002C6933">
        <w:trPr>
          <w:trHeight w:val="414"/>
        </w:trPr>
        <w:tc>
          <w:tcPr>
            <w:tcW w:w="1985" w:type="dxa"/>
            <w:tcBorders>
              <w:left w:val="nil"/>
              <w:right w:val="nil"/>
            </w:tcBorders>
          </w:tcPr>
          <w:p w14:paraId="76175582" w14:textId="77777777" w:rsidR="00DA0A69" w:rsidRPr="00004A67" w:rsidRDefault="00DA0A69" w:rsidP="00DA0A69">
            <w:pPr>
              <w:rPr>
                <w:sz w:val="20"/>
              </w:rPr>
            </w:pPr>
            <w:r w:rsidRPr="00004A67">
              <w:rPr>
                <w:sz w:val="20"/>
              </w:rPr>
              <w:t>Anxiolytics</w:t>
            </w:r>
          </w:p>
        </w:tc>
        <w:tc>
          <w:tcPr>
            <w:tcW w:w="10348" w:type="dxa"/>
            <w:tcBorders>
              <w:left w:val="nil"/>
              <w:right w:val="nil"/>
            </w:tcBorders>
          </w:tcPr>
          <w:p w14:paraId="78385E13" w14:textId="77777777" w:rsidR="00DA0A69" w:rsidRPr="00004A67" w:rsidRDefault="00DA0A69" w:rsidP="00DA0A69">
            <w:pPr>
              <w:rPr>
                <w:sz w:val="20"/>
              </w:rPr>
            </w:pPr>
            <w:r w:rsidRPr="00004A67">
              <w:rPr>
                <w:sz w:val="20"/>
              </w:rPr>
              <w:t xml:space="preserve">Yes/No indicator for ever/never prescribed </w:t>
            </w:r>
            <w:r>
              <w:rPr>
                <w:sz w:val="20"/>
              </w:rPr>
              <w:t>at least one prescription or item</w:t>
            </w:r>
            <w:r w:rsidRPr="00004A67">
              <w:rPr>
                <w:sz w:val="20"/>
              </w:rPr>
              <w:t xml:space="preserve"> in 2015</w:t>
            </w:r>
            <w:r>
              <w:rPr>
                <w:sz w:val="20"/>
              </w:rPr>
              <w:t xml:space="preserve">. </w:t>
            </w:r>
            <w:r w:rsidRPr="00941083">
              <w:rPr>
                <w:sz w:val="20"/>
              </w:rPr>
              <w:t>BNF 4.1.2</w:t>
            </w:r>
          </w:p>
        </w:tc>
        <w:tc>
          <w:tcPr>
            <w:tcW w:w="1417" w:type="dxa"/>
            <w:tcBorders>
              <w:left w:val="nil"/>
              <w:right w:val="nil"/>
            </w:tcBorders>
          </w:tcPr>
          <w:p w14:paraId="257DF6DD" w14:textId="77777777" w:rsidR="00DA0A69" w:rsidRPr="00004A67" w:rsidRDefault="00DA0A69" w:rsidP="00DA0A69">
            <w:pPr>
              <w:rPr>
                <w:sz w:val="20"/>
              </w:rPr>
            </w:pPr>
            <w:r w:rsidRPr="00004A67">
              <w:rPr>
                <w:sz w:val="20"/>
              </w:rPr>
              <w:t>EPD</w:t>
            </w:r>
          </w:p>
        </w:tc>
      </w:tr>
      <w:tr w:rsidR="00DA0A69" w:rsidRPr="00966C84" w14:paraId="44630CA9" w14:textId="77777777" w:rsidTr="002C6933">
        <w:trPr>
          <w:trHeight w:val="704"/>
        </w:trPr>
        <w:tc>
          <w:tcPr>
            <w:tcW w:w="1985" w:type="dxa"/>
            <w:tcBorders>
              <w:left w:val="nil"/>
              <w:right w:val="nil"/>
            </w:tcBorders>
          </w:tcPr>
          <w:p w14:paraId="44FF27F9" w14:textId="77777777" w:rsidR="00DA0A69" w:rsidRPr="00004A67" w:rsidRDefault="00DA0A69" w:rsidP="00DA0A69">
            <w:pPr>
              <w:rPr>
                <w:sz w:val="20"/>
              </w:rPr>
            </w:pPr>
            <w:r w:rsidRPr="00004A67">
              <w:rPr>
                <w:sz w:val="20"/>
              </w:rPr>
              <w:t>Antipsychotics</w:t>
            </w:r>
          </w:p>
        </w:tc>
        <w:tc>
          <w:tcPr>
            <w:tcW w:w="10348" w:type="dxa"/>
            <w:tcBorders>
              <w:left w:val="nil"/>
              <w:right w:val="nil"/>
            </w:tcBorders>
          </w:tcPr>
          <w:p w14:paraId="0BAD42B8" w14:textId="77777777" w:rsidR="00DA0A69" w:rsidRPr="00EB7025" w:rsidRDefault="00DA0A69" w:rsidP="00DA0A69">
            <w:pPr>
              <w:rPr>
                <w:sz w:val="20"/>
                <w:szCs w:val="20"/>
              </w:rPr>
            </w:pPr>
            <w:r w:rsidRPr="00EB7025">
              <w:rPr>
                <w:sz w:val="20"/>
                <w:szCs w:val="20"/>
              </w:rPr>
              <w:t>Yes/No indicator for ever/never prescribed at least one prescription or item at least one prescription or item in 2015. BNF 4.2.1 &amp; 4.2.2</w:t>
            </w:r>
          </w:p>
        </w:tc>
        <w:tc>
          <w:tcPr>
            <w:tcW w:w="1417" w:type="dxa"/>
            <w:tcBorders>
              <w:left w:val="nil"/>
              <w:right w:val="nil"/>
            </w:tcBorders>
          </w:tcPr>
          <w:p w14:paraId="10E5365B" w14:textId="77777777" w:rsidR="00DA0A69" w:rsidRPr="00004A67" w:rsidRDefault="00DA0A69" w:rsidP="00DA0A69">
            <w:pPr>
              <w:rPr>
                <w:sz w:val="20"/>
              </w:rPr>
            </w:pPr>
            <w:r w:rsidRPr="00004A67">
              <w:rPr>
                <w:sz w:val="20"/>
              </w:rPr>
              <w:t>EPD</w:t>
            </w:r>
          </w:p>
        </w:tc>
      </w:tr>
      <w:tr w:rsidR="00DA0A69" w:rsidRPr="00966C84" w14:paraId="496FF65D" w14:textId="77777777" w:rsidTr="002C6933">
        <w:trPr>
          <w:trHeight w:val="430"/>
        </w:trPr>
        <w:tc>
          <w:tcPr>
            <w:tcW w:w="1985" w:type="dxa"/>
            <w:tcBorders>
              <w:left w:val="nil"/>
              <w:right w:val="nil"/>
            </w:tcBorders>
          </w:tcPr>
          <w:p w14:paraId="26E993CD" w14:textId="77777777" w:rsidR="00DA0A69" w:rsidRPr="00004A67" w:rsidRDefault="00DA0A69" w:rsidP="00DA0A69">
            <w:pPr>
              <w:rPr>
                <w:sz w:val="20"/>
              </w:rPr>
            </w:pPr>
            <w:r w:rsidRPr="00004A67">
              <w:rPr>
                <w:sz w:val="20"/>
              </w:rPr>
              <w:t>Hypnotics</w:t>
            </w:r>
          </w:p>
        </w:tc>
        <w:tc>
          <w:tcPr>
            <w:tcW w:w="10348" w:type="dxa"/>
            <w:tcBorders>
              <w:left w:val="nil"/>
              <w:right w:val="nil"/>
            </w:tcBorders>
          </w:tcPr>
          <w:p w14:paraId="69D7E23B" w14:textId="77777777" w:rsidR="00DA0A69" w:rsidRPr="00004A67" w:rsidRDefault="00DA0A69" w:rsidP="00DA0A69">
            <w:pPr>
              <w:rPr>
                <w:sz w:val="20"/>
              </w:rPr>
            </w:pPr>
            <w:r w:rsidRPr="00004A67">
              <w:rPr>
                <w:sz w:val="20"/>
              </w:rPr>
              <w:t xml:space="preserve">Yes/No indicator for ever/never prescribed </w:t>
            </w:r>
            <w:r>
              <w:rPr>
                <w:sz w:val="20"/>
              </w:rPr>
              <w:t>at least one prescription or item</w:t>
            </w:r>
            <w:r w:rsidRPr="00004A67">
              <w:rPr>
                <w:sz w:val="20"/>
              </w:rPr>
              <w:t xml:space="preserve"> in 2015</w:t>
            </w:r>
            <w:r>
              <w:rPr>
                <w:sz w:val="20"/>
              </w:rPr>
              <w:t xml:space="preserve">. </w:t>
            </w:r>
            <w:r w:rsidRPr="00EB7025">
              <w:rPr>
                <w:sz w:val="20"/>
                <w:szCs w:val="20"/>
              </w:rPr>
              <w:t>BNF 4.1.1</w:t>
            </w:r>
          </w:p>
        </w:tc>
        <w:tc>
          <w:tcPr>
            <w:tcW w:w="1417" w:type="dxa"/>
            <w:tcBorders>
              <w:left w:val="nil"/>
              <w:right w:val="nil"/>
            </w:tcBorders>
          </w:tcPr>
          <w:p w14:paraId="1A0EEB92" w14:textId="77777777" w:rsidR="00DA0A69" w:rsidRPr="00004A67" w:rsidRDefault="00DA0A69" w:rsidP="00DA0A69">
            <w:pPr>
              <w:rPr>
                <w:sz w:val="20"/>
              </w:rPr>
            </w:pPr>
            <w:r w:rsidRPr="00004A67">
              <w:rPr>
                <w:sz w:val="20"/>
              </w:rPr>
              <w:t>EPD</w:t>
            </w:r>
          </w:p>
        </w:tc>
      </w:tr>
      <w:tr w:rsidR="00DA0A69" w:rsidRPr="00966C84" w14:paraId="2E14317D" w14:textId="77777777" w:rsidTr="00626713">
        <w:tc>
          <w:tcPr>
            <w:tcW w:w="1985" w:type="dxa"/>
            <w:tcBorders>
              <w:left w:val="nil"/>
              <w:right w:val="nil"/>
            </w:tcBorders>
          </w:tcPr>
          <w:p w14:paraId="674B1BB5" w14:textId="77777777" w:rsidR="00DA0A69" w:rsidRPr="00004A67" w:rsidRDefault="00DA0A69" w:rsidP="00DA0A69">
            <w:pPr>
              <w:rPr>
                <w:sz w:val="20"/>
              </w:rPr>
            </w:pPr>
            <w:r w:rsidRPr="00004A67">
              <w:rPr>
                <w:sz w:val="20"/>
              </w:rPr>
              <w:t>Any psychotropic medication</w:t>
            </w:r>
          </w:p>
        </w:tc>
        <w:tc>
          <w:tcPr>
            <w:tcW w:w="10348" w:type="dxa"/>
            <w:tcBorders>
              <w:left w:val="nil"/>
              <w:right w:val="nil"/>
            </w:tcBorders>
          </w:tcPr>
          <w:p w14:paraId="4772EB5C" w14:textId="77777777" w:rsidR="00DA0A69" w:rsidRPr="00004A67" w:rsidRDefault="00DA0A69" w:rsidP="00DA0A69">
            <w:pPr>
              <w:rPr>
                <w:sz w:val="20"/>
              </w:rPr>
            </w:pPr>
            <w:r w:rsidRPr="00004A67">
              <w:rPr>
                <w:sz w:val="20"/>
              </w:rPr>
              <w:t xml:space="preserve">Yes/No indicator for ever/never prescribed any </w:t>
            </w:r>
            <w:r>
              <w:rPr>
                <w:sz w:val="20"/>
              </w:rPr>
              <w:t xml:space="preserve">of the four categories of </w:t>
            </w:r>
            <w:r w:rsidRPr="00004A67">
              <w:rPr>
                <w:sz w:val="20"/>
              </w:rPr>
              <w:t>psychotropic medication in 2015</w:t>
            </w:r>
          </w:p>
        </w:tc>
        <w:tc>
          <w:tcPr>
            <w:tcW w:w="1417" w:type="dxa"/>
            <w:tcBorders>
              <w:left w:val="nil"/>
              <w:right w:val="nil"/>
            </w:tcBorders>
          </w:tcPr>
          <w:p w14:paraId="1EBC04E3" w14:textId="77777777" w:rsidR="00DA0A69" w:rsidRPr="00004A67" w:rsidRDefault="00DA0A69" w:rsidP="00DA0A69">
            <w:pPr>
              <w:rPr>
                <w:sz w:val="20"/>
              </w:rPr>
            </w:pPr>
            <w:r w:rsidRPr="00004A67">
              <w:rPr>
                <w:sz w:val="20"/>
              </w:rPr>
              <w:t>EPD</w:t>
            </w:r>
          </w:p>
        </w:tc>
      </w:tr>
      <w:tr w:rsidR="00DA0A69" w:rsidRPr="00966C84" w14:paraId="559866C2" w14:textId="77777777" w:rsidTr="00626713">
        <w:tc>
          <w:tcPr>
            <w:tcW w:w="1985" w:type="dxa"/>
            <w:tcBorders>
              <w:left w:val="nil"/>
              <w:right w:val="nil"/>
            </w:tcBorders>
          </w:tcPr>
          <w:p w14:paraId="57BB44A7" w14:textId="77777777" w:rsidR="00DA0A69" w:rsidRPr="00004A67" w:rsidRDefault="00DA0A69" w:rsidP="00DA0A69">
            <w:pPr>
              <w:rPr>
                <w:sz w:val="20"/>
              </w:rPr>
            </w:pPr>
            <w:r w:rsidRPr="00004A67">
              <w:rPr>
                <w:sz w:val="20"/>
              </w:rPr>
              <w:t xml:space="preserve">Self-harm or </w:t>
            </w:r>
            <w:r>
              <w:rPr>
                <w:sz w:val="20"/>
              </w:rPr>
              <w:t>self-harm/</w:t>
            </w:r>
            <w:r w:rsidRPr="00004A67">
              <w:rPr>
                <w:sz w:val="20"/>
              </w:rPr>
              <w:t>suicidal ideation</w:t>
            </w:r>
          </w:p>
        </w:tc>
        <w:tc>
          <w:tcPr>
            <w:tcW w:w="10348" w:type="dxa"/>
            <w:tcBorders>
              <w:left w:val="nil"/>
              <w:right w:val="nil"/>
            </w:tcBorders>
          </w:tcPr>
          <w:p w14:paraId="46459601" w14:textId="77777777" w:rsidR="00DA0A69" w:rsidRPr="00004A67" w:rsidRDefault="00DA0A69" w:rsidP="00DA0A69">
            <w:pPr>
              <w:rPr>
                <w:sz w:val="20"/>
              </w:rPr>
            </w:pPr>
            <w:r w:rsidRPr="00004A67">
              <w:rPr>
                <w:sz w:val="20"/>
              </w:rPr>
              <w:t xml:space="preserve">Yes/No </w:t>
            </w:r>
            <w:r>
              <w:rPr>
                <w:sz w:val="20"/>
              </w:rPr>
              <w:t xml:space="preserve">indicator for ever/never </w:t>
            </w:r>
            <w:r w:rsidRPr="00004A67">
              <w:rPr>
                <w:sz w:val="20"/>
              </w:rPr>
              <w:t xml:space="preserve">presented to </w:t>
            </w:r>
            <w:r>
              <w:rPr>
                <w:sz w:val="20"/>
              </w:rPr>
              <w:t xml:space="preserve">an Emergency Department in 2015 following </w:t>
            </w:r>
            <w:r w:rsidRPr="00004A67">
              <w:rPr>
                <w:sz w:val="20"/>
              </w:rPr>
              <w:t xml:space="preserve">self-harm or </w:t>
            </w:r>
            <w:r>
              <w:rPr>
                <w:sz w:val="20"/>
              </w:rPr>
              <w:t>self-harm/suicidal ideation</w:t>
            </w:r>
          </w:p>
        </w:tc>
        <w:tc>
          <w:tcPr>
            <w:tcW w:w="1417" w:type="dxa"/>
            <w:tcBorders>
              <w:left w:val="nil"/>
              <w:right w:val="nil"/>
            </w:tcBorders>
          </w:tcPr>
          <w:p w14:paraId="76988E4F" w14:textId="77777777" w:rsidR="00DA0A69" w:rsidRPr="00004A67" w:rsidRDefault="00DA0A69" w:rsidP="00DA0A69">
            <w:pPr>
              <w:rPr>
                <w:sz w:val="20"/>
              </w:rPr>
            </w:pPr>
            <w:r w:rsidRPr="00004A67">
              <w:rPr>
                <w:sz w:val="20"/>
              </w:rPr>
              <w:t>NIRSH</w:t>
            </w:r>
          </w:p>
        </w:tc>
      </w:tr>
      <w:tr w:rsidR="00DA0A69" w:rsidRPr="00966C84" w14:paraId="71BD7C3B" w14:textId="77777777" w:rsidTr="00626713">
        <w:tc>
          <w:tcPr>
            <w:tcW w:w="1985" w:type="dxa"/>
            <w:tcBorders>
              <w:left w:val="nil"/>
              <w:right w:val="nil"/>
            </w:tcBorders>
          </w:tcPr>
          <w:p w14:paraId="52AAF645" w14:textId="77777777" w:rsidR="00DA0A69" w:rsidRPr="00004A67" w:rsidRDefault="00DA0A69" w:rsidP="00DA0A69">
            <w:pPr>
              <w:rPr>
                <w:rFonts w:eastAsia="Times New Roman" w:cs="Arial"/>
                <w:sz w:val="20"/>
              </w:rPr>
            </w:pPr>
            <w:r w:rsidRPr="00004A67">
              <w:rPr>
                <w:sz w:val="20"/>
              </w:rPr>
              <w:t>Psychiatric hospital admission</w:t>
            </w:r>
          </w:p>
        </w:tc>
        <w:tc>
          <w:tcPr>
            <w:tcW w:w="10348" w:type="dxa"/>
            <w:tcBorders>
              <w:left w:val="nil"/>
              <w:right w:val="nil"/>
            </w:tcBorders>
          </w:tcPr>
          <w:p w14:paraId="03B68E16" w14:textId="66354757" w:rsidR="00DA0A69" w:rsidRPr="00004A67" w:rsidRDefault="00DA0A69" w:rsidP="00DA0A69">
            <w:pPr>
              <w:rPr>
                <w:sz w:val="20"/>
              </w:rPr>
            </w:pPr>
            <w:r w:rsidRPr="00004A67">
              <w:rPr>
                <w:sz w:val="20"/>
              </w:rPr>
              <w:t xml:space="preserve">Yes/No indicator for ever/never </w:t>
            </w:r>
            <w:r>
              <w:rPr>
                <w:sz w:val="20"/>
              </w:rPr>
              <w:t xml:space="preserve">experienced a </w:t>
            </w:r>
            <w:r w:rsidRPr="00004A67">
              <w:rPr>
                <w:sz w:val="20"/>
              </w:rPr>
              <w:t>psychiatric hospital admission</w:t>
            </w:r>
            <w:r>
              <w:rPr>
                <w:sz w:val="20"/>
              </w:rPr>
              <w:t xml:space="preserve"> to a general ward or specialist unit </w:t>
            </w:r>
            <w:r w:rsidRPr="00004A67">
              <w:rPr>
                <w:sz w:val="20"/>
              </w:rPr>
              <w:t>in 2015</w:t>
            </w:r>
            <w:r>
              <w:rPr>
                <w:sz w:val="20"/>
              </w:rPr>
              <w:t xml:space="preserve">. </w:t>
            </w:r>
          </w:p>
        </w:tc>
        <w:tc>
          <w:tcPr>
            <w:tcW w:w="1417" w:type="dxa"/>
            <w:tcBorders>
              <w:left w:val="nil"/>
              <w:right w:val="nil"/>
            </w:tcBorders>
          </w:tcPr>
          <w:p w14:paraId="0D758D61" w14:textId="77777777" w:rsidR="00DA0A69" w:rsidRPr="00004A67" w:rsidRDefault="00DA0A69" w:rsidP="00DA0A69">
            <w:pPr>
              <w:rPr>
                <w:sz w:val="20"/>
              </w:rPr>
            </w:pPr>
            <w:r w:rsidRPr="00004A67">
              <w:rPr>
                <w:sz w:val="20"/>
              </w:rPr>
              <w:t>Hospital data</w:t>
            </w:r>
          </w:p>
        </w:tc>
      </w:tr>
      <w:tr w:rsidR="00DA0A69" w:rsidRPr="00966C84" w14:paraId="63A3607C" w14:textId="77777777" w:rsidTr="00626713">
        <w:tc>
          <w:tcPr>
            <w:tcW w:w="1985" w:type="dxa"/>
            <w:tcBorders>
              <w:left w:val="nil"/>
              <w:right w:val="nil"/>
            </w:tcBorders>
          </w:tcPr>
          <w:p w14:paraId="0D53D3E8" w14:textId="77777777" w:rsidR="00DA0A69" w:rsidRPr="00004A67" w:rsidRDefault="00DA0A69" w:rsidP="00DA0A69">
            <w:pPr>
              <w:rPr>
                <w:sz w:val="20"/>
              </w:rPr>
            </w:pPr>
            <w:r w:rsidRPr="00004A67">
              <w:rPr>
                <w:sz w:val="20"/>
              </w:rPr>
              <w:t xml:space="preserve">Any mental </w:t>
            </w:r>
            <w:r>
              <w:rPr>
                <w:sz w:val="20"/>
              </w:rPr>
              <w:t>ill-</w:t>
            </w:r>
            <w:r w:rsidRPr="00004A67">
              <w:rPr>
                <w:sz w:val="20"/>
              </w:rPr>
              <w:t xml:space="preserve">health </w:t>
            </w:r>
          </w:p>
        </w:tc>
        <w:tc>
          <w:tcPr>
            <w:tcW w:w="10348" w:type="dxa"/>
            <w:tcBorders>
              <w:left w:val="nil"/>
              <w:right w:val="nil"/>
            </w:tcBorders>
          </w:tcPr>
          <w:p w14:paraId="63F5111E" w14:textId="3899C91B" w:rsidR="00DA0A69" w:rsidRPr="00004A67" w:rsidRDefault="00DA0A69" w:rsidP="00DA0A69">
            <w:pPr>
              <w:rPr>
                <w:sz w:val="20"/>
              </w:rPr>
            </w:pPr>
            <w:r w:rsidRPr="00004A67">
              <w:rPr>
                <w:sz w:val="20"/>
              </w:rPr>
              <w:t>Yes/No indicator for any mental ill-health in 2015 (</w:t>
            </w:r>
            <w:r>
              <w:rPr>
                <w:sz w:val="20"/>
              </w:rPr>
              <w:t xml:space="preserve">any of the four categories of </w:t>
            </w:r>
            <w:r w:rsidRPr="00004A67">
              <w:rPr>
                <w:sz w:val="20"/>
              </w:rPr>
              <w:t>psychotropic medication</w:t>
            </w:r>
            <w:r>
              <w:rPr>
                <w:sz w:val="20"/>
              </w:rPr>
              <w:t xml:space="preserve"> </w:t>
            </w:r>
            <w:r w:rsidRPr="00004A67">
              <w:rPr>
                <w:sz w:val="20"/>
              </w:rPr>
              <w:t>/ self-harm or ideation</w:t>
            </w:r>
            <w:r>
              <w:rPr>
                <w:sz w:val="20"/>
              </w:rPr>
              <w:t xml:space="preserve"> </w:t>
            </w:r>
            <w:r w:rsidRPr="00004A67">
              <w:rPr>
                <w:sz w:val="20"/>
              </w:rPr>
              <w:t>/ psychiatric hospital admission)</w:t>
            </w:r>
          </w:p>
        </w:tc>
        <w:tc>
          <w:tcPr>
            <w:tcW w:w="1417" w:type="dxa"/>
            <w:tcBorders>
              <w:left w:val="nil"/>
              <w:right w:val="nil"/>
            </w:tcBorders>
          </w:tcPr>
          <w:p w14:paraId="4B9EA1AF" w14:textId="77777777" w:rsidR="00DA0A69" w:rsidRPr="00004A67" w:rsidRDefault="00DA0A69" w:rsidP="00DA0A69">
            <w:pPr>
              <w:rPr>
                <w:sz w:val="20"/>
              </w:rPr>
            </w:pPr>
            <w:r w:rsidRPr="00004A67">
              <w:rPr>
                <w:sz w:val="20"/>
              </w:rPr>
              <w:t>EPD, NIRSH, Hospital data</w:t>
            </w:r>
          </w:p>
          <w:p w14:paraId="1FADA519" w14:textId="77777777" w:rsidR="00DA0A69" w:rsidRPr="00004A67" w:rsidRDefault="00DA0A69" w:rsidP="00DA0A69">
            <w:pPr>
              <w:rPr>
                <w:sz w:val="20"/>
              </w:rPr>
            </w:pPr>
          </w:p>
        </w:tc>
      </w:tr>
    </w:tbl>
    <w:p w14:paraId="3656B9AB" w14:textId="5CF101DF" w:rsidR="008202BC" w:rsidRPr="000E69B5" w:rsidRDefault="000E69B5">
      <w:pPr>
        <w:rPr>
          <w:i/>
          <w:sz w:val="20"/>
        </w:rPr>
      </w:pPr>
      <w:r w:rsidRPr="000E69B5">
        <w:rPr>
          <w:i/>
          <w:sz w:val="20"/>
        </w:rPr>
        <w:t>NHAIS, National Health Applications and Infrastructure Services; SOSCARE, Social Services Client Administration and Retrieval Environment; EPD, Enhanced Prescribing Database; NIRSH, Northern Ireland Registry of Self-Harm</w:t>
      </w:r>
      <w:bookmarkEnd w:id="0"/>
    </w:p>
    <w:sectPr w:rsidR="008202BC" w:rsidRPr="000E69B5" w:rsidSect="00B9578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E6E58"/>
    <w:multiLevelType w:val="hybridMultilevel"/>
    <w:tmpl w:val="F1BEB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C74CB1"/>
    <w:multiLevelType w:val="hybridMultilevel"/>
    <w:tmpl w:val="0164C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851213"/>
    <w:multiLevelType w:val="hybridMultilevel"/>
    <w:tmpl w:val="E5D26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AA642B"/>
    <w:multiLevelType w:val="hybridMultilevel"/>
    <w:tmpl w:val="5596B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C84"/>
    <w:rsid w:val="0009749D"/>
    <w:rsid w:val="000C1E94"/>
    <w:rsid w:val="000E69B5"/>
    <w:rsid w:val="00133BEC"/>
    <w:rsid w:val="0017115F"/>
    <w:rsid w:val="0017533E"/>
    <w:rsid w:val="00183036"/>
    <w:rsid w:val="001B727B"/>
    <w:rsid w:val="00210633"/>
    <w:rsid w:val="00297F59"/>
    <w:rsid w:val="002C6933"/>
    <w:rsid w:val="002D1C00"/>
    <w:rsid w:val="003044E5"/>
    <w:rsid w:val="003150FE"/>
    <w:rsid w:val="00345DDD"/>
    <w:rsid w:val="00347352"/>
    <w:rsid w:val="003E2B7F"/>
    <w:rsid w:val="003F6DEE"/>
    <w:rsid w:val="00403F0D"/>
    <w:rsid w:val="0040575B"/>
    <w:rsid w:val="00427C46"/>
    <w:rsid w:val="004444B5"/>
    <w:rsid w:val="00500766"/>
    <w:rsid w:val="00535AF7"/>
    <w:rsid w:val="0058000B"/>
    <w:rsid w:val="00597310"/>
    <w:rsid w:val="005A0E54"/>
    <w:rsid w:val="005B74D9"/>
    <w:rsid w:val="005F1B66"/>
    <w:rsid w:val="006B71F5"/>
    <w:rsid w:val="00780775"/>
    <w:rsid w:val="007876CC"/>
    <w:rsid w:val="008202BC"/>
    <w:rsid w:val="008351AD"/>
    <w:rsid w:val="00865ABC"/>
    <w:rsid w:val="008661A7"/>
    <w:rsid w:val="008F15F4"/>
    <w:rsid w:val="00941083"/>
    <w:rsid w:val="00966C84"/>
    <w:rsid w:val="009732CA"/>
    <w:rsid w:val="009734A1"/>
    <w:rsid w:val="009A1E57"/>
    <w:rsid w:val="009F00D1"/>
    <w:rsid w:val="00A26E3C"/>
    <w:rsid w:val="00A4662F"/>
    <w:rsid w:val="00A56912"/>
    <w:rsid w:val="00AA08C7"/>
    <w:rsid w:val="00AD0754"/>
    <w:rsid w:val="00AF3594"/>
    <w:rsid w:val="00B13484"/>
    <w:rsid w:val="00B50B34"/>
    <w:rsid w:val="00B9578C"/>
    <w:rsid w:val="00C47641"/>
    <w:rsid w:val="00C87418"/>
    <w:rsid w:val="00CB72D1"/>
    <w:rsid w:val="00CB7E30"/>
    <w:rsid w:val="00CF2518"/>
    <w:rsid w:val="00CF4CDF"/>
    <w:rsid w:val="00CF6DBB"/>
    <w:rsid w:val="00D102E5"/>
    <w:rsid w:val="00D135B7"/>
    <w:rsid w:val="00DA0A69"/>
    <w:rsid w:val="00DB0ABD"/>
    <w:rsid w:val="00E0233B"/>
    <w:rsid w:val="00E17813"/>
    <w:rsid w:val="00E81969"/>
    <w:rsid w:val="00EA70AB"/>
    <w:rsid w:val="00EB05FC"/>
    <w:rsid w:val="00EB7025"/>
    <w:rsid w:val="00FC7FE0"/>
    <w:rsid w:val="01BC2DAC"/>
    <w:rsid w:val="029126E6"/>
    <w:rsid w:val="0481D13A"/>
    <w:rsid w:val="05F88CE3"/>
    <w:rsid w:val="06DC5A34"/>
    <w:rsid w:val="09AB56C9"/>
    <w:rsid w:val="0E7BB52B"/>
    <w:rsid w:val="104DCA1C"/>
    <w:rsid w:val="114053A3"/>
    <w:rsid w:val="11AAA6B1"/>
    <w:rsid w:val="1700B674"/>
    <w:rsid w:val="1819E835"/>
    <w:rsid w:val="1CCAD27B"/>
    <w:rsid w:val="1E4BC679"/>
    <w:rsid w:val="1EDA8D95"/>
    <w:rsid w:val="1FB85F97"/>
    <w:rsid w:val="20DB75F7"/>
    <w:rsid w:val="221AF1B9"/>
    <w:rsid w:val="2379EBA5"/>
    <w:rsid w:val="252E0981"/>
    <w:rsid w:val="2937E5C9"/>
    <w:rsid w:val="2B07D521"/>
    <w:rsid w:val="2C855775"/>
    <w:rsid w:val="2CCDC330"/>
    <w:rsid w:val="2E0D9F54"/>
    <w:rsid w:val="2F79E819"/>
    <w:rsid w:val="3026B228"/>
    <w:rsid w:val="32BFE69C"/>
    <w:rsid w:val="344D82F0"/>
    <w:rsid w:val="36213A1F"/>
    <w:rsid w:val="370A944C"/>
    <w:rsid w:val="37793C91"/>
    <w:rsid w:val="381251B2"/>
    <w:rsid w:val="38A66DAF"/>
    <w:rsid w:val="4133C9CA"/>
    <w:rsid w:val="43D1CED7"/>
    <w:rsid w:val="46A5BE91"/>
    <w:rsid w:val="47A30B4E"/>
    <w:rsid w:val="48418EF2"/>
    <w:rsid w:val="48A53FFA"/>
    <w:rsid w:val="491C54D2"/>
    <w:rsid w:val="4A41105B"/>
    <w:rsid w:val="4B6D117A"/>
    <w:rsid w:val="4CD0CA1E"/>
    <w:rsid w:val="4E06B002"/>
    <w:rsid w:val="4E51495C"/>
    <w:rsid w:val="4F33C083"/>
    <w:rsid w:val="4FB20C4B"/>
    <w:rsid w:val="53779DBD"/>
    <w:rsid w:val="53A9F4A0"/>
    <w:rsid w:val="577A5F47"/>
    <w:rsid w:val="58323687"/>
    <w:rsid w:val="590204D5"/>
    <w:rsid w:val="5A5F21AB"/>
    <w:rsid w:val="5BB83A72"/>
    <w:rsid w:val="5BCB6A70"/>
    <w:rsid w:val="5C387779"/>
    <w:rsid w:val="5CC931BF"/>
    <w:rsid w:val="5D00AF59"/>
    <w:rsid w:val="5DA758FF"/>
    <w:rsid w:val="62218397"/>
    <w:rsid w:val="661AC29F"/>
    <w:rsid w:val="699CEAEE"/>
    <w:rsid w:val="69C45EA2"/>
    <w:rsid w:val="6A624EE9"/>
    <w:rsid w:val="6C1543BB"/>
    <w:rsid w:val="6C394CF8"/>
    <w:rsid w:val="6FA03CB4"/>
    <w:rsid w:val="70795023"/>
    <w:rsid w:val="722930FC"/>
    <w:rsid w:val="72567251"/>
    <w:rsid w:val="750F6C23"/>
    <w:rsid w:val="774E2FAD"/>
    <w:rsid w:val="78EB4688"/>
    <w:rsid w:val="7B760287"/>
    <w:rsid w:val="7F91F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9A468"/>
  <w15:chartTrackingRefBased/>
  <w15:docId w15:val="{979F5DF5-52D6-4879-9BE2-C0AF7FEA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uiPriority w:val="39"/>
    <w:rsid w:val="00966C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66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1C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C00"/>
    <w:rPr>
      <w:rFonts w:ascii="Segoe UI" w:hAnsi="Segoe UI" w:cs="Segoe UI"/>
      <w:sz w:val="18"/>
      <w:szCs w:val="18"/>
    </w:rPr>
  </w:style>
  <w:style w:type="paragraph" w:styleId="ListParagraph">
    <w:name w:val="List Paragraph"/>
    <w:basedOn w:val="Normal"/>
    <w:uiPriority w:val="34"/>
    <w:qFormat/>
    <w:rsid w:val="00345DDD"/>
    <w:pPr>
      <w:spacing w:after="-1" w:afterAutospacing="1" w:line="360" w:lineRule="auto"/>
      <w:ind w:left="720"/>
      <w:contextualSpacing/>
      <w:jc w:val="both"/>
    </w:pPr>
    <w:rPr>
      <w:rFonts w:ascii="Calibri" w:eastAsia="SimSun" w:hAnsi="Calibri" w:cs="Times New Roman"/>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1211</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McKenna</dc:creator>
  <cp:keywords/>
  <dc:description/>
  <cp:lastModifiedBy>Nettie Smith</cp:lastModifiedBy>
  <cp:revision>2</cp:revision>
  <dcterms:created xsi:type="dcterms:W3CDTF">2023-04-24T08:36:00Z</dcterms:created>
  <dcterms:modified xsi:type="dcterms:W3CDTF">2023-04-24T08:36:00Z</dcterms:modified>
</cp:coreProperties>
</file>