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F2E7" w14:textId="71DB08A1" w:rsidR="00960486" w:rsidRPr="009C6145" w:rsidRDefault="00D95408" w:rsidP="00960486">
      <w:pPr>
        <w:jc w:val="both"/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02571B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>Supplementary Table S1.</w:t>
      </w:r>
      <w:r w:rsidR="00960486" w:rsidRPr="009C6145">
        <w:rPr>
          <w:rFonts w:ascii="Helvetica" w:hAnsi="Helvetica"/>
          <w:bCs/>
          <w:color w:val="000000" w:themeColor="text1"/>
          <w:sz w:val="20"/>
          <w:szCs w:val="20"/>
          <w:lang w:val="en-GB"/>
        </w:rPr>
        <w:t xml:space="preserve"> Subject characteristics, vitamin B status and concentrations of one-carbon related metabolites after overnight fast at baseline </w:t>
      </w:r>
    </w:p>
    <w:tbl>
      <w:tblPr>
        <w:tblStyle w:val="TableGrid"/>
        <w:tblW w:w="9761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554"/>
        <w:gridCol w:w="1837"/>
        <w:gridCol w:w="1834"/>
        <w:gridCol w:w="1184"/>
      </w:tblGrid>
      <w:tr w:rsidR="009C6145" w:rsidRPr="009C6145" w14:paraId="1C0F76C0" w14:textId="77777777" w:rsidTr="004F1804">
        <w:trPr>
          <w:trHeight w:val="656"/>
        </w:trPr>
        <w:tc>
          <w:tcPr>
            <w:tcW w:w="335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4DC673A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Variable </w:t>
            </w:r>
          </w:p>
        </w:tc>
        <w:tc>
          <w:tcPr>
            <w:tcW w:w="1554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5670F7B5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Control </w:t>
            </w:r>
          </w:p>
          <w:p w14:paraId="46DBBA36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(N = 22)</w:t>
            </w:r>
          </w:p>
        </w:tc>
        <w:tc>
          <w:tcPr>
            <w:tcW w:w="183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76839330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Folate-rich foods </w:t>
            </w:r>
          </w:p>
          <w:p w14:paraId="30B29605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(N = 21)</w:t>
            </w:r>
          </w:p>
        </w:tc>
        <w:tc>
          <w:tcPr>
            <w:tcW w:w="1834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E3201C7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Folic acid supplement</w:t>
            </w:r>
          </w:p>
          <w:p w14:paraId="6F7AFF77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(N = 19)</w:t>
            </w:r>
          </w:p>
        </w:tc>
        <w:tc>
          <w:tcPr>
            <w:tcW w:w="1184" w:type="dxa"/>
            <w:tcBorders>
              <w:top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CA75FB4" w14:textId="77777777" w:rsidR="00960486" w:rsidRPr="009C6145" w:rsidRDefault="00960486" w:rsidP="004F1804">
            <w:pPr>
              <w:keepNext/>
              <w:keepLines/>
              <w:autoSpaceDE w:val="0"/>
              <w:autoSpaceDN w:val="0"/>
              <w:adjustRightInd w:val="0"/>
              <w:spacing w:before="200"/>
              <w:ind w:left="-486" w:firstLine="486"/>
              <w:outlineLvl w:val="5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i/>
                <w:color w:val="000000" w:themeColor="text1"/>
                <w:sz w:val="20"/>
                <w:szCs w:val="20"/>
                <w:lang w:val="en-GB"/>
              </w:rPr>
              <w:t>p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 value </w:t>
            </w:r>
          </w:p>
        </w:tc>
      </w:tr>
      <w:tr w:rsidR="009C6145" w:rsidRPr="009C6145" w14:paraId="5937270A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  <w:bottom w:val="nil"/>
            </w:tcBorders>
          </w:tcPr>
          <w:p w14:paraId="184B6EFB" w14:textId="2BBC135A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Age (y</w:t>
            </w:r>
            <w:r w:rsidR="00D95408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ears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14:paraId="20ED54C0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22±4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BD8FAC1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23±7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E189002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21±1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6F598B05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0.174</w:t>
            </w:r>
          </w:p>
        </w:tc>
      </w:tr>
      <w:tr w:rsidR="009C6145" w:rsidRPr="009C6145" w14:paraId="5BC1BB1A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</w:tcBorders>
          </w:tcPr>
          <w:p w14:paraId="33E19DF3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BMI (kg/m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2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554" w:type="dxa"/>
            <w:tcBorders>
              <w:top w:val="nil"/>
            </w:tcBorders>
          </w:tcPr>
          <w:p w14:paraId="71753BA8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23.7±3</w:t>
            </w:r>
          </w:p>
        </w:tc>
        <w:tc>
          <w:tcPr>
            <w:tcW w:w="1837" w:type="dxa"/>
            <w:tcBorders>
              <w:top w:val="nil"/>
            </w:tcBorders>
          </w:tcPr>
          <w:p w14:paraId="397E87B4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24.1±5</w:t>
            </w:r>
          </w:p>
        </w:tc>
        <w:tc>
          <w:tcPr>
            <w:tcW w:w="1834" w:type="dxa"/>
            <w:tcBorders>
              <w:top w:val="nil"/>
            </w:tcBorders>
          </w:tcPr>
          <w:p w14:paraId="4628DEFB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23.6±3</w:t>
            </w:r>
          </w:p>
        </w:tc>
        <w:tc>
          <w:tcPr>
            <w:tcW w:w="1184" w:type="dxa"/>
            <w:tcBorders>
              <w:top w:val="nil"/>
              <w:right w:val="nil"/>
            </w:tcBorders>
          </w:tcPr>
          <w:p w14:paraId="28FF0DD0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0.938</w:t>
            </w:r>
          </w:p>
        </w:tc>
      </w:tr>
      <w:tr w:rsidR="009C6145" w:rsidRPr="009C6145" w14:paraId="64644982" w14:textId="77777777" w:rsidTr="00960486">
        <w:trPr>
          <w:trHeight w:hRule="exact" w:val="454"/>
        </w:trPr>
        <w:tc>
          <w:tcPr>
            <w:tcW w:w="3352" w:type="dxa"/>
          </w:tcPr>
          <w:p w14:paraId="3233CCC8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Energy intake (MJ/d)</w:t>
            </w:r>
          </w:p>
        </w:tc>
        <w:tc>
          <w:tcPr>
            <w:tcW w:w="1554" w:type="dxa"/>
          </w:tcPr>
          <w:p w14:paraId="0843E38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9.4 ±1.5</w:t>
            </w:r>
          </w:p>
        </w:tc>
        <w:tc>
          <w:tcPr>
            <w:tcW w:w="1837" w:type="dxa"/>
          </w:tcPr>
          <w:p w14:paraId="2F7DA2B1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8.8±2.3</w:t>
            </w:r>
          </w:p>
        </w:tc>
        <w:tc>
          <w:tcPr>
            <w:tcW w:w="1834" w:type="dxa"/>
          </w:tcPr>
          <w:p w14:paraId="01D72D8E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9.2±1.4</w:t>
            </w:r>
          </w:p>
        </w:tc>
        <w:tc>
          <w:tcPr>
            <w:tcW w:w="1184" w:type="dxa"/>
            <w:tcBorders>
              <w:right w:val="nil"/>
            </w:tcBorders>
          </w:tcPr>
          <w:p w14:paraId="36FB5E7A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0.264</w:t>
            </w:r>
          </w:p>
        </w:tc>
      </w:tr>
      <w:tr w:rsidR="009C6145" w:rsidRPr="009C6145" w14:paraId="1E3CC3B7" w14:textId="77777777" w:rsidTr="00960486">
        <w:trPr>
          <w:trHeight w:hRule="exact" w:val="454"/>
        </w:trPr>
        <w:tc>
          <w:tcPr>
            <w:tcW w:w="3352" w:type="dxa"/>
            <w:tcBorders>
              <w:bottom w:val="nil"/>
            </w:tcBorders>
          </w:tcPr>
          <w:p w14:paraId="7664F33D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Estimated folate intake (µg/d) </w:t>
            </w:r>
          </w:p>
        </w:tc>
        <w:tc>
          <w:tcPr>
            <w:tcW w:w="1554" w:type="dxa"/>
            <w:tcBorders>
              <w:bottom w:val="nil"/>
            </w:tcBorders>
          </w:tcPr>
          <w:p w14:paraId="19D46466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204±38</w:t>
            </w:r>
          </w:p>
        </w:tc>
        <w:tc>
          <w:tcPr>
            <w:tcW w:w="1837" w:type="dxa"/>
            <w:tcBorders>
              <w:bottom w:val="nil"/>
            </w:tcBorders>
          </w:tcPr>
          <w:p w14:paraId="041C4CA3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195±50</w:t>
            </w:r>
          </w:p>
        </w:tc>
        <w:tc>
          <w:tcPr>
            <w:tcW w:w="1834" w:type="dxa"/>
            <w:tcBorders>
              <w:bottom w:val="nil"/>
            </w:tcBorders>
          </w:tcPr>
          <w:p w14:paraId="4CB4C9CD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220±30</w:t>
            </w:r>
          </w:p>
        </w:tc>
        <w:tc>
          <w:tcPr>
            <w:tcW w:w="1184" w:type="dxa"/>
            <w:tcBorders>
              <w:bottom w:val="nil"/>
              <w:right w:val="nil"/>
            </w:tcBorders>
          </w:tcPr>
          <w:p w14:paraId="4EAEAD57" w14:textId="77777777" w:rsidR="00960486" w:rsidRPr="009C6145" w:rsidRDefault="00960486" w:rsidP="004F1804">
            <w:pPr>
              <w:autoSpaceDE w:val="0"/>
              <w:autoSpaceDN w:val="0"/>
              <w:adjustRightInd w:val="0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0.353</w:t>
            </w:r>
          </w:p>
        </w:tc>
      </w:tr>
      <w:tr w:rsidR="009C6145" w:rsidRPr="009C6145" w14:paraId="5AF4DE5C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  <w:bottom w:val="nil"/>
            </w:tcBorders>
          </w:tcPr>
          <w:p w14:paraId="1C2D068B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Intervention dose (µg/d)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14:paraId="0660CBC8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A765D7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250*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9EDA090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500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6C357C77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C6145" w:rsidRPr="009C6145" w14:paraId="78A49BF8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</w:tcBorders>
          </w:tcPr>
          <w:p w14:paraId="7F035672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Erythrocyte folate (nmol/L)</w:t>
            </w:r>
          </w:p>
        </w:tc>
        <w:tc>
          <w:tcPr>
            <w:tcW w:w="1554" w:type="dxa"/>
            <w:tcBorders>
              <w:top w:val="nil"/>
            </w:tcBorders>
          </w:tcPr>
          <w:p w14:paraId="3E184A40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694±246</w:t>
            </w:r>
          </w:p>
        </w:tc>
        <w:tc>
          <w:tcPr>
            <w:tcW w:w="1837" w:type="dxa"/>
            <w:tcBorders>
              <w:top w:val="nil"/>
            </w:tcBorders>
          </w:tcPr>
          <w:p w14:paraId="44E55663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630±177</w:t>
            </w:r>
          </w:p>
        </w:tc>
        <w:tc>
          <w:tcPr>
            <w:tcW w:w="1834" w:type="dxa"/>
            <w:tcBorders>
              <w:top w:val="nil"/>
            </w:tcBorders>
          </w:tcPr>
          <w:p w14:paraId="2D2FE557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614±154</w:t>
            </w:r>
          </w:p>
        </w:tc>
        <w:tc>
          <w:tcPr>
            <w:tcW w:w="1184" w:type="dxa"/>
            <w:tcBorders>
              <w:top w:val="nil"/>
              <w:right w:val="nil"/>
            </w:tcBorders>
          </w:tcPr>
          <w:p w14:paraId="217DF820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0.522</w:t>
            </w:r>
          </w:p>
        </w:tc>
      </w:tr>
      <w:tr w:rsidR="009C6145" w:rsidRPr="009C6145" w14:paraId="2E128B32" w14:textId="77777777" w:rsidTr="00960486">
        <w:trPr>
          <w:trHeight w:hRule="exact" w:val="454"/>
        </w:trPr>
        <w:tc>
          <w:tcPr>
            <w:tcW w:w="3352" w:type="dxa"/>
            <w:tcBorders>
              <w:bottom w:val="nil"/>
            </w:tcBorders>
          </w:tcPr>
          <w:p w14:paraId="5E0069B6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554" w:type="dxa"/>
            <w:tcBorders>
              <w:bottom w:val="nil"/>
            </w:tcBorders>
          </w:tcPr>
          <w:p w14:paraId="50E44541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21±5</w:t>
            </w:r>
          </w:p>
        </w:tc>
        <w:tc>
          <w:tcPr>
            <w:tcW w:w="1837" w:type="dxa"/>
            <w:tcBorders>
              <w:bottom w:val="nil"/>
            </w:tcBorders>
          </w:tcPr>
          <w:p w14:paraId="6041BC28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22±3</w:t>
            </w:r>
          </w:p>
        </w:tc>
        <w:tc>
          <w:tcPr>
            <w:tcW w:w="1834" w:type="dxa"/>
            <w:tcBorders>
              <w:bottom w:val="nil"/>
            </w:tcBorders>
          </w:tcPr>
          <w:p w14:paraId="54DC39CC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22 ± 3</w:t>
            </w:r>
          </w:p>
        </w:tc>
        <w:tc>
          <w:tcPr>
            <w:tcW w:w="1184" w:type="dxa"/>
            <w:tcBorders>
              <w:bottom w:val="nil"/>
              <w:right w:val="nil"/>
            </w:tcBorders>
          </w:tcPr>
          <w:p w14:paraId="1FA23D33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0.559</w:t>
            </w:r>
          </w:p>
        </w:tc>
      </w:tr>
      <w:tr w:rsidR="009C6145" w:rsidRPr="009C6145" w14:paraId="68FD867F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  <w:bottom w:val="nil"/>
            </w:tcBorders>
          </w:tcPr>
          <w:p w14:paraId="1872C373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Plasma cobalamin (</w:t>
            </w:r>
            <w:proofErr w:type="spellStart"/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pmol</w:t>
            </w:r>
            <w:proofErr w:type="spellEnd"/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/L)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14:paraId="05C0D4CB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371±107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1B02432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 xml:space="preserve"> 324±72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D6971B2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331 ± 121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013BAA36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0.135</w:t>
            </w:r>
          </w:p>
        </w:tc>
      </w:tr>
      <w:tr w:rsidR="009C6145" w:rsidRPr="009C6145" w14:paraId="03AFF988" w14:textId="77777777" w:rsidTr="00960486">
        <w:trPr>
          <w:trHeight w:hRule="exact" w:val="454"/>
        </w:trPr>
        <w:tc>
          <w:tcPr>
            <w:tcW w:w="3352" w:type="dxa"/>
            <w:tcBorders>
              <w:top w:val="nil"/>
            </w:tcBorders>
          </w:tcPr>
          <w:p w14:paraId="611DAEC5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Glycine (µmol/L)</w:t>
            </w:r>
          </w:p>
        </w:tc>
        <w:tc>
          <w:tcPr>
            <w:tcW w:w="1554" w:type="dxa"/>
            <w:tcBorders>
              <w:top w:val="nil"/>
            </w:tcBorders>
          </w:tcPr>
          <w:p w14:paraId="4AC6B1CE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313±54</w:t>
            </w:r>
          </w:p>
        </w:tc>
        <w:tc>
          <w:tcPr>
            <w:tcW w:w="1837" w:type="dxa"/>
            <w:tcBorders>
              <w:top w:val="nil"/>
            </w:tcBorders>
          </w:tcPr>
          <w:p w14:paraId="439FF770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285±18</w:t>
            </w:r>
          </w:p>
        </w:tc>
        <w:tc>
          <w:tcPr>
            <w:tcW w:w="1834" w:type="dxa"/>
            <w:tcBorders>
              <w:top w:val="nil"/>
            </w:tcBorders>
          </w:tcPr>
          <w:p w14:paraId="6AE46817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329±122</w:t>
            </w:r>
          </w:p>
        </w:tc>
        <w:tc>
          <w:tcPr>
            <w:tcW w:w="1184" w:type="dxa"/>
            <w:tcBorders>
              <w:top w:val="nil"/>
              <w:right w:val="nil"/>
            </w:tcBorders>
          </w:tcPr>
          <w:p w14:paraId="577A237B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0.192</w:t>
            </w:r>
          </w:p>
        </w:tc>
      </w:tr>
      <w:tr w:rsidR="009C6145" w:rsidRPr="009C6145" w14:paraId="19C1CFFA" w14:textId="77777777" w:rsidTr="00960486">
        <w:trPr>
          <w:trHeight w:hRule="exact" w:val="454"/>
        </w:trPr>
        <w:tc>
          <w:tcPr>
            <w:tcW w:w="3352" w:type="dxa"/>
          </w:tcPr>
          <w:p w14:paraId="110493B3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Alanine (µmol/L)</w:t>
            </w:r>
          </w:p>
        </w:tc>
        <w:tc>
          <w:tcPr>
            <w:tcW w:w="1554" w:type="dxa"/>
          </w:tcPr>
          <w:p w14:paraId="77A303D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485±112</w:t>
            </w:r>
          </w:p>
        </w:tc>
        <w:tc>
          <w:tcPr>
            <w:tcW w:w="1837" w:type="dxa"/>
          </w:tcPr>
          <w:p w14:paraId="43D6D8F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505±199</w:t>
            </w:r>
          </w:p>
        </w:tc>
        <w:tc>
          <w:tcPr>
            <w:tcW w:w="1834" w:type="dxa"/>
          </w:tcPr>
          <w:p w14:paraId="244F879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474±160</w:t>
            </w:r>
          </w:p>
        </w:tc>
        <w:tc>
          <w:tcPr>
            <w:tcW w:w="1184" w:type="dxa"/>
            <w:tcBorders>
              <w:right w:val="nil"/>
            </w:tcBorders>
          </w:tcPr>
          <w:p w14:paraId="1A11038C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0.945</w:t>
            </w:r>
          </w:p>
        </w:tc>
      </w:tr>
      <w:tr w:rsidR="009C6145" w:rsidRPr="009C6145" w14:paraId="7345C393" w14:textId="77777777" w:rsidTr="00960486">
        <w:trPr>
          <w:trHeight w:hRule="exact" w:val="454"/>
        </w:trPr>
        <w:tc>
          <w:tcPr>
            <w:tcW w:w="3352" w:type="dxa"/>
          </w:tcPr>
          <w:p w14:paraId="3B54738D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Choline (µmol/L)</w:t>
            </w:r>
          </w:p>
        </w:tc>
        <w:tc>
          <w:tcPr>
            <w:tcW w:w="1554" w:type="dxa"/>
          </w:tcPr>
          <w:p w14:paraId="31E1B7D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153±290</w:t>
            </w:r>
          </w:p>
        </w:tc>
        <w:tc>
          <w:tcPr>
            <w:tcW w:w="1837" w:type="dxa"/>
          </w:tcPr>
          <w:p w14:paraId="3B57C31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171±146</w:t>
            </w:r>
          </w:p>
        </w:tc>
        <w:tc>
          <w:tcPr>
            <w:tcW w:w="1834" w:type="dxa"/>
          </w:tcPr>
          <w:p w14:paraId="30E37A4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204±339</w:t>
            </w:r>
          </w:p>
        </w:tc>
        <w:tc>
          <w:tcPr>
            <w:tcW w:w="1184" w:type="dxa"/>
            <w:tcBorders>
              <w:right w:val="nil"/>
            </w:tcBorders>
          </w:tcPr>
          <w:p w14:paraId="21D7EA57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0.159</w:t>
            </w:r>
          </w:p>
        </w:tc>
      </w:tr>
      <w:tr w:rsidR="009C6145" w:rsidRPr="009C6145" w14:paraId="00EB794E" w14:textId="77777777" w:rsidTr="00960486">
        <w:trPr>
          <w:trHeight w:hRule="exact" w:val="454"/>
        </w:trPr>
        <w:tc>
          <w:tcPr>
            <w:tcW w:w="3352" w:type="dxa"/>
          </w:tcPr>
          <w:p w14:paraId="566CD28A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Leucine (µmol/L)</w:t>
            </w:r>
          </w:p>
        </w:tc>
        <w:tc>
          <w:tcPr>
            <w:tcW w:w="1554" w:type="dxa"/>
          </w:tcPr>
          <w:p w14:paraId="27D5E6F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186±118</w:t>
            </w:r>
          </w:p>
        </w:tc>
        <w:tc>
          <w:tcPr>
            <w:tcW w:w="1837" w:type="dxa"/>
          </w:tcPr>
          <w:p w14:paraId="5409EAEB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171±103</w:t>
            </w:r>
          </w:p>
        </w:tc>
        <w:tc>
          <w:tcPr>
            <w:tcW w:w="1834" w:type="dxa"/>
          </w:tcPr>
          <w:p w14:paraId="1B860FC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166±117</w:t>
            </w:r>
          </w:p>
        </w:tc>
        <w:tc>
          <w:tcPr>
            <w:tcW w:w="1184" w:type="dxa"/>
            <w:tcBorders>
              <w:right w:val="nil"/>
            </w:tcBorders>
          </w:tcPr>
          <w:p w14:paraId="0117963E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0.559</w:t>
            </w:r>
          </w:p>
        </w:tc>
      </w:tr>
      <w:tr w:rsidR="009C6145" w:rsidRPr="009C6145" w14:paraId="6980A591" w14:textId="77777777" w:rsidTr="00960486">
        <w:trPr>
          <w:trHeight w:hRule="exact" w:val="454"/>
        </w:trPr>
        <w:tc>
          <w:tcPr>
            <w:tcW w:w="3352" w:type="dxa"/>
          </w:tcPr>
          <w:p w14:paraId="64996254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Serine (µmol/L)</w:t>
            </w:r>
          </w:p>
        </w:tc>
        <w:tc>
          <w:tcPr>
            <w:tcW w:w="1554" w:type="dxa"/>
          </w:tcPr>
          <w:p w14:paraId="6B5E104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182±46</w:t>
            </w:r>
          </w:p>
        </w:tc>
        <w:tc>
          <w:tcPr>
            <w:tcW w:w="1837" w:type="dxa"/>
          </w:tcPr>
          <w:p w14:paraId="12A4857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188±82</w:t>
            </w:r>
          </w:p>
        </w:tc>
        <w:tc>
          <w:tcPr>
            <w:tcW w:w="1834" w:type="dxa"/>
          </w:tcPr>
          <w:p w14:paraId="4CA1B75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216±56</w:t>
            </w:r>
          </w:p>
        </w:tc>
        <w:tc>
          <w:tcPr>
            <w:tcW w:w="1184" w:type="dxa"/>
            <w:tcBorders>
              <w:right w:val="nil"/>
            </w:tcBorders>
          </w:tcPr>
          <w:p w14:paraId="730387E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0.214</w:t>
            </w:r>
          </w:p>
        </w:tc>
      </w:tr>
      <w:tr w:rsidR="009C6145" w:rsidRPr="009C6145" w14:paraId="3B9EE824" w14:textId="77777777" w:rsidTr="00960486">
        <w:trPr>
          <w:trHeight w:hRule="exact" w:val="454"/>
        </w:trPr>
        <w:tc>
          <w:tcPr>
            <w:tcW w:w="3352" w:type="dxa"/>
          </w:tcPr>
          <w:p w14:paraId="075C9BF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Lysine (µmol/L)</w:t>
            </w:r>
          </w:p>
        </w:tc>
        <w:tc>
          <w:tcPr>
            <w:tcW w:w="1554" w:type="dxa"/>
          </w:tcPr>
          <w:p w14:paraId="06D943D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197±71</w:t>
            </w:r>
          </w:p>
        </w:tc>
        <w:tc>
          <w:tcPr>
            <w:tcW w:w="1837" w:type="dxa"/>
          </w:tcPr>
          <w:p w14:paraId="580BECB6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214±92</w:t>
            </w:r>
          </w:p>
        </w:tc>
        <w:tc>
          <w:tcPr>
            <w:tcW w:w="1834" w:type="dxa"/>
          </w:tcPr>
          <w:p w14:paraId="5C84F402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274±206</w:t>
            </w:r>
          </w:p>
        </w:tc>
        <w:tc>
          <w:tcPr>
            <w:tcW w:w="1184" w:type="dxa"/>
            <w:tcBorders>
              <w:right w:val="nil"/>
            </w:tcBorders>
          </w:tcPr>
          <w:p w14:paraId="7391CE2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0.274</w:t>
            </w:r>
          </w:p>
        </w:tc>
      </w:tr>
      <w:tr w:rsidR="009C6145" w:rsidRPr="009C6145" w14:paraId="77A57C6B" w14:textId="77777777" w:rsidTr="00960486">
        <w:trPr>
          <w:trHeight w:hRule="exact" w:val="454"/>
        </w:trPr>
        <w:tc>
          <w:tcPr>
            <w:tcW w:w="3352" w:type="dxa"/>
          </w:tcPr>
          <w:p w14:paraId="5A3C809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Valine (µmol/L)</w:t>
            </w:r>
          </w:p>
        </w:tc>
        <w:tc>
          <w:tcPr>
            <w:tcW w:w="1554" w:type="dxa"/>
          </w:tcPr>
          <w:p w14:paraId="5E1F41E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236±37</w:t>
            </w:r>
          </w:p>
        </w:tc>
        <w:tc>
          <w:tcPr>
            <w:tcW w:w="1837" w:type="dxa"/>
          </w:tcPr>
          <w:p w14:paraId="70303B9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228±57</w:t>
            </w:r>
          </w:p>
        </w:tc>
        <w:tc>
          <w:tcPr>
            <w:tcW w:w="1834" w:type="dxa"/>
          </w:tcPr>
          <w:p w14:paraId="056A252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235±50</w:t>
            </w:r>
          </w:p>
        </w:tc>
        <w:tc>
          <w:tcPr>
            <w:tcW w:w="1184" w:type="dxa"/>
            <w:tcBorders>
              <w:right w:val="nil"/>
            </w:tcBorders>
          </w:tcPr>
          <w:p w14:paraId="5420568F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0.695</w:t>
            </w:r>
          </w:p>
        </w:tc>
      </w:tr>
      <w:tr w:rsidR="009C6145" w:rsidRPr="009C6145" w14:paraId="3F223D09" w14:textId="77777777" w:rsidTr="00960486">
        <w:trPr>
          <w:trHeight w:hRule="exact" w:val="454"/>
        </w:trPr>
        <w:tc>
          <w:tcPr>
            <w:tcW w:w="3352" w:type="dxa"/>
          </w:tcPr>
          <w:p w14:paraId="22A31839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Threonine (µmol/L)</w:t>
            </w:r>
          </w:p>
        </w:tc>
        <w:tc>
          <w:tcPr>
            <w:tcW w:w="1554" w:type="dxa"/>
          </w:tcPr>
          <w:p w14:paraId="65E50637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130±19</w:t>
            </w:r>
          </w:p>
        </w:tc>
        <w:tc>
          <w:tcPr>
            <w:tcW w:w="1837" w:type="dxa"/>
          </w:tcPr>
          <w:p w14:paraId="1E2C5F1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127±45</w:t>
            </w:r>
          </w:p>
        </w:tc>
        <w:tc>
          <w:tcPr>
            <w:tcW w:w="1834" w:type="dxa"/>
          </w:tcPr>
          <w:p w14:paraId="27480F6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153±59</w:t>
            </w:r>
          </w:p>
        </w:tc>
        <w:tc>
          <w:tcPr>
            <w:tcW w:w="1184" w:type="dxa"/>
            <w:tcBorders>
              <w:right w:val="nil"/>
            </w:tcBorders>
          </w:tcPr>
          <w:p w14:paraId="1282CDE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0.159</w:t>
            </w:r>
          </w:p>
        </w:tc>
      </w:tr>
      <w:tr w:rsidR="009C6145" w:rsidRPr="009C6145" w14:paraId="070F486F" w14:textId="77777777" w:rsidTr="00960486">
        <w:trPr>
          <w:trHeight w:hRule="exact" w:val="454"/>
        </w:trPr>
        <w:tc>
          <w:tcPr>
            <w:tcW w:w="3352" w:type="dxa"/>
          </w:tcPr>
          <w:p w14:paraId="1F8C507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Glutamate (µmol/L)</w:t>
            </w:r>
          </w:p>
        </w:tc>
        <w:tc>
          <w:tcPr>
            <w:tcW w:w="1554" w:type="dxa"/>
          </w:tcPr>
          <w:p w14:paraId="64F8E3E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282±160</w:t>
            </w:r>
          </w:p>
        </w:tc>
        <w:tc>
          <w:tcPr>
            <w:tcW w:w="1837" w:type="dxa"/>
          </w:tcPr>
          <w:p w14:paraId="3B4B6DCE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266±93</w:t>
            </w:r>
          </w:p>
        </w:tc>
        <w:tc>
          <w:tcPr>
            <w:tcW w:w="1834" w:type="dxa"/>
          </w:tcPr>
          <w:p w14:paraId="57C058B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263±228</w:t>
            </w:r>
          </w:p>
        </w:tc>
        <w:tc>
          <w:tcPr>
            <w:tcW w:w="1184" w:type="dxa"/>
            <w:tcBorders>
              <w:right w:val="nil"/>
            </w:tcBorders>
          </w:tcPr>
          <w:p w14:paraId="09185F5E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0.348</w:t>
            </w:r>
          </w:p>
        </w:tc>
      </w:tr>
      <w:tr w:rsidR="009C6145" w:rsidRPr="009C6145" w14:paraId="3075CB80" w14:textId="77777777" w:rsidTr="00960486">
        <w:trPr>
          <w:trHeight w:hRule="exact" w:val="454"/>
        </w:trPr>
        <w:tc>
          <w:tcPr>
            <w:tcW w:w="3352" w:type="dxa"/>
          </w:tcPr>
          <w:p w14:paraId="705A6F09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Histidine (µmol/L)</w:t>
            </w:r>
          </w:p>
        </w:tc>
        <w:tc>
          <w:tcPr>
            <w:tcW w:w="1554" w:type="dxa"/>
          </w:tcPr>
          <w:p w14:paraId="5862AC9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81±21</w:t>
            </w:r>
          </w:p>
        </w:tc>
        <w:tc>
          <w:tcPr>
            <w:tcW w:w="1837" w:type="dxa"/>
          </w:tcPr>
          <w:p w14:paraId="5C852F72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96±36</w:t>
            </w:r>
          </w:p>
        </w:tc>
        <w:tc>
          <w:tcPr>
            <w:tcW w:w="1834" w:type="dxa"/>
          </w:tcPr>
          <w:p w14:paraId="7C7A0087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100±26</w:t>
            </w:r>
          </w:p>
        </w:tc>
        <w:tc>
          <w:tcPr>
            <w:tcW w:w="1184" w:type="dxa"/>
            <w:tcBorders>
              <w:right w:val="nil"/>
            </w:tcBorders>
          </w:tcPr>
          <w:p w14:paraId="6F732C42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0.115</w:t>
            </w:r>
          </w:p>
        </w:tc>
      </w:tr>
      <w:tr w:rsidR="009C6145" w:rsidRPr="009C6145" w14:paraId="63686503" w14:textId="77777777" w:rsidTr="00960486">
        <w:trPr>
          <w:trHeight w:hRule="exact" w:val="454"/>
        </w:trPr>
        <w:tc>
          <w:tcPr>
            <w:tcW w:w="3352" w:type="dxa"/>
          </w:tcPr>
          <w:p w14:paraId="320CBA27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Proline (µmol/L)</w:t>
            </w:r>
          </w:p>
        </w:tc>
        <w:tc>
          <w:tcPr>
            <w:tcW w:w="1554" w:type="dxa"/>
          </w:tcPr>
          <w:p w14:paraId="2D4E3D0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259±82</w:t>
            </w:r>
          </w:p>
        </w:tc>
        <w:tc>
          <w:tcPr>
            <w:tcW w:w="1837" w:type="dxa"/>
          </w:tcPr>
          <w:p w14:paraId="2D887E6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256±114</w:t>
            </w:r>
          </w:p>
        </w:tc>
        <w:tc>
          <w:tcPr>
            <w:tcW w:w="1834" w:type="dxa"/>
          </w:tcPr>
          <w:p w14:paraId="6866F49C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296±94</w:t>
            </w:r>
          </w:p>
        </w:tc>
        <w:tc>
          <w:tcPr>
            <w:tcW w:w="1184" w:type="dxa"/>
            <w:tcBorders>
              <w:right w:val="nil"/>
            </w:tcBorders>
          </w:tcPr>
          <w:p w14:paraId="50C2FCC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0.116</w:t>
            </w:r>
          </w:p>
        </w:tc>
      </w:tr>
      <w:tr w:rsidR="009C6145" w:rsidRPr="009C6145" w14:paraId="4DD3C029" w14:textId="77777777" w:rsidTr="00960486">
        <w:trPr>
          <w:trHeight w:hRule="exact" w:val="454"/>
        </w:trPr>
        <w:tc>
          <w:tcPr>
            <w:tcW w:w="3352" w:type="dxa"/>
          </w:tcPr>
          <w:p w14:paraId="36F8148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Succinate (µmol/L)</w:t>
            </w:r>
          </w:p>
        </w:tc>
        <w:tc>
          <w:tcPr>
            <w:tcW w:w="1554" w:type="dxa"/>
          </w:tcPr>
          <w:p w14:paraId="66397E1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55±77</w:t>
            </w:r>
          </w:p>
        </w:tc>
        <w:tc>
          <w:tcPr>
            <w:tcW w:w="1837" w:type="dxa"/>
          </w:tcPr>
          <w:p w14:paraId="46A68DB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80±98</w:t>
            </w:r>
          </w:p>
        </w:tc>
        <w:tc>
          <w:tcPr>
            <w:tcW w:w="1834" w:type="dxa"/>
          </w:tcPr>
          <w:p w14:paraId="7E97BE7B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46±62</w:t>
            </w:r>
          </w:p>
        </w:tc>
        <w:tc>
          <w:tcPr>
            <w:tcW w:w="1184" w:type="dxa"/>
            <w:tcBorders>
              <w:right w:val="nil"/>
            </w:tcBorders>
          </w:tcPr>
          <w:p w14:paraId="1E73717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0.479</w:t>
            </w:r>
          </w:p>
        </w:tc>
      </w:tr>
      <w:tr w:rsidR="009C6145" w:rsidRPr="009C6145" w14:paraId="21CB52A7" w14:textId="77777777" w:rsidTr="00960486">
        <w:trPr>
          <w:trHeight w:hRule="exact" w:val="454"/>
        </w:trPr>
        <w:tc>
          <w:tcPr>
            <w:tcW w:w="3352" w:type="dxa"/>
          </w:tcPr>
          <w:p w14:paraId="4F7FC301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Isoleucine (µmol/L)</w:t>
            </w:r>
          </w:p>
        </w:tc>
        <w:tc>
          <w:tcPr>
            <w:tcW w:w="1554" w:type="dxa"/>
          </w:tcPr>
          <w:p w14:paraId="7368DC9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77±16</w:t>
            </w:r>
          </w:p>
        </w:tc>
        <w:tc>
          <w:tcPr>
            <w:tcW w:w="1837" w:type="dxa"/>
          </w:tcPr>
          <w:p w14:paraId="18E3AE4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66±21</w:t>
            </w:r>
          </w:p>
        </w:tc>
        <w:tc>
          <w:tcPr>
            <w:tcW w:w="1834" w:type="dxa"/>
          </w:tcPr>
          <w:p w14:paraId="71A0B0F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81±18</w:t>
            </w:r>
          </w:p>
        </w:tc>
        <w:tc>
          <w:tcPr>
            <w:tcW w:w="1184" w:type="dxa"/>
            <w:tcBorders>
              <w:right w:val="nil"/>
            </w:tcBorders>
          </w:tcPr>
          <w:p w14:paraId="3CB25DF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0.027</w:t>
            </w:r>
          </w:p>
        </w:tc>
      </w:tr>
      <w:tr w:rsidR="009C6145" w:rsidRPr="009C6145" w14:paraId="571E3FA9" w14:textId="77777777" w:rsidTr="00960486">
        <w:trPr>
          <w:trHeight w:hRule="exact" w:val="454"/>
        </w:trPr>
        <w:tc>
          <w:tcPr>
            <w:tcW w:w="3352" w:type="dxa"/>
          </w:tcPr>
          <w:p w14:paraId="102E918F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Betaine (µmol/L)</w:t>
            </w:r>
          </w:p>
        </w:tc>
        <w:tc>
          <w:tcPr>
            <w:tcW w:w="1554" w:type="dxa"/>
          </w:tcPr>
          <w:p w14:paraId="6592D9F6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55±9</w:t>
            </w:r>
          </w:p>
        </w:tc>
        <w:tc>
          <w:tcPr>
            <w:tcW w:w="1837" w:type="dxa"/>
          </w:tcPr>
          <w:p w14:paraId="4DC0A95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61±19</w:t>
            </w:r>
          </w:p>
        </w:tc>
        <w:tc>
          <w:tcPr>
            <w:tcW w:w="1834" w:type="dxa"/>
          </w:tcPr>
          <w:p w14:paraId="732DCC9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49±10</w:t>
            </w:r>
          </w:p>
        </w:tc>
        <w:tc>
          <w:tcPr>
            <w:tcW w:w="1184" w:type="dxa"/>
            <w:tcBorders>
              <w:right w:val="nil"/>
            </w:tcBorders>
          </w:tcPr>
          <w:p w14:paraId="3F0FAAF5" w14:textId="77777777" w:rsidR="00960486" w:rsidRPr="009C6145" w:rsidRDefault="00960486" w:rsidP="004F1804">
            <w:pPr>
              <w:ind w:left="-486" w:firstLine="486"/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0.053</w:t>
            </w:r>
          </w:p>
        </w:tc>
      </w:tr>
      <w:tr w:rsidR="009C6145" w:rsidRPr="009C6145" w14:paraId="669077CC" w14:textId="77777777" w:rsidTr="00960486">
        <w:trPr>
          <w:trHeight w:hRule="exact" w:val="454"/>
        </w:trPr>
        <w:tc>
          <w:tcPr>
            <w:tcW w:w="3352" w:type="dxa"/>
          </w:tcPr>
          <w:p w14:paraId="3E7D1B40" w14:textId="77777777" w:rsidR="00960486" w:rsidRPr="009C6145" w:rsidRDefault="00960486" w:rsidP="004F1804">
            <w:pPr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Glutamine (µmol/L)</w:t>
            </w:r>
          </w:p>
        </w:tc>
        <w:tc>
          <w:tcPr>
            <w:tcW w:w="1554" w:type="dxa"/>
          </w:tcPr>
          <w:p w14:paraId="608B2C7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184±63</w:t>
            </w:r>
          </w:p>
        </w:tc>
        <w:tc>
          <w:tcPr>
            <w:tcW w:w="1837" w:type="dxa"/>
          </w:tcPr>
          <w:p w14:paraId="563565E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129±85</w:t>
            </w:r>
          </w:p>
        </w:tc>
        <w:tc>
          <w:tcPr>
            <w:tcW w:w="1834" w:type="dxa"/>
          </w:tcPr>
          <w:p w14:paraId="59937A9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201±80</w:t>
            </w:r>
          </w:p>
        </w:tc>
        <w:tc>
          <w:tcPr>
            <w:tcW w:w="1184" w:type="dxa"/>
            <w:tcBorders>
              <w:right w:val="nil"/>
            </w:tcBorders>
          </w:tcPr>
          <w:p w14:paraId="09D25EEE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0.004</w:t>
            </w:r>
          </w:p>
        </w:tc>
      </w:tr>
      <w:tr w:rsidR="009C6145" w:rsidRPr="009C6145" w14:paraId="03B151AA" w14:textId="77777777" w:rsidTr="00960486">
        <w:trPr>
          <w:trHeight w:hRule="exact" w:val="454"/>
        </w:trPr>
        <w:tc>
          <w:tcPr>
            <w:tcW w:w="3352" w:type="dxa"/>
          </w:tcPr>
          <w:p w14:paraId="4F50B4C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2-Oxoisocaproate (µmol/L)</w:t>
            </w:r>
          </w:p>
        </w:tc>
        <w:tc>
          <w:tcPr>
            <w:tcW w:w="1554" w:type="dxa"/>
          </w:tcPr>
          <w:p w14:paraId="66355206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4±8</w:t>
            </w:r>
          </w:p>
        </w:tc>
        <w:tc>
          <w:tcPr>
            <w:tcW w:w="1837" w:type="dxa"/>
          </w:tcPr>
          <w:p w14:paraId="26988E7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5±4</w:t>
            </w:r>
          </w:p>
        </w:tc>
        <w:tc>
          <w:tcPr>
            <w:tcW w:w="1834" w:type="dxa"/>
          </w:tcPr>
          <w:p w14:paraId="459D4BDC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4±8</w:t>
            </w:r>
          </w:p>
        </w:tc>
        <w:tc>
          <w:tcPr>
            <w:tcW w:w="1184" w:type="dxa"/>
            <w:tcBorders>
              <w:right w:val="nil"/>
            </w:tcBorders>
          </w:tcPr>
          <w:p w14:paraId="3E74035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0.618</w:t>
            </w:r>
          </w:p>
        </w:tc>
      </w:tr>
      <w:tr w:rsidR="009C6145" w:rsidRPr="009C6145" w14:paraId="6B2EB109" w14:textId="77777777" w:rsidTr="00960486">
        <w:trPr>
          <w:trHeight w:hRule="exact" w:val="454"/>
        </w:trPr>
        <w:tc>
          <w:tcPr>
            <w:tcW w:w="3352" w:type="dxa"/>
          </w:tcPr>
          <w:p w14:paraId="4496A28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Sarcosine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61E6D31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3±2</w:t>
            </w:r>
          </w:p>
        </w:tc>
        <w:tc>
          <w:tcPr>
            <w:tcW w:w="1837" w:type="dxa"/>
          </w:tcPr>
          <w:p w14:paraId="6F3DDBD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2±1</w:t>
            </w:r>
          </w:p>
        </w:tc>
        <w:tc>
          <w:tcPr>
            <w:tcW w:w="1834" w:type="dxa"/>
          </w:tcPr>
          <w:p w14:paraId="3327E54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2±1</w:t>
            </w:r>
          </w:p>
        </w:tc>
        <w:tc>
          <w:tcPr>
            <w:tcW w:w="1184" w:type="dxa"/>
            <w:tcBorders>
              <w:right w:val="nil"/>
            </w:tcBorders>
          </w:tcPr>
          <w:p w14:paraId="1C93BFB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0.995</w:t>
            </w:r>
          </w:p>
        </w:tc>
      </w:tr>
      <w:tr w:rsidR="009C6145" w:rsidRPr="009C6145" w14:paraId="6BD4A8BB" w14:textId="77777777" w:rsidTr="00960486">
        <w:trPr>
          <w:trHeight w:hRule="exact" w:val="454"/>
        </w:trPr>
        <w:tc>
          <w:tcPr>
            <w:tcW w:w="3352" w:type="dxa"/>
          </w:tcPr>
          <w:p w14:paraId="794A932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Aspartate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3CFBA312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71±47</w:t>
            </w:r>
          </w:p>
        </w:tc>
        <w:tc>
          <w:tcPr>
            <w:tcW w:w="1837" w:type="dxa"/>
          </w:tcPr>
          <w:p w14:paraId="1CABBF0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47±22</w:t>
            </w:r>
          </w:p>
        </w:tc>
        <w:tc>
          <w:tcPr>
            <w:tcW w:w="1834" w:type="dxa"/>
          </w:tcPr>
          <w:p w14:paraId="03CC796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26±14</w:t>
            </w:r>
          </w:p>
        </w:tc>
        <w:tc>
          <w:tcPr>
            <w:tcW w:w="1184" w:type="dxa"/>
            <w:tcBorders>
              <w:right w:val="nil"/>
            </w:tcBorders>
          </w:tcPr>
          <w:p w14:paraId="565A9360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0.049</w:t>
            </w:r>
          </w:p>
        </w:tc>
      </w:tr>
    </w:tbl>
    <w:p w14:paraId="585A0C7C" w14:textId="77777777" w:rsidR="00960486" w:rsidRPr="009C6145" w:rsidRDefault="00960486">
      <w:pPr>
        <w:rPr>
          <w:rFonts w:ascii="Helvetica" w:hAnsi="Helvetica"/>
          <w:color w:val="000000" w:themeColor="text1"/>
          <w:sz w:val="20"/>
          <w:szCs w:val="20"/>
        </w:rPr>
      </w:pPr>
      <w:r w:rsidRPr="009C6145">
        <w:rPr>
          <w:rFonts w:ascii="Helvetica" w:hAnsi="Helvetica"/>
          <w:color w:val="000000" w:themeColor="text1"/>
          <w:sz w:val="20"/>
          <w:szCs w:val="20"/>
        </w:rPr>
        <w:br w:type="page"/>
      </w:r>
    </w:p>
    <w:p w14:paraId="119DE94F" w14:textId="5D4895DC" w:rsidR="00960486" w:rsidRPr="009C6145" w:rsidRDefault="00D95408" w:rsidP="00960486">
      <w:pPr>
        <w:rPr>
          <w:rFonts w:ascii="Helvetica" w:hAnsi="Helvetica"/>
          <w:bCs/>
          <w:color w:val="000000" w:themeColor="text1"/>
          <w:sz w:val="20"/>
          <w:szCs w:val="20"/>
          <w:lang w:val="en-GB"/>
        </w:rPr>
      </w:pPr>
      <w:r w:rsidRPr="0002571B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lastRenderedPageBreak/>
        <w:t>Supplementary Table S1</w:t>
      </w:r>
      <w:r w:rsidR="00960486"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 continued</w:t>
      </w:r>
    </w:p>
    <w:tbl>
      <w:tblPr>
        <w:tblStyle w:val="TableGrid"/>
        <w:tblW w:w="9761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554"/>
        <w:gridCol w:w="1837"/>
        <w:gridCol w:w="1834"/>
        <w:gridCol w:w="1184"/>
      </w:tblGrid>
      <w:tr w:rsidR="009C6145" w:rsidRPr="009C6145" w14:paraId="1B385754" w14:textId="77777777" w:rsidTr="00960486">
        <w:trPr>
          <w:trHeight w:hRule="exact" w:val="454"/>
        </w:trPr>
        <w:tc>
          <w:tcPr>
            <w:tcW w:w="3352" w:type="dxa"/>
          </w:tcPr>
          <w:p w14:paraId="720C43A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O-Acetyl-carnitine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5B8B5FB6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7±5</w:t>
            </w:r>
          </w:p>
        </w:tc>
        <w:tc>
          <w:tcPr>
            <w:tcW w:w="1837" w:type="dxa"/>
          </w:tcPr>
          <w:p w14:paraId="0CE3BC6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8±4</w:t>
            </w:r>
          </w:p>
        </w:tc>
        <w:tc>
          <w:tcPr>
            <w:tcW w:w="1834" w:type="dxa"/>
          </w:tcPr>
          <w:p w14:paraId="17C0B6B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9±5</w:t>
            </w:r>
          </w:p>
        </w:tc>
        <w:tc>
          <w:tcPr>
            <w:tcW w:w="1184" w:type="dxa"/>
            <w:tcBorders>
              <w:right w:val="nil"/>
            </w:tcBorders>
          </w:tcPr>
          <w:p w14:paraId="572E0310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0.375</w:t>
            </w:r>
          </w:p>
        </w:tc>
      </w:tr>
      <w:tr w:rsidR="009C6145" w:rsidRPr="009C6145" w14:paraId="0738EFF3" w14:textId="77777777" w:rsidTr="00960486">
        <w:trPr>
          <w:trHeight w:hRule="exact" w:val="454"/>
        </w:trPr>
        <w:tc>
          <w:tcPr>
            <w:tcW w:w="3352" w:type="dxa"/>
          </w:tcPr>
          <w:p w14:paraId="5B7AF52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Myo-inositol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171C9A0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31±9</w:t>
            </w:r>
          </w:p>
        </w:tc>
        <w:tc>
          <w:tcPr>
            <w:tcW w:w="1837" w:type="dxa"/>
          </w:tcPr>
          <w:p w14:paraId="3F4D36B0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46±17</w:t>
            </w:r>
          </w:p>
        </w:tc>
        <w:tc>
          <w:tcPr>
            <w:tcW w:w="1834" w:type="dxa"/>
          </w:tcPr>
          <w:p w14:paraId="1037D05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41±23</w:t>
            </w:r>
          </w:p>
        </w:tc>
        <w:tc>
          <w:tcPr>
            <w:tcW w:w="1184" w:type="dxa"/>
            <w:tcBorders>
              <w:right w:val="nil"/>
            </w:tcBorders>
          </w:tcPr>
          <w:p w14:paraId="48412BC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0.016</w:t>
            </w:r>
          </w:p>
        </w:tc>
      </w:tr>
      <w:tr w:rsidR="009C6145" w:rsidRPr="009C6145" w14:paraId="707B8297" w14:textId="77777777" w:rsidTr="00960486">
        <w:trPr>
          <w:trHeight w:hRule="exact" w:val="454"/>
        </w:trPr>
        <w:tc>
          <w:tcPr>
            <w:tcW w:w="3352" w:type="dxa"/>
          </w:tcPr>
          <w:p w14:paraId="2E59E66A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Propionate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49E93FA2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30±10</w:t>
            </w:r>
          </w:p>
        </w:tc>
        <w:tc>
          <w:tcPr>
            <w:tcW w:w="1837" w:type="dxa"/>
          </w:tcPr>
          <w:p w14:paraId="143AFC80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44±17</w:t>
            </w:r>
          </w:p>
        </w:tc>
        <w:tc>
          <w:tcPr>
            <w:tcW w:w="1834" w:type="dxa"/>
          </w:tcPr>
          <w:p w14:paraId="35F57B6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41±38</w:t>
            </w:r>
          </w:p>
        </w:tc>
        <w:tc>
          <w:tcPr>
            <w:tcW w:w="1184" w:type="dxa"/>
            <w:tcBorders>
              <w:right w:val="nil"/>
            </w:tcBorders>
          </w:tcPr>
          <w:p w14:paraId="258B6A5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0.066</w:t>
            </w:r>
          </w:p>
        </w:tc>
      </w:tr>
      <w:tr w:rsidR="009C6145" w:rsidRPr="009C6145" w14:paraId="03AF63D6" w14:textId="77777777" w:rsidTr="00960486">
        <w:trPr>
          <w:trHeight w:hRule="exact" w:val="454"/>
        </w:trPr>
        <w:tc>
          <w:tcPr>
            <w:tcW w:w="3352" w:type="dxa"/>
          </w:tcPr>
          <w:p w14:paraId="4D4DC5C7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Methionine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3BA944ED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24±15</w:t>
            </w:r>
          </w:p>
        </w:tc>
        <w:tc>
          <w:tcPr>
            <w:tcW w:w="1837" w:type="dxa"/>
          </w:tcPr>
          <w:p w14:paraId="67C60592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28±22</w:t>
            </w:r>
          </w:p>
        </w:tc>
        <w:tc>
          <w:tcPr>
            <w:tcW w:w="1834" w:type="dxa"/>
          </w:tcPr>
          <w:p w14:paraId="32D0AB33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26±14</w:t>
            </w:r>
          </w:p>
        </w:tc>
        <w:tc>
          <w:tcPr>
            <w:tcW w:w="1184" w:type="dxa"/>
            <w:tcBorders>
              <w:right w:val="nil"/>
            </w:tcBorders>
          </w:tcPr>
          <w:p w14:paraId="0A44925B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0.95</w:t>
            </w:r>
          </w:p>
        </w:tc>
      </w:tr>
      <w:tr w:rsidR="009C6145" w:rsidRPr="009C6145" w14:paraId="046D1CA1" w14:textId="77777777" w:rsidTr="00960486">
        <w:trPr>
          <w:trHeight w:hRule="exact" w:val="454"/>
        </w:trPr>
        <w:tc>
          <w:tcPr>
            <w:tcW w:w="3352" w:type="dxa"/>
          </w:tcPr>
          <w:p w14:paraId="7A95B3BF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Creatinine </w:t>
            </w:r>
            <w:r w:rsidRPr="009C6145">
              <w:rPr>
                <w:rFonts w:ascii="Helvetica" w:hAnsi="Helvetica"/>
                <w:bCs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54" w:type="dxa"/>
          </w:tcPr>
          <w:p w14:paraId="5C1DB0A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32±20</w:t>
            </w:r>
          </w:p>
        </w:tc>
        <w:tc>
          <w:tcPr>
            <w:tcW w:w="1837" w:type="dxa"/>
          </w:tcPr>
          <w:p w14:paraId="7A0DEF45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61±9</w:t>
            </w:r>
          </w:p>
        </w:tc>
        <w:tc>
          <w:tcPr>
            <w:tcW w:w="1834" w:type="dxa"/>
          </w:tcPr>
          <w:p w14:paraId="03A121A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58±7</w:t>
            </w:r>
          </w:p>
        </w:tc>
        <w:tc>
          <w:tcPr>
            <w:tcW w:w="1184" w:type="dxa"/>
            <w:tcBorders>
              <w:right w:val="nil"/>
            </w:tcBorders>
          </w:tcPr>
          <w:p w14:paraId="5794D99C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0.107</w:t>
            </w:r>
          </w:p>
        </w:tc>
      </w:tr>
      <w:tr w:rsidR="009C6145" w:rsidRPr="009C6145" w14:paraId="4D525711" w14:textId="77777777" w:rsidTr="00960486">
        <w:trPr>
          <w:trHeight w:hRule="exact" w:val="454"/>
        </w:trPr>
        <w:tc>
          <w:tcPr>
            <w:tcW w:w="3352" w:type="dxa"/>
            <w:tcBorders>
              <w:bottom w:val="single" w:sz="4" w:space="0" w:color="000000" w:themeColor="text1"/>
            </w:tcBorders>
          </w:tcPr>
          <w:p w14:paraId="68EFEFA1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Serine/glycine ratio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</w:tcPr>
          <w:p w14:paraId="57C8D49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0.60±0.16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4E90B4A4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0.71±0.23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1834" w:type="dxa"/>
            <w:tcBorders>
              <w:bottom w:val="single" w:sz="4" w:space="0" w:color="000000" w:themeColor="text1"/>
            </w:tcBorders>
          </w:tcPr>
          <w:p w14:paraId="206EE739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0.69±0.16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1184" w:type="dxa"/>
            <w:tcBorders>
              <w:bottom w:val="single" w:sz="4" w:space="0" w:color="000000" w:themeColor="text1"/>
              <w:right w:val="nil"/>
            </w:tcBorders>
          </w:tcPr>
          <w:p w14:paraId="59A941E8" w14:textId="77777777" w:rsidR="00960486" w:rsidRPr="009C6145" w:rsidRDefault="00960486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0.191</w:t>
            </w:r>
          </w:p>
        </w:tc>
      </w:tr>
    </w:tbl>
    <w:p w14:paraId="6AE315B1" w14:textId="77777777" w:rsidR="00960486" w:rsidRPr="009C6145" w:rsidRDefault="00960486" w:rsidP="00960486">
      <w:pPr>
        <w:rPr>
          <w:rFonts w:ascii="Helvetica" w:hAnsi="Helvetica"/>
          <w:bCs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bCs/>
          <w:color w:val="000000" w:themeColor="text1"/>
          <w:sz w:val="20"/>
          <w:szCs w:val="20"/>
          <w:lang w:val="en-GB"/>
        </w:rPr>
        <w:t xml:space="preserve">Mean energy intake was estimated using a food-frequency questionnaire and Egyptian food composition data.  </w:t>
      </w:r>
    </w:p>
    <w:p w14:paraId="24C4246F" w14:textId="576DB8CA" w:rsidR="00960486" w:rsidRPr="009C6145" w:rsidRDefault="00960486" w:rsidP="00960486">
      <w:pPr>
        <w:rPr>
          <w:rFonts w:ascii="Helvetica" w:hAnsi="Helvetica"/>
          <w:bCs/>
          <w:color w:val="000000" w:themeColor="text1"/>
          <w:sz w:val="20"/>
          <w:szCs w:val="20"/>
          <w:lang w:val="en-GB"/>
        </w:rPr>
      </w:pPr>
      <w:r w:rsidRPr="008146D0">
        <w:rPr>
          <w:rFonts w:ascii="Helvetica" w:hAnsi="Helvetica"/>
          <w:bCs/>
          <w:color w:val="000000" w:themeColor="text1"/>
          <w:sz w:val="20"/>
          <w:szCs w:val="20"/>
          <w:lang w:val="en-GB"/>
        </w:rPr>
        <w:t>*Folate content</w:t>
      </w:r>
      <w:r w:rsidRPr="009C6145">
        <w:rPr>
          <w:rFonts w:ascii="Helvetica" w:hAnsi="Helvetica"/>
          <w:bCs/>
          <w:color w:val="000000" w:themeColor="text1"/>
          <w:sz w:val="20"/>
          <w:szCs w:val="20"/>
          <w:lang w:val="en-GB"/>
        </w:rPr>
        <w:t xml:space="preserve"> according to analyses using an in-house HPLC method 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fldChar w:fldCharType="begin"/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instrText xml:space="preserve"> ADDIN EN.CITE &lt;EndNote&gt;&lt;Cite&gt;&lt;Author&gt;Hefni&lt;/Author&gt;&lt;Year&gt;2010&lt;/Year&gt;&lt;RecNum&gt;405&lt;/RecNum&gt;&lt;DisplayText&gt;&lt;style face="superscript"&gt;(1)&lt;/style&gt;&lt;/DisplayText&gt;&lt;record&gt;&lt;rec-number&gt;405&lt;/rec-number&gt;&lt;foreign-keys&gt;&lt;key app="EN" db-id="p250ve5pet9ws9ee2r65t5vb0e9ar0ad0zs5" timestamp="0"&gt;405&lt;/key&gt;&lt;/foreign-keys&gt;&lt;ref-type name="Journal Article"&gt;17&lt;/ref-type&gt;&lt;contributors&gt;&lt;authors&gt;&lt;author&gt;Hefni, M.&lt;/author&gt;&lt;author&gt;Öhrvik, Veronica&lt;/author&gt;&lt;author&gt;Tabekha, Mohamed&lt;/author&gt;&lt;author&gt;Witthöft, Cornelia&lt;/author&gt;&lt;/authors&gt;&lt;/contributors&gt;&lt;titles&gt;&lt;title&gt;Folate content in foods commonly consumed in Egypt&lt;/title&gt;&lt;secondary-title&gt;Food Chemistry&lt;/secondary-title&gt;&lt;/titles&gt;&lt;pages&gt;540-545&lt;/pages&gt;&lt;volume&gt;121&lt;/volume&gt;&lt;number&gt;2&lt;/number&gt;&lt;keywords&gt;&lt;keyword&gt;Folate&lt;/keyword&gt;&lt;keyword&gt;Egyptian foods&lt;/keyword&gt;&lt;keyword&gt;HPLC&lt;/keyword&gt;&lt;keyword&gt;Mono-di-and trienzyme treatment&lt;/keyword&gt;&lt;/keywords&gt;&lt;dates&gt;&lt;year&gt;2010&lt;/year&gt;&lt;/dates&gt;&lt;urls&gt;&lt;related-urls&gt;&lt;url&gt;http://www.sciencedirect.com/science/article/pii/S0308814609014642 &lt;/url&gt;&lt;/related-urls&gt;&lt;/urls&gt;&lt;/record&gt;&lt;/Cite&gt;&lt;/EndNote&gt;</w:instrTex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fldChar w:fldCharType="separate"/>
      </w:r>
      <w:r w:rsidRPr="009C6145">
        <w:rPr>
          <w:rFonts w:ascii="Helvetica" w:hAnsi="Helvetica"/>
          <w:noProof/>
          <w:color w:val="000000" w:themeColor="text1"/>
          <w:sz w:val="20"/>
          <w:szCs w:val="20"/>
          <w:vertAlign w:val="superscript"/>
          <w:lang w:val="en-GB"/>
        </w:rPr>
        <w:t>(1)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fldChar w:fldCharType="end"/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>.</w:t>
      </w:r>
      <w:r w:rsidRPr="009C6145">
        <w:rPr>
          <w:rFonts w:ascii="Helvetica" w:hAnsi="Helvetica"/>
          <w:bCs/>
          <w:color w:val="000000" w:themeColor="text1"/>
          <w:sz w:val="20"/>
          <w:szCs w:val="20"/>
          <w:lang w:val="en-GB"/>
        </w:rPr>
        <w:t xml:space="preserve"> **According to supplier information.</w:t>
      </w:r>
    </w:p>
    <w:p w14:paraId="13B676FE" w14:textId="77777777" w:rsidR="00960486" w:rsidRPr="009C6145" w:rsidRDefault="00960486" w:rsidP="00960486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color w:val="000000" w:themeColor="text1"/>
          <w:sz w:val="20"/>
          <w:szCs w:val="20"/>
          <w:lang w:val="en-US"/>
        </w:rPr>
        <w:t>To define significant metabolites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 one-way ANOVA on log-transformed data was used. The Bonferroni-adjusted significance level was defined as </w:t>
      </w:r>
      <w:r w:rsidRPr="009C6145">
        <w:rPr>
          <w:rFonts w:ascii="Helvetica" w:hAnsi="Helvetica"/>
          <w:i/>
          <w:color w:val="000000" w:themeColor="text1"/>
          <w:sz w:val="20"/>
          <w:szCs w:val="20"/>
          <w:lang w:val="en-GB"/>
        </w:rPr>
        <w:t xml:space="preserve">p ≤ 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>0.001</w:t>
      </w:r>
      <w:r w:rsidR="008A6828"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. No significant differences (p ≤ 0.001, Bonferroni-adjusted significance level) were observed. </w:t>
      </w:r>
    </w:p>
    <w:p w14:paraId="59FF9862" w14:textId="77777777" w:rsidR="00960486" w:rsidRPr="009C6145" w:rsidRDefault="00960486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br w:type="page"/>
      </w:r>
    </w:p>
    <w:p w14:paraId="3D85C497" w14:textId="2279E474" w:rsidR="00722B4A" w:rsidRPr="009C6145" w:rsidRDefault="00D95408" w:rsidP="00722B4A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02571B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lastRenderedPageBreak/>
        <w:t>Supplementary Table S</w:t>
      </w:r>
      <w:r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>2</w:t>
      </w:r>
      <w:bookmarkStart w:id="0" w:name="_GoBack"/>
      <w:bookmarkEnd w:id="0"/>
      <w:r w:rsidRPr="0002571B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>.</w:t>
      </w:r>
      <w:r w:rsidR="00722B4A"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 Concentration (µmol/L, mean ± STD) of plasma metabolites</w:t>
      </w:r>
      <w:r w:rsidR="00722B4A" w:rsidRPr="009C6145">
        <w:rPr>
          <w:rFonts w:ascii="Helvetica" w:hAnsi="Helvetica"/>
          <w:color w:val="000000" w:themeColor="text1"/>
          <w:sz w:val="20"/>
          <w:szCs w:val="20"/>
          <w:vertAlign w:val="superscript"/>
          <w:lang w:val="en-GB"/>
        </w:rPr>
        <w:t>1</w:t>
      </w:r>
      <w:r w:rsidR="00722B4A"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 in the control, folate-rich foods and folic acid supplement groups</w:t>
      </w:r>
      <w:r w:rsidR="00722B4A" w:rsidRPr="009C6145">
        <w:rPr>
          <w:rFonts w:ascii="Helvetica" w:hAnsi="Helvetica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722B4A"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which show differences at 12 weeks of intervention </w:t>
      </w:r>
    </w:p>
    <w:tbl>
      <w:tblPr>
        <w:tblW w:w="921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596"/>
        <w:gridCol w:w="1276"/>
        <w:gridCol w:w="1417"/>
        <w:gridCol w:w="1276"/>
        <w:gridCol w:w="1134"/>
      </w:tblGrid>
      <w:tr w:rsidR="009C6145" w:rsidRPr="009C6145" w14:paraId="711A6F36" w14:textId="77777777" w:rsidTr="004F1804">
        <w:trPr>
          <w:trHeight w:val="33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63B02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Metabolite </w:t>
            </w:r>
          </w:p>
          <w:p w14:paraId="4F927353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F0873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Control</w:t>
            </w:r>
          </w:p>
          <w:p w14:paraId="18D400B1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B42C5" w14:textId="77777777" w:rsidR="00722B4A" w:rsidRPr="009C6145" w:rsidRDefault="00722B4A" w:rsidP="004F1804">
            <w:pPr>
              <w:keepNext/>
              <w:keepLines/>
              <w:spacing w:before="200"/>
              <w:outlineLvl w:val="5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Folate-rich foods group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D4972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Folic acid supplement group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777FF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VIP</w:t>
            </w:r>
          </w:p>
          <w:p w14:paraId="12F36CD2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(95% CI)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27F72" w14:textId="77777777" w:rsidR="00722B4A" w:rsidRPr="009C6145" w:rsidRDefault="00722B4A" w:rsidP="004F1804">
            <w:pPr>
              <w:rPr>
                <w:rFonts w:ascii="Helvetica" w:hAnsi="Helvetica"/>
                <w:i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i/>
                <w:color w:val="000000" w:themeColor="text1"/>
                <w:sz w:val="20"/>
                <w:szCs w:val="20"/>
                <w:lang w:val="en-GB"/>
              </w:rPr>
              <w:t>p</w:t>
            </w:r>
          </w:p>
          <w:p w14:paraId="37FFF302" w14:textId="77777777" w:rsidR="00722B4A" w:rsidRPr="009C6145" w:rsidRDefault="00722B4A" w:rsidP="004F180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value</w:t>
            </w:r>
          </w:p>
        </w:tc>
      </w:tr>
      <w:tr w:rsidR="009C6145" w:rsidRPr="00912946" w14:paraId="34B4BA51" w14:textId="77777777" w:rsidTr="00510EA7">
        <w:trPr>
          <w:trHeight w:hRule="exact" w:val="397"/>
        </w:trPr>
        <w:tc>
          <w:tcPr>
            <w:tcW w:w="9214" w:type="dxa"/>
            <w:gridSpan w:val="6"/>
            <w:tcBorders>
              <w:top w:val="single" w:sz="12" w:space="0" w:color="auto"/>
            </w:tcBorders>
            <w:shd w:val="clear" w:color="auto" w:fill="auto"/>
            <w:noWrap/>
          </w:tcPr>
          <w:p w14:paraId="1E29628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Metabolites with significant differences after Bonferroni correction 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u w:val="single"/>
                <w:lang w:val="en-GB"/>
              </w:rPr>
              <w:t>and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VIP &gt; 1  </w:t>
            </w:r>
          </w:p>
        </w:tc>
      </w:tr>
      <w:tr w:rsidR="009C6145" w:rsidRPr="009C6145" w14:paraId="4738E8D3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145C8BE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Glycine</w:t>
            </w:r>
          </w:p>
        </w:tc>
        <w:tc>
          <w:tcPr>
            <w:tcW w:w="1596" w:type="dxa"/>
            <w:shd w:val="clear" w:color="auto" w:fill="auto"/>
            <w:noWrap/>
          </w:tcPr>
          <w:p w14:paraId="3D6F9B3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589±298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</w:tcPr>
          <w:p w14:paraId="7DA1A02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357±191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417" w:type="dxa"/>
            <w:shd w:val="clear" w:color="auto" w:fill="auto"/>
            <w:noWrap/>
          </w:tcPr>
          <w:p w14:paraId="3C8B0EC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806±223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3DC3C5A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3.3 (2.9)</w:t>
            </w:r>
          </w:p>
        </w:tc>
        <w:tc>
          <w:tcPr>
            <w:tcW w:w="1134" w:type="dxa"/>
            <w:shd w:val="clear" w:color="auto" w:fill="auto"/>
          </w:tcPr>
          <w:p w14:paraId="1A83A40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9C6145" w:rsidRPr="009C6145" w14:paraId="3938F578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6D48D4A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Choline</w:t>
            </w:r>
          </w:p>
        </w:tc>
        <w:tc>
          <w:tcPr>
            <w:tcW w:w="1596" w:type="dxa"/>
            <w:shd w:val="clear" w:color="auto" w:fill="auto"/>
            <w:noWrap/>
          </w:tcPr>
          <w:p w14:paraId="1E12B0A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127±87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</w:tcPr>
          <w:p w14:paraId="4E0FFA7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60±61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417" w:type="dxa"/>
            <w:shd w:val="clear" w:color="auto" w:fill="auto"/>
            <w:noWrap/>
          </w:tcPr>
          <w:p w14:paraId="5608947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221±70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2234DFB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2.0 (1.7)</w:t>
            </w:r>
          </w:p>
        </w:tc>
        <w:tc>
          <w:tcPr>
            <w:tcW w:w="1134" w:type="dxa"/>
            <w:shd w:val="clear" w:color="auto" w:fill="auto"/>
          </w:tcPr>
          <w:p w14:paraId="61774FB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9C6145" w:rsidRPr="009C6145" w14:paraId="62475DCF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592DD0F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Threonine</w:t>
            </w:r>
          </w:p>
        </w:tc>
        <w:tc>
          <w:tcPr>
            <w:tcW w:w="1596" w:type="dxa"/>
            <w:shd w:val="clear" w:color="auto" w:fill="auto"/>
            <w:noWrap/>
          </w:tcPr>
          <w:p w14:paraId="4DB65B7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178±60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67DEAB0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138±37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645344F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222±66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69899E6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1.5 (1.0)</w:t>
            </w:r>
          </w:p>
        </w:tc>
        <w:tc>
          <w:tcPr>
            <w:tcW w:w="1134" w:type="dxa"/>
            <w:shd w:val="clear" w:color="auto" w:fill="auto"/>
          </w:tcPr>
          <w:p w14:paraId="5F8DE99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9C6145" w:rsidRPr="009C6145" w14:paraId="49538E21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66E6B61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Histidine</w:t>
            </w:r>
          </w:p>
        </w:tc>
        <w:tc>
          <w:tcPr>
            <w:tcW w:w="1596" w:type="dxa"/>
            <w:shd w:val="clear" w:color="auto" w:fill="auto"/>
            <w:noWrap/>
          </w:tcPr>
          <w:p w14:paraId="3BE5C0F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110±28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276" w:type="dxa"/>
            <w:shd w:val="clear" w:color="auto" w:fill="auto"/>
            <w:noWrap/>
          </w:tcPr>
          <w:p w14:paraId="7829A22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94±19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703F39E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132±28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449DAE3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1.0 (0.9)</w:t>
            </w:r>
          </w:p>
        </w:tc>
        <w:tc>
          <w:tcPr>
            <w:tcW w:w="1134" w:type="dxa"/>
            <w:shd w:val="clear" w:color="auto" w:fill="auto"/>
          </w:tcPr>
          <w:p w14:paraId="703200B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9C6145" w:rsidRPr="009C6145" w14:paraId="4BE7B4A6" w14:textId="77777777" w:rsidTr="00510EA7">
        <w:trPr>
          <w:trHeight w:hRule="exact" w:val="397"/>
        </w:trPr>
        <w:tc>
          <w:tcPr>
            <w:tcW w:w="9214" w:type="dxa"/>
            <w:gridSpan w:val="6"/>
            <w:shd w:val="clear" w:color="auto" w:fill="auto"/>
            <w:noWrap/>
          </w:tcPr>
          <w:p w14:paraId="258073D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Metabolites with VIP&gt;1  </w:t>
            </w:r>
          </w:p>
        </w:tc>
      </w:tr>
      <w:tr w:rsidR="009C6145" w:rsidRPr="009C6145" w14:paraId="5C1E9A3B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130A261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Alanine</w:t>
            </w:r>
          </w:p>
        </w:tc>
        <w:tc>
          <w:tcPr>
            <w:tcW w:w="1596" w:type="dxa"/>
            <w:shd w:val="clear" w:color="auto" w:fill="auto"/>
            <w:noWrap/>
          </w:tcPr>
          <w:p w14:paraId="0763F56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743±339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20CA615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506±222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0F04EFD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861±365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4B70FB0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2.9 (2.2)</w:t>
            </w:r>
          </w:p>
        </w:tc>
        <w:tc>
          <w:tcPr>
            <w:tcW w:w="1134" w:type="dxa"/>
            <w:shd w:val="clear" w:color="auto" w:fill="auto"/>
          </w:tcPr>
          <w:p w14:paraId="485ABD5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0.008</w:t>
            </w:r>
          </w:p>
        </w:tc>
      </w:tr>
      <w:tr w:rsidR="009C6145" w:rsidRPr="009C6145" w14:paraId="32539480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  <w:hideMark/>
          </w:tcPr>
          <w:p w14:paraId="1D0FAB4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Leucine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14:paraId="7D2B1843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195±58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4EAF2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161±43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A1A1A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232±57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C3C96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1.4 (1.2)</w:t>
            </w:r>
          </w:p>
        </w:tc>
        <w:tc>
          <w:tcPr>
            <w:tcW w:w="1134" w:type="dxa"/>
            <w:shd w:val="clear" w:color="auto" w:fill="auto"/>
            <w:hideMark/>
          </w:tcPr>
          <w:p w14:paraId="43125BA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0.002</w:t>
            </w:r>
          </w:p>
        </w:tc>
      </w:tr>
      <w:tr w:rsidR="009C6145" w:rsidRPr="009C6145" w14:paraId="38C5A381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  <w:hideMark/>
          </w:tcPr>
          <w:p w14:paraId="4B74C31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Serine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14:paraId="596E672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278±89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7957A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217±59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23A85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318±107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FEA86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1.5 (1.2)</w:t>
            </w:r>
          </w:p>
        </w:tc>
        <w:tc>
          <w:tcPr>
            <w:tcW w:w="1134" w:type="dxa"/>
            <w:shd w:val="clear" w:color="auto" w:fill="auto"/>
            <w:hideMark/>
          </w:tcPr>
          <w:p w14:paraId="2F8FC00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0.014</w:t>
            </w:r>
          </w:p>
        </w:tc>
      </w:tr>
      <w:tr w:rsidR="009C6145" w:rsidRPr="009C6145" w14:paraId="2A054820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  <w:hideMark/>
          </w:tcPr>
          <w:p w14:paraId="111E6E1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Lysine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14:paraId="57726D9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232±84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E29EF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197±5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F8EED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286±70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EFBF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1.4 (1.1)</w:t>
            </w:r>
          </w:p>
        </w:tc>
        <w:tc>
          <w:tcPr>
            <w:tcW w:w="1134" w:type="dxa"/>
            <w:shd w:val="clear" w:color="auto" w:fill="auto"/>
            <w:hideMark/>
          </w:tcPr>
          <w:p w14:paraId="0A45922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0.005</w:t>
            </w:r>
          </w:p>
        </w:tc>
      </w:tr>
      <w:tr w:rsidR="009C6145" w:rsidRPr="009C6145" w14:paraId="640144F1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27ACB89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Proline</w:t>
            </w:r>
          </w:p>
        </w:tc>
        <w:tc>
          <w:tcPr>
            <w:tcW w:w="1596" w:type="dxa"/>
            <w:shd w:val="clear" w:color="auto" w:fill="auto"/>
            <w:noWrap/>
          </w:tcPr>
          <w:p w14:paraId="283123F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373±155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003E52D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285±52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71FBCE5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415±142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642835E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1.7 (0.9)</w:t>
            </w:r>
          </w:p>
        </w:tc>
        <w:tc>
          <w:tcPr>
            <w:tcW w:w="1134" w:type="dxa"/>
            <w:shd w:val="clear" w:color="auto" w:fill="auto"/>
          </w:tcPr>
          <w:p w14:paraId="75A8B3A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0.009</w:t>
            </w:r>
          </w:p>
        </w:tc>
      </w:tr>
      <w:tr w:rsidR="009C6145" w:rsidRPr="009C6145" w14:paraId="03456CB2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1FBEB6C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Glutamate</w:t>
            </w:r>
          </w:p>
        </w:tc>
        <w:tc>
          <w:tcPr>
            <w:tcW w:w="1596" w:type="dxa"/>
            <w:shd w:val="clear" w:color="auto" w:fill="auto"/>
            <w:noWrap/>
          </w:tcPr>
          <w:p w14:paraId="7276D95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209±79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547CD1C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171±52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53885373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256±59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2FF6374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1.4 (1.0)</w:t>
            </w:r>
          </w:p>
        </w:tc>
        <w:tc>
          <w:tcPr>
            <w:tcW w:w="1134" w:type="dxa"/>
            <w:shd w:val="clear" w:color="auto" w:fill="auto"/>
          </w:tcPr>
          <w:p w14:paraId="13B4344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0.003</w:t>
            </w:r>
          </w:p>
        </w:tc>
      </w:tr>
      <w:tr w:rsidR="009C6145" w:rsidRPr="009C6145" w14:paraId="0D8E4E5B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19679C4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Valine</w:t>
            </w:r>
          </w:p>
        </w:tc>
        <w:tc>
          <w:tcPr>
            <w:tcW w:w="1596" w:type="dxa"/>
            <w:shd w:val="clear" w:color="auto" w:fill="auto"/>
            <w:noWrap/>
          </w:tcPr>
          <w:p w14:paraId="36E3A27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285±64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55DDA3E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248±54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32E6810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321±65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4FEFEF4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1.3 (1.1)</w:t>
            </w:r>
          </w:p>
        </w:tc>
        <w:tc>
          <w:tcPr>
            <w:tcW w:w="1134" w:type="dxa"/>
            <w:shd w:val="clear" w:color="auto" w:fill="auto"/>
          </w:tcPr>
          <w:p w14:paraId="42BAA66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0.006</w:t>
            </w:r>
          </w:p>
        </w:tc>
      </w:tr>
      <w:tr w:rsidR="009C6145" w:rsidRPr="009C6145" w14:paraId="5FBBB5A4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2760AE7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Succinate</w:t>
            </w:r>
          </w:p>
        </w:tc>
        <w:tc>
          <w:tcPr>
            <w:tcW w:w="1596" w:type="dxa"/>
            <w:shd w:val="clear" w:color="auto" w:fill="auto"/>
            <w:noWrap/>
          </w:tcPr>
          <w:p w14:paraId="4312921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78±46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3A7AEA9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47±32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1886C78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107±53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05A2292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1.2 (0.8)</w:t>
            </w:r>
          </w:p>
        </w:tc>
        <w:tc>
          <w:tcPr>
            <w:tcW w:w="1134" w:type="dxa"/>
            <w:shd w:val="clear" w:color="auto" w:fill="auto"/>
          </w:tcPr>
          <w:p w14:paraId="3911176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0.002</w:t>
            </w:r>
          </w:p>
        </w:tc>
      </w:tr>
      <w:tr w:rsidR="009C6145" w:rsidRPr="009C6145" w14:paraId="5539BAFB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3F342BA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Isoleucine</w:t>
            </w:r>
          </w:p>
        </w:tc>
        <w:tc>
          <w:tcPr>
            <w:tcW w:w="1596" w:type="dxa"/>
            <w:shd w:val="clear" w:color="auto" w:fill="auto"/>
            <w:noWrap/>
          </w:tcPr>
          <w:p w14:paraId="4F7B355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105±29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A.B</w:t>
            </w:r>
          </w:p>
        </w:tc>
        <w:tc>
          <w:tcPr>
            <w:tcW w:w="1276" w:type="dxa"/>
            <w:shd w:val="clear" w:color="auto" w:fill="auto"/>
            <w:noWrap/>
          </w:tcPr>
          <w:p w14:paraId="44B9AFE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90±23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229F243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128±35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4E3C206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1.0 (0.8)</w:t>
            </w:r>
          </w:p>
        </w:tc>
        <w:tc>
          <w:tcPr>
            <w:tcW w:w="1134" w:type="dxa"/>
            <w:shd w:val="clear" w:color="auto" w:fill="auto"/>
          </w:tcPr>
          <w:p w14:paraId="73B3D68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0.003</w:t>
            </w:r>
          </w:p>
        </w:tc>
      </w:tr>
      <w:tr w:rsidR="009C6145" w:rsidRPr="00912946" w14:paraId="47CC0733" w14:textId="77777777" w:rsidTr="00510EA7">
        <w:trPr>
          <w:trHeight w:hRule="exact" w:val="397"/>
        </w:trPr>
        <w:tc>
          <w:tcPr>
            <w:tcW w:w="9214" w:type="dxa"/>
            <w:gridSpan w:val="6"/>
            <w:shd w:val="clear" w:color="auto" w:fill="auto"/>
            <w:noWrap/>
          </w:tcPr>
          <w:p w14:paraId="22C7030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Metabolites with significance in univariate analyses (</w:t>
            </w:r>
            <w:r w:rsidRPr="009C6145">
              <w:rPr>
                <w:rFonts w:ascii="Helvetica" w:hAnsi="Helvetica"/>
                <w:i/>
                <w:color w:val="000000" w:themeColor="text1"/>
                <w:sz w:val="20"/>
                <w:szCs w:val="20"/>
                <w:lang w:val="en-GB"/>
              </w:rPr>
              <w:t>P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sym w:font="Symbol" w:char="F0A3"/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0.05) but VIP &lt; 1</w:t>
            </w:r>
          </w:p>
        </w:tc>
      </w:tr>
      <w:tr w:rsidR="009C6145" w:rsidRPr="009C6145" w14:paraId="7CE2B15E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793CF95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2-Oxoiso-caproate</w:t>
            </w:r>
          </w:p>
        </w:tc>
        <w:tc>
          <w:tcPr>
            <w:tcW w:w="1596" w:type="dxa"/>
            <w:shd w:val="clear" w:color="auto" w:fill="auto"/>
            <w:noWrap/>
          </w:tcPr>
          <w:p w14:paraId="3336087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7±5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3AF0C91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3±2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425ECF0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8±4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4A39BD7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426BB0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&lt;0.001</w:t>
            </w:r>
          </w:p>
        </w:tc>
      </w:tr>
      <w:tr w:rsidR="009C6145" w:rsidRPr="009C6145" w14:paraId="21A43011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  <w:hideMark/>
          </w:tcPr>
          <w:p w14:paraId="1FBB6693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Betaine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14:paraId="735ADFF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66±18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4E899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61±15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00C90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85±18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192C2E3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EF4D53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9C6145" w:rsidRPr="009C6145" w14:paraId="3442004D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32D4BF8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Formate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</w:tcPr>
          <w:p w14:paraId="26C4CFE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51±18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</w:tcPr>
          <w:p w14:paraId="676972D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39±11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</w:tcPr>
          <w:p w14:paraId="53668CD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57±13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2036414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C729EC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9C6145" w:rsidRPr="009C6145" w14:paraId="2FA7CE63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631252C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Propionate</w:t>
            </w:r>
          </w:p>
        </w:tc>
        <w:tc>
          <w:tcPr>
            <w:tcW w:w="1596" w:type="dxa"/>
            <w:shd w:val="clear" w:color="auto" w:fill="auto"/>
            <w:noWrap/>
          </w:tcPr>
          <w:p w14:paraId="50FF719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17±8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72B5960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12±5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3B4890A3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21±9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69E182D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B64A8A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9C6145" w:rsidRPr="009C6145" w14:paraId="5584280A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53A5882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Phenyl-alanine</w:t>
            </w:r>
          </w:p>
        </w:tc>
        <w:tc>
          <w:tcPr>
            <w:tcW w:w="1596" w:type="dxa"/>
            <w:shd w:val="clear" w:color="auto" w:fill="auto"/>
            <w:noWrap/>
          </w:tcPr>
          <w:p w14:paraId="10641D8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79±26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6BCC843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63±23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1FF97EE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95±26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41868264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04516A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0.002</w:t>
            </w:r>
          </w:p>
        </w:tc>
      </w:tr>
      <w:tr w:rsidR="009C6145" w:rsidRPr="009C6145" w14:paraId="5AA34FE1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4A00FA1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Methionine</w:t>
            </w:r>
          </w:p>
        </w:tc>
        <w:tc>
          <w:tcPr>
            <w:tcW w:w="1596" w:type="dxa"/>
            <w:shd w:val="clear" w:color="auto" w:fill="auto"/>
            <w:noWrap/>
          </w:tcPr>
          <w:p w14:paraId="2288661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46±14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65C0FFE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34±13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38263DA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53±19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2E18D9E2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A6B8A3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0.004</w:t>
            </w:r>
          </w:p>
        </w:tc>
      </w:tr>
      <w:tr w:rsidR="009C6145" w:rsidRPr="009C6145" w14:paraId="7C526F44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463C3F08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Tyrosine</w:t>
            </w:r>
          </w:p>
        </w:tc>
        <w:tc>
          <w:tcPr>
            <w:tcW w:w="1596" w:type="dxa"/>
            <w:shd w:val="clear" w:color="auto" w:fill="auto"/>
            <w:noWrap/>
          </w:tcPr>
          <w:p w14:paraId="104AFD03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93±29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27D90D2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79±24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4CDB037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112±32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0921963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88CCAF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0.008</w:t>
            </w:r>
          </w:p>
        </w:tc>
      </w:tr>
      <w:tr w:rsidR="009C6145" w:rsidRPr="009C6145" w14:paraId="4C5A6E0A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01837D3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3-Methyl-2-oxovalerate</w:t>
            </w:r>
          </w:p>
        </w:tc>
        <w:tc>
          <w:tcPr>
            <w:tcW w:w="1596" w:type="dxa"/>
            <w:shd w:val="clear" w:color="auto" w:fill="auto"/>
            <w:noWrap/>
          </w:tcPr>
          <w:p w14:paraId="2C68589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15±2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3A1C558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8±3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6C090C5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15±11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322C53DB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999CD00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0.013</w:t>
            </w:r>
          </w:p>
        </w:tc>
      </w:tr>
      <w:tr w:rsidR="009C6145" w:rsidRPr="009C6145" w14:paraId="23305910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443C44D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Dimethyl sulfone </w:t>
            </w:r>
          </w:p>
        </w:tc>
        <w:tc>
          <w:tcPr>
            <w:tcW w:w="1596" w:type="dxa"/>
            <w:shd w:val="clear" w:color="auto" w:fill="auto"/>
            <w:noWrap/>
          </w:tcPr>
          <w:p w14:paraId="572978FE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8±2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276" w:type="dxa"/>
            <w:shd w:val="clear" w:color="auto" w:fill="auto"/>
            <w:noWrap/>
          </w:tcPr>
          <w:p w14:paraId="6D138B6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8±3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21D7D42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10±2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6FF3693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819070C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0.014</w:t>
            </w:r>
          </w:p>
        </w:tc>
      </w:tr>
      <w:tr w:rsidR="009C6145" w:rsidRPr="009C6145" w14:paraId="4B6CB892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10D57E6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O-Acetyl-carnitine </w:t>
            </w:r>
          </w:p>
        </w:tc>
        <w:tc>
          <w:tcPr>
            <w:tcW w:w="1596" w:type="dxa"/>
            <w:shd w:val="clear" w:color="auto" w:fill="auto"/>
            <w:noWrap/>
          </w:tcPr>
          <w:p w14:paraId="695EE2BF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12±6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782DB577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9±4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0C978EA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14±5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2D47FF8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E227845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0.023</w:t>
            </w:r>
          </w:p>
        </w:tc>
      </w:tr>
      <w:tr w:rsidR="009C6145" w:rsidRPr="009C6145" w14:paraId="3AC96918" w14:textId="77777777" w:rsidTr="00510EA7">
        <w:trPr>
          <w:trHeight w:hRule="exact" w:val="397"/>
        </w:trPr>
        <w:tc>
          <w:tcPr>
            <w:tcW w:w="2515" w:type="dxa"/>
            <w:shd w:val="clear" w:color="auto" w:fill="auto"/>
            <w:noWrap/>
          </w:tcPr>
          <w:p w14:paraId="24F19A26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Creatinine</w:t>
            </w:r>
          </w:p>
        </w:tc>
        <w:tc>
          <w:tcPr>
            <w:tcW w:w="1596" w:type="dxa"/>
            <w:shd w:val="clear" w:color="auto" w:fill="auto"/>
            <w:noWrap/>
          </w:tcPr>
          <w:p w14:paraId="63B366D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66±7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gramStart"/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14:paraId="747E1BED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61±12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noWrap/>
          </w:tcPr>
          <w:p w14:paraId="250245AA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70±10</w:t>
            </w: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A</w:t>
            </w:r>
          </w:p>
        </w:tc>
        <w:tc>
          <w:tcPr>
            <w:tcW w:w="1276" w:type="dxa"/>
            <w:shd w:val="clear" w:color="auto" w:fill="auto"/>
            <w:noWrap/>
          </w:tcPr>
          <w:p w14:paraId="63375A41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D8E6519" w14:textId="77777777" w:rsidR="00722B4A" w:rsidRPr="009C6145" w:rsidRDefault="00722B4A" w:rsidP="00E84524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9C6145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0.041</w:t>
            </w:r>
          </w:p>
        </w:tc>
      </w:tr>
    </w:tbl>
    <w:p w14:paraId="17626190" w14:textId="1F8A9CCB" w:rsidR="008906E1" w:rsidRDefault="00960486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color w:val="000000" w:themeColor="text1"/>
          <w:sz w:val="20"/>
          <w:szCs w:val="20"/>
          <w:vertAlign w:val="superscript"/>
          <w:lang w:val="en-GB"/>
        </w:rPr>
        <w:t>1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Only metabolites with significant differences between groups are listed. </w:t>
      </w:r>
      <w:r w:rsidRPr="009C6145">
        <w:rPr>
          <w:rFonts w:ascii="Helvetica" w:hAnsi="Helvetica"/>
          <w:color w:val="000000" w:themeColor="text1"/>
          <w:sz w:val="20"/>
          <w:szCs w:val="20"/>
          <w:lang w:val="en-US"/>
        </w:rPr>
        <w:t>To define significant metabolites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 one-way ANOVA on log-transformed data (</w:t>
      </w:r>
      <w:r w:rsidRPr="009C6145">
        <w:rPr>
          <w:rFonts w:ascii="Helvetica" w:hAnsi="Helvetica"/>
          <w:i/>
          <w:color w:val="000000" w:themeColor="text1"/>
          <w:sz w:val="20"/>
          <w:szCs w:val="20"/>
          <w:lang w:val="en-GB"/>
        </w:rPr>
        <w:t xml:space="preserve">p 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≤ 0.05) was used. The Bonferroni-adjusted significance level was defined as </w:t>
      </w:r>
      <w:r w:rsidRPr="009C6145">
        <w:rPr>
          <w:rFonts w:ascii="Helvetica" w:hAnsi="Helvetica"/>
          <w:i/>
          <w:color w:val="000000" w:themeColor="text1"/>
          <w:sz w:val="20"/>
          <w:szCs w:val="20"/>
          <w:lang w:val="en-GB"/>
        </w:rPr>
        <w:t xml:space="preserve">p ≤ 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>0.001. Different superscripts within same row represent significant differences. OPLS and OPLS-DA were used for discrimination of the intervention groups. VIP &gt;1 was used to define discriminative metabolites.</w:t>
      </w:r>
    </w:p>
    <w:p w14:paraId="68A337AE" w14:textId="4DBEA1DF" w:rsidR="008906E1" w:rsidRPr="008906E1" w:rsidRDefault="008906E1" w:rsidP="008906E1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  <w:br w:type="page"/>
      </w:r>
    </w:p>
    <w:p w14:paraId="589BF0F7" w14:textId="77777777" w:rsidR="008906E1" w:rsidRPr="009C6145" w:rsidRDefault="008906E1" w:rsidP="008906E1">
      <w:pPr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  <w:lastRenderedPageBreak/>
        <w:t>(A)</w:t>
      </w:r>
    </w:p>
    <w:p w14:paraId="71781D01" w14:textId="77777777" w:rsidR="008906E1" w:rsidRPr="009C6145" w:rsidRDefault="008906E1" w:rsidP="008906E1">
      <w:pPr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3B1F9B52" wp14:editId="46967E8B">
            <wp:extent cx="5636795" cy="3001879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82" cy="300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9112" w14:textId="77777777" w:rsidR="008906E1" w:rsidRPr="009C6145" w:rsidRDefault="008906E1" w:rsidP="008906E1">
      <w:pPr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  <w:t>(B)</w:t>
      </w:r>
    </w:p>
    <w:p w14:paraId="45B333FC" w14:textId="77777777" w:rsidR="008906E1" w:rsidRPr="009C6145" w:rsidRDefault="008906E1" w:rsidP="008906E1">
      <w:pPr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1681679A" wp14:editId="7D702EE5">
            <wp:extent cx="5943600" cy="29698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193A" w14:textId="77777777" w:rsidR="008906E1" w:rsidRPr="009C6145" w:rsidRDefault="008906E1" w:rsidP="008906E1">
      <w:pPr>
        <w:rPr>
          <w:rFonts w:ascii="Helvetica" w:hAnsi="Helvetica"/>
          <w:b/>
          <w:bCs/>
          <w:noProof/>
          <w:color w:val="000000" w:themeColor="text1"/>
          <w:sz w:val="20"/>
          <w:szCs w:val="20"/>
          <w:lang w:val="en-GB"/>
        </w:rPr>
      </w:pPr>
    </w:p>
    <w:p w14:paraId="503A0D8F" w14:textId="2E0FB94C" w:rsidR="008906E1" w:rsidRPr="009C6145" w:rsidRDefault="00D95408" w:rsidP="008906E1">
      <w:pPr>
        <w:autoSpaceDE w:val="0"/>
        <w:autoSpaceDN w:val="0"/>
        <w:adjustRightInd w:val="0"/>
        <w:jc w:val="both"/>
        <w:rPr>
          <w:rFonts w:ascii="Helvetica" w:hAnsi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 xml:space="preserve">Supplementary </w:t>
      </w:r>
      <w:r w:rsidRPr="009C6145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 xml:space="preserve">Fig. </w:t>
      </w:r>
      <w:r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>S</w:t>
      </w:r>
      <w:r w:rsidRPr="009C6145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>1.</w:t>
      </w:r>
      <w:r w:rsidR="008906E1" w:rsidRPr="009C6145"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  <w:t xml:space="preserve"> </w:t>
      </w:r>
    </w:p>
    <w:p w14:paraId="5E26FE64" w14:textId="77777777" w:rsidR="008906E1" w:rsidRPr="009C6145" w:rsidRDefault="008906E1" w:rsidP="008906E1">
      <w:pPr>
        <w:autoSpaceDE w:val="0"/>
        <w:autoSpaceDN w:val="0"/>
        <w:adjustRightInd w:val="0"/>
        <w:jc w:val="both"/>
        <w:rPr>
          <w:rFonts w:ascii="Helvetica" w:hAnsi="Helvetica"/>
          <w:b/>
          <w:color w:val="000000" w:themeColor="text1"/>
          <w:sz w:val="20"/>
          <w:szCs w:val="20"/>
          <w:lang w:val="en-GB"/>
        </w:rPr>
      </w:pPr>
    </w:p>
    <w:p w14:paraId="18FA1B32" w14:textId="77777777" w:rsidR="008906E1" w:rsidRPr="009C6145" w:rsidRDefault="008906E1" w:rsidP="008906E1">
      <w:pPr>
        <w:autoSpaceDE w:val="0"/>
        <w:autoSpaceDN w:val="0"/>
        <w:adjustRightInd w:val="0"/>
        <w:jc w:val="both"/>
        <w:rPr>
          <w:rFonts w:ascii="Helvetica" w:hAnsi="Helvetica"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>(A) Orthogonal partial least squares (OPLS) analysis of plasma metabolite profiles after the 12-weeks intervention showing the separation along the horizontal component of the folic acid supplement group (stars) from the folate-rich foods group (square); component 1 (R</w:t>
      </w:r>
      <w:r w:rsidRPr="009C6145">
        <w:rPr>
          <w:rFonts w:ascii="Helvetica" w:hAnsi="Helvetica"/>
          <w:color w:val="000000" w:themeColor="text1"/>
          <w:sz w:val="20"/>
          <w:szCs w:val="20"/>
          <w:vertAlign w:val="superscript"/>
          <w:lang w:val="en-GB"/>
        </w:rPr>
        <w:t>2</w:t>
      </w: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 xml:space="preserve">[x]) = 67.2%; cv ANOVA P &gt; 0.05. Codes next to symbols refer with D3 to the last day of intervention, with C, B and FA to control, folate-rich foods and folic acid supplement group and subsequent numbers to subject code. The x-axis depicts the number of volunteers, the y-axis depicts separation of the predictive compound. </w:t>
      </w:r>
    </w:p>
    <w:p w14:paraId="4DF210F9" w14:textId="77777777" w:rsidR="008906E1" w:rsidRPr="009C6145" w:rsidRDefault="008906E1" w:rsidP="008906E1">
      <w:pPr>
        <w:autoSpaceDE w:val="0"/>
        <w:autoSpaceDN w:val="0"/>
        <w:adjustRightInd w:val="0"/>
        <w:jc w:val="both"/>
        <w:rPr>
          <w:rFonts w:ascii="Helvetica" w:hAnsi="Helvetica"/>
          <w:color w:val="000000" w:themeColor="text1"/>
          <w:sz w:val="20"/>
          <w:szCs w:val="20"/>
          <w:lang w:val="en-GB"/>
        </w:rPr>
      </w:pPr>
    </w:p>
    <w:p w14:paraId="117A6EE9" w14:textId="5A82090E" w:rsidR="008906E1" w:rsidRPr="009C6145" w:rsidRDefault="008906E1" w:rsidP="008906E1">
      <w:pPr>
        <w:rPr>
          <w:rFonts w:ascii="Helvetica" w:hAnsi="Helvetica"/>
          <w:b/>
          <w:bCs/>
          <w:color w:val="000000" w:themeColor="text1"/>
          <w:sz w:val="20"/>
          <w:szCs w:val="20"/>
          <w:lang w:val="en-GB"/>
        </w:rPr>
      </w:pPr>
      <w:r w:rsidRPr="009C6145">
        <w:rPr>
          <w:rFonts w:ascii="Helvetica" w:hAnsi="Helvetica"/>
          <w:color w:val="000000" w:themeColor="text1"/>
          <w:sz w:val="20"/>
          <w:szCs w:val="20"/>
          <w:lang w:val="en-GB"/>
        </w:rPr>
        <w:t>(B) Variable Influence of Projection (VIP) plots from orthogonal partial least squares-discriminate analysis (OPLS-DA) of the overall plasma metabolites after the 12-weeks intervention. Metabolites with VIP 95% confidence interval (CI) &gt; 1 were designated discriminative variables.</w:t>
      </w:r>
    </w:p>
    <w:p w14:paraId="20FD93E6" w14:textId="77777777" w:rsidR="008906E1" w:rsidRPr="009C6145" w:rsidRDefault="008906E1" w:rsidP="008906E1">
      <w:pPr>
        <w:jc w:val="both"/>
        <w:rPr>
          <w:rFonts w:ascii="Helvetica" w:hAnsi="Helvetica"/>
          <w:color w:val="000000" w:themeColor="text1"/>
          <w:sz w:val="20"/>
          <w:szCs w:val="20"/>
          <w:lang w:val="en-GB"/>
        </w:rPr>
      </w:pPr>
    </w:p>
    <w:p w14:paraId="1A3FE03F" w14:textId="77777777" w:rsidR="00722B4A" w:rsidRPr="009C6145" w:rsidRDefault="00722B4A">
      <w:pPr>
        <w:rPr>
          <w:rFonts w:ascii="Helvetica" w:hAnsi="Helvetica"/>
          <w:color w:val="000000" w:themeColor="text1"/>
          <w:sz w:val="20"/>
          <w:szCs w:val="20"/>
          <w:lang w:val="en-GB"/>
        </w:rPr>
      </w:pPr>
    </w:p>
    <w:sectPr w:rsidR="00722B4A" w:rsidRPr="009C6145" w:rsidSect="00F415F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7695" w14:textId="77777777" w:rsidR="00977BBA" w:rsidRDefault="00977BBA">
      <w:r>
        <w:separator/>
      </w:r>
    </w:p>
  </w:endnote>
  <w:endnote w:type="continuationSeparator" w:id="0">
    <w:p w14:paraId="6967051C" w14:textId="77777777" w:rsidR="00977BBA" w:rsidRDefault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937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6EB0DE" w14:textId="77777777" w:rsidR="00EF37D9" w:rsidRPr="00A30D1F" w:rsidRDefault="00995203">
        <w:pPr>
          <w:pStyle w:val="Footer"/>
          <w:jc w:val="center"/>
          <w:rPr>
            <w:rFonts w:ascii="Times New Roman" w:hAnsi="Times New Roman" w:cs="Times New Roman"/>
          </w:rPr>
        </w:pPr>
        <w:r w:rsidRPr="00A30D1F">
          <w:rPr>
            <w:rFonts w:ascii="Times New Roman" w:hAnsi="Times New Roman" w:cs="Times New Roman"/>
          </w:rPr>
          <w:fldChar w:fldCharType="begin"/>
        </w:r>
        <w:r w:rsidRPr="00A30D1F">
          <w:rPr>
            <w:rFonts w:ascii="Times New Roman" w:hAnsi="Times New Roman" w:cs="Times New Roman"/>
          </w:rPr>
          <w:instrText xml:space="preserve"> PAGE   \* MERGEFORMAT </w:instrText>
        </w:r>
        <w:r w:rsidRPr="00A30D1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30D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8433E1" w14:textId="77777777" w:rsidR="00EF37D9" w:rsidRDefault="0097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94F1" w14:textId="77777777" w:rsidR="00977BBA" w:rsidRDefault="00977BBA">
      <w:r>
        <w:separator/>
      </w:r>
    </w:p>
  </w:footnote>
  <w:footnote w:type="continuationSeparator" w:id="0">
    <w:p w14:paraId="6F6E45CB" w14:textId="77777777" w:rsidR="00977BBA" w:rsidRDefault="0097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B89F" w14:textId="77777777" w:rsidR="00EF37D9" w:rsidRPr="00534080" w:rsidRDefault="00977BBA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14:paraId="7EFE9E2C" w14:textId="77777777" w:rsidR="00EF37D9" w:rsidRDefault="00995203" w:rsidP="00EA7A56">
    <w:pPr>
      <w:pStyle w:val="Header"/>
      <w:tabs>
        <w:tab w:val="clear" w:pos="4320"/>
        <w:tab w:val="clear" w:pos="8640"/>
        <w:tab w:val="left" w:pos="616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32"/>
    <w:rsid w:val="00001940"/>
    <w:rsid w:val="00002076"/>
    <w:rsid w:val="00004F44"/>
    <w:rsid w:val="00011379"/>
    <w:rsid w:val="00040E9E"/>
    <w:rsid w:val="00046804"/>
    <w:rsid w:val="00085536"/>
    <w:rsid w:val="00091FD8"/>
    <w:rsid w:val="000A72FF"/>
    <w:rsid w:val="000A7C47"/>
    <w:rsid w:val="000B07C8"/>
    <w:rsid w:val="000E5B7A"/>
    <w:rsid w:val="000F0728"/>
    <w:rsid w:val="001029A0"/>
    <w:rsid w:val="00107D20"/>
    <w:rsid w:val="001227E2"/>
    <w:rsid w:val="00122CCD"/>
    <w:rsid w:val="001327BF"/>
    <w:rsid w:val="00151640"/>
    <w:rsid w:val="001607D9"/>
    <w:rsid w:val="00190FE0"/>
    <w:rsid w:val="00193E11"/>
    <w:rsid w:val="001C66AF"/>
    <w:rsid w:val="001C77E4"/>
    <w:rsid w:val="001E0BA2"/>
    <w:rsid w:val="00216642"/>
    <w:rsid w:val="00244EAD"/>
    <w:rsid w:val="002466D7"/>
    <w:rsid w:val="002A6C55"/>
    <w:rsid w:val="003529BB"/>
    <w:rsid w:val="00352C75"/>
    <w:rsid w:val="00390FBA"/>
    <w:rsid w:val="003D1755"/>
    <w:rsid w:val="003F2BB7"/>
    <w:rsid w:val="003F4805"/>
    <w:rsid w:val="003F71E9"/>
    <w:rsid w:val="0041353F"/>
    <w:rsid w:val="004462E4"/>
    <w:rsid w:val="004818D7"/>
    <w:rsid w:val="0049238C"/>
    <w:rsid w:val="004D54D7"/>
    <w:rsid w:val="004E3BD5"/>
    <w:rsid w:val="00510EA7"/>
    <w:rsid w:val="00514321"/>
    <w:rsid w:val="00531E31"/>
    <w:rsid w:val="0058168C"/>
    <w:rsid w:val="0059567A"/>
    <w:rsid w:val="005B6C18"/>
    <w:rsid w:val="005E6E35"/>
    <w:rsid w:val="00661100"/>
    <w:rsid w:val="00671A6D"/>
    <w:rsid w:val="0067262B"/>
    <w:rsid w:val="006C3ACC"/>
    <w:rsid w:val="006D1482"/>
    <w:rsid w:val="006D339E"/>
    <w:rsid w:val="006E0E07"/>
    <w:rsid w:val="00701507"/>
    <w:rsid w:val="007118B1"/>
    <w:rsid w:val="0072069B"/>
    <w:rsid w:val="00722B4A"/>
    <w:rsid w:val="007339B7"/>
    <w:rsid w:val="0074583C"/>
    <w:rsid w:val="00753226"/>
    <w:rsid w:val="0076797A"/>
    <w:rsid w:val="00771D2B"/>
    <w:rsid w:val="0077370F"/>
    <w:rsid w:val="007823A3"/>
    <w:rsid w:val="007872AF"/>
    <w:rsid w:val="00804F0A"/>
    <w:rsid w:val="008129C2"/>
    <w:rsid w:val="008146D0"/>
    <w:rsid w:val="008906E1"/>
    <w:rsid w:val="008A6828"/>
    <w:rsid w:val="008C4009"/>
    <w:rsid w:val="008F51FB"/>
    <w:rsid w:val="008F550F"/>
    <w:rsid w:val="008F5B13"/>
    <w:rsid w:val="009103EF"/>
    <w:rsid w:val="00912946"/>
    <w:rsid w:val="00950CDF"/>
    <w:rsid w:val="00960486"/>
    <w:rsid w:val="0097331A"/>
    <w:rsid w:val="00977BBA"/>
    <w:rsid w:val="0099376A"/>
    <w:rsid w:val="009937F5"/>
    <w:rsid w:val="00995203"/>
    <w:rsid w:val="009953BC"/>
    <w:rsid w:val="009B6B20"/>
    <w:rsid w:val="009B7B32"/>
    <w:rsid w:val="009C0F67"/>
    <w:rsid w:val="009C6145"/>
    <w:rsid w:val="009F4786"/>
    <w:rsid w:val="00A00E50"/>
    <w:rsid w:val="00A54BE3"/>
    <w:rsid w:val="00A73DC4"/>
    <w:rsid w:val="00A875FA"/>
    <w:rsid w:val="00AB318A"/>
    <w:rsid w:val="00AC06CC"/>
    <w:rsid w:val="00AF0859"/>
    <w:rsid w:val="00AF23CB"/>
    <w:rsid w:val="00AF4D8B"/>
    <w:rsid w:val="00B04AB7"/>
    <w:rsid w:val="00BB5412"/>
    <w:rsid w:val="00BE7E2C"/>
    <w:rsid w:val="00C3120D"/>
    <w:rsid w:val="00C755C7"/>
    <w:rsid w:val="00C85012"/>
    <w:rsid w:val="00CA1ADC"/>
    <w:rsid w:val="00CA6357"/>
    <w:rsid w:val="00CB6A0F"/>
    <w:rsid w:val="00CE30A4"/>
    <w:rsid w:val="00CF06CD"/>
    <w:rsid w:val="00D47AA4"/>
    <w:rsid w:val="00D7346D"/>
    <w:rsid w:val="00D95408"/>
    <w:rsid w:val="00DA664A"/>
    <w:rsid w:val="00DC0CE5"/>
    <w:rsid w:val="00DC2BB9"/>
    <w:rsid w:val="00E0138F"/>
    <w:rsid w:val="00E03586"/>
    <w:rsid w:val="00E064B2"/>
    <w:rsid w:val="00E137A4"/>
    <w:rsid w:val="00E46E45"/>
    <w:rsid w:val="00E84524"/>
    <w:rsid w:val="00E970C3"/>
    <w:rsid w:val="00EA17D5"/>
    <w:rsid w:val="00EB256F"/>
    <w:rsid w:val="00EC63B5"/>
    <w:rsid w:val="00EF0309"/>
    <w:rsid w:val="00EF04B3"/>
    <w:rsid w:val="00F415F0"/>
    <w:rsid w:val="00F47022"/>
    <w:rsid w:val="00F56032"/>
    <w:rsid w:val="00F8139D"/>
    <w:rsid w:val="00F864DE"/>
    <w:rsid w:val="00F8760D"/>
    <w:rsid w:val="00FA2A9B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8198"/>
  <w14:defaultImageDpi w14:val="32767"/>
  <w15:chartTrackingRefBased/>
  <w15:docId w15:val="{80AD5C9B-5DD0-5742-A06A-BE7FDF32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6032"/>
    <w:rPr>
      <w:rFonts w:ascii="Times New Roman" w:eastAsia="Times New Roman" w:hAnsi="Times New Roman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48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5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55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5"/>
    <w:rPr>
      <w:rFonts w:ascii="Times New Roman" w:eastAsia="Times New Roman" w:hAnsi="Times New Roman" w:cs="Times New Roman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CE30A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E30A4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0A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30A4"/>
    <w:rPr>
      <w:rFonts w:eastAsiaTheme="minorEastAsia"/>
      <w:sz w:val="22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E3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524"/>
    <w:rPr>
      <w:rFonts w:ascii="Times New Roman" w:eastAsia="Times New Roman" w:hAnsi="Times New Roman" w:cs="Times New Roman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524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ListParagraph">
    <w:name w:val="List Paragraph"/>
    <w:basedOn w:val="Normal"/>
    <w:uiPriority w:val="34"/>
    <w:qFormat/>
    <w:rsid w:val="0019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Hefni</dc:creator>
  <cp:keywords/>
  <dc:description/>
  <cp:lastModifiedBy>Chris Diana Bedford</cp:lastModifiedBy>
  <cp:revision>3</cp:revision>
  <dcterms:created xsi:type="dcterms:W3CDTF">2018-11-16T13:35:00Z</dcterms:created>
  <dcterms:modified xsi:type="dcterms:W3CDTF">2018-11-16T13:55:00Z</dcterms:modified>
</cp:coreProperties>
</file>