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7E475" w14:textId="4855489C" w:rsidR="00B35A25" w:rsidRPr="00E24FF2" w:rsidRDefault="00B35A25" w:rsidP="00B35A2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en-GB"/>
        </w:rPr>
      </w:pPr>
      <w:r w:rsidRPr="001A1583">
        <w:rPr>
          <w:rFonts w:ascii="Times New Roman" w:hAnsi="Times New Roman"/>
          <w:b/>
          <w:sz w:val="24"/>
          <w:szCs w:val="24"/>
          <w:lang w:eastAsia="en-GB"/>
        </w:rPr>
        <w:t xml:space="preserve">Supplementary </w:t>
      </w:r>
      <w:r w:rsidR="001A1583" w:rsidRPr="001A1583">
        <w:rPr>
          <w:rFonts w:ascii="Times New Roman" w:hAnsi="Times New Roman"/>
          <w:b/>
          <w:sz w:val="24"/>
          <w:szCs w:val="24"/>
          <w:lang w:eastAsia="en-GB"/>
        </w:rPr>
        <w:t>Table S</w:t>
      </w:r>
      <w:r w:rsidRPr="001A1583">
        <w:rPr>
          <w:rFonts w:ascii="Times New Roman" w:hAnsi="Times New Roman"/>
          <w:b/>
          <w:sz w:val="24"/>
          <w:szCs w:val="24"/>
          <w:lang w:eastAsia="en-GB"/>
        </w:rPr>
        <w:t>1.</w:t>
      </w:r>
      <w:r w:rsidRPr="00E24FF2">
        <w:rPr>
          <w:rFonts w:ascii="Times New Roman" w:hAnsi="Times New Roman"/>
          <w:sz w:val="24"/>
          <w:szCs w:val="24"/>
          <w:lang w:eastAsia="en-GB"/>
        </w:rPr>
        <w:t xml:space="preserve"> Nutrient composition of the </w:t>
      </w:r>
      <w:r w:rsidR="001A1583" w:rsidRPr="00E24FF2">
        <w:rPr>
          <w:rFonts w:ascii="Times New Roman" w:hAnsi="Times New Roman"/>
          <w:sz w:val="24"/>
          <w:szCs w:val="24"/>
          <w:lang w:eastAsia="en-GB"/>
        </w:rPr>
        <w:t xml:space="preserve">control and test </w:t>
      </w:r>
      <w:r w:rsidRPr="00E24FF2">
        <w:rPr>
          <w:rFonts w:ascii="Times New Roman" w:hAnsi="Times New Roman"/>
          <w:sz w:val="24"/>
          <w:szCs w:val="24"/>
          <w:lang w:eastAsia="en-GB"/>
        </w:rPr>
        <w:t>diets analysed post</w:t>
      </w:r>
      <w:r w:rsidR="001A1583">
        <w:rPr>
          <w:rFonts w:ascii="Times New Roman" w:hAnsi="Times New Roman"/>
          <w:sz w:val="24"/>
          <w:szCs w:val="24"/>
          <w:lang w:eastAsia="en-GB"/>
        </w:rPr>
        <w:t>-</w:t>
      </w:r>
      <w:r w:rsidRPr="00470F82">
        <w:rPr>
          <w:rFonts w:ascii="Times New Roman" w:hAnsi="Times New Roman"/>
          <w:sz w:val="24"/>
          <w:szCs w:val="24"/>
          <w:lang w:eastAsia="en-GB"/>
        </w:rPr>
        <w:t>manufacture</w:t>
      </w:r>
    </w:p>
    <w:tbl>
      <w:tblPr>
        <w:tblW w:w="7508" w:type="dxa"/>
        <w:jc w:val="center"/>
        <w:tblLook w:val="04A0" w:firstRow="1" w:lastRow="0" w:firstColumn="1" w:lastColumn="0" w:noHBand="0" w:noVBand="1"/>
      </w:tblPr>
      <w:tblGrid>
        <w:gridCol w:w="4390"/>
        <w:gridCol w:w="1559"/>
        <w:gridCol w:w="1559"/>
      </w:tblGrid>
      <w:tr w:rsidR="00B35A25" w:rsidRPr="00E24FF2" w14:paraId="3F40BFF2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0442C3B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  <w:t>Diet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261911A" w14:textId="77777777" w:rsidR="00B35A25" w:rsidRPr="00E24FF2" w:rsidRDefault="00B35A25" w:rsidP="0005465A">
            <w:pPr>
              <w:spacing w:line="360" w:lineRule="auto"/>
              <w:ind w:firstLineChars="100" w:firstLine="241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  <w:t>Control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0858BB" w14:textId="77777777" w:rsidR="00B35A25" w:rsidRPr="00E24FF2" w:rsidRDefault="00B35A25" w:rsidP="0005465A">
            <w:pPr>
              <w:spacing w:line="360" w:lineRule="auto"/>
              <w:ind w:firstLineChars="100" w:firstLine="241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24"/>
                <w:szCs w:val="24"/>
                <w:lang w:eastAsia="en-GB"/>
              </w:rPr>
              <w:t>Test</w:t>
            </w:r>
          </w:p>
        </w:tc>
      </w:tr>
      <w:tr w:rsidR="00B35A25" w:rsidRPr="00E24FF2" w14:paraId="0B099A02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081BA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Ash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D9C1B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A81FD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10.7</w:t>
            </w:r>
          </w:p>
        </w:tc>
      </w:tr>
      <w:tr w:rsidR="00B35A25" w:rsidRPr="00E24FF2" w14:paraId="2652143D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0311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Fat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497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F2D19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11.9</w:t>
            </w:r>
          </w:p>
        </w:tc>
      </w:tr>
      <w:tr w:rsidR="00B35A25" w:rsidRPr="00E24FF2" w14:paraId="10D2135F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F412D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Protein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42D1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30.0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D213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27.2</w:t>
            </w:r>
          </w:p>
        </w:tc>
      </w:tr>
      <w:tr w:rsidR="00B35A25" w:rsidRPr="00E24FF2" w14:paraId="743E7987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EFB6" w14:textId="2CFBCF06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Total </w:t>
            </w:r>
            <w:r w:rsidR="001A1583"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dietary fibre 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0EE7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2A270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5.1</w:t>
            </w:r>
          </w:p>
        </w:tc>
      </w:tr>
      <w:tr w:rsidR="00B35A25" w:rsidRPr="00E24FF2" w14:paraId="7B3D76EE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91DE4" w14:textId="5D2B6C32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Ca (g•4184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C7266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D59DE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7.1</w:t>
            </w:r>
          </w:p>
        </w:tc>
      </w:tr>
      <w:tr w:rsidR="00B35A25" w:rsidRPr="00E24FF2" w14:paraId="0DFDA35D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88E23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P (g•4184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189FD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78E5E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4.5</w:t>
            </w:r>
          </w:p>
        </w:tc>
      </w:tr>
      <w:tr w:rsidR="00B35A25" w:rsidRPr="00E24FF2" w14:paraId="29A145E6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0D9E3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Ca:P</w:t>
            </w:r>
            <w:proofErr w:type="spellEnd"/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 ratio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AEA9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0510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1.6</w:t>
            </w:r>
          </w:p>
        </w:tc>
      </w:tr>
      <w:tr w:rsidR="00B35A25" w:rsidRPr="00E24FF2" w14:paraId="29BE614A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3F8E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Na (g•4184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EA80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6080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1.1</w:t>
            </w:r>
          </w:p>
        </w:tc>
      </w:tr>
      <w:tr w:rsidR="00B35A25" w:rsidRPr="00E24FF2" w14:paraId="749B5172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1393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K (g•4184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6B10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AC4A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2.5</w:t>
            </w:r>
          </w:p>
        </w:tc>
      </w:tr>
      <w:tr w:rsidR="00B35A25" w:rsidRPr="00E24FF2" w14:paraId="17711A34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075F5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Mg (mg•4184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9EF1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9926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541</w:t>
            </w:r>
          </w:p>
        </w:tc>
      </w:tr>
      <w:tr w:rsidR="00B35A25" w:rsidRPr="00E24FF2" w14:paraId="6CE9FEAB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6F6BC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Fe (mg•4184 kJ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6CD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42.2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FD563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80.0</w:t>
            </w:r>
          </w:p>
        </w:tc>
      </w:tr>
      <w:tr w:rsidR="00B35A25" w:rsidRPr="00E24FF2" w14:paraId="44E351BB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BDFCD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Cu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5BB13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6AE8E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2.7</w:t>
            </w:r>
          </w:p>
        </w:tc>
      </w:tr>
      <w:tr w:rsidR="00B35A25" w:rsidRPr="00E24FF2" w14:paraId="3A7B99A5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34C19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Mn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B3AC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18.5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4951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17.7</w:t>
            </w:r>
          </w:p>
        </w:tc>
      </w:tr>
      <w:tr w:rsidR="00B35A25" w:rsidRPr="00E24FF2" w14:paraId="7265CF8A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2141A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Zn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9F605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101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53</w:t>
            </w:r>
          </w:p>
        </w:tc>
      </w:tr>
      <w:tr w:rsidR="00B35A25" w:rsidRPr="00E24FF2" w14:paraId="5BD338ED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E023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I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E740E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3905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1.3</w:t>
            </w:r>
          </w:p>
        </w:tc>
      </w:tr>
      <w:tr w:rsidR="00B35A25" w:rsidRPr="00E24FF2" w14:paraId="03492500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BBA35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Se (ug•4184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3627C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62A15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105</w:t>
            </w:r>
          </w:p>
        </w:tc>
      </w:tr>
      <w:tr w:rsidR="00B35A25" w:rsidRPr="00E24FF2" w14:paraId="202CD1D3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D1B69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Cl (g•4184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15DA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4CE5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2.4</w:t>
            </w:r>
          </w:p>
        </w:tc>
      </w:tr>
      <w:tr w:rsidR="00B35A25" w:rsidRPr="00E24FF2" w14:paraId="4873093C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A3CF4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Vitamin A (IU•4184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14A69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3586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07C0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4541</w:t>
            </w:r>
          </w:p>
        </w:tc>
      </w:tr>
      <w:tr w:rsidR="00B35A25" w:rsidRPr="00E24FF2" w14:paraId="189244A3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623D5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Vitamin E (IU•4184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95E79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155C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167</w:t>
            </w:r>
          </w:p>
        </w:tc>
      </w:tr>
      <w:tr w:rsidR="00B35A25" w:rsidRPr="00E24FF2" w14:paraId="1C39333F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EF5E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Thiamin</w:t>
            </w:r>
            <w:proofErr w:type="spellEnd"/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EADF0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79ED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2.0</w:t>
            </w:r>
          </w:p>
        </w:tc>
      </w:tr>
      <w:tr w:rsidR="00B35A25" w:rsidRPr="00E24FF2" w14:paraId="57FC5EBD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B510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Riboflavin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21FB6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52B2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1.0</w:t>
            </w:r>
          </w:p>
        </w:tc>
      </w:tr>
      <w:tr w:rsidR="00B35A25" w:rsidRPr="00E24FF2" w14:paraId="51021753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B5E0B" w14:textId="744CC814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Niacin/</w:t>
            </w:r>
            <w:r w:rsidR="001A1583"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nicotinic 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acid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37642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868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11.8</w:t>
            </w:r>
          </w:p>
        </w:tc>
      </w:tr>
      <w:tr w:rsidR="00B35A25" w:rsidRPr="00E24FF2" w14:paraId="2A1A1879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B82C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Pyridoxine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754D7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8250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2.3</w:t>
            </w:r>
          </w:p>
        </w:tc>
      </w:tr>
      <w:tr w:rsidR="00B35A25" w:rsidRPr="00E24FF2" w14:paraId="523E048E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99287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Pantothenic acid (mg•4184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72434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AC9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7.0</w:t>
            </w:r>
          </w:p>
        </w:tc>
      </w:tr>
      <w:tr w:rsidR="00B35A25" w:rsidRPr="00E24FF2" w14:paraId="5CA7F748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1A469" w14:textId="34B0C446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Folic </w:t>
            </w:r>
            <w:r w:rsidR="001A1583"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acid 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(ug•4184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D2E67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483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A1296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358</w:t>
            </w:r>
          </w:p>
        </w:tc>
      </w:tr>
      <w:tr w:rsidR="00B35A25" w:rsidRPr="00E24FF2" w14:paraId="5C2D2AF8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6697D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Cyanocobalamin (ug•4184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9C35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A4EC8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12</w:t>
            </w:r>
          </w:p>
        </w:tc>
      </w:tr>
      <w:tr w:rsidR="00B35A25" w:rsidRPr="00E24FF2" w14:paraId="173529BC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64901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Choline (g•4184 kJ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B8E31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ADE0C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583</w:t>
            </w:r>
          </w:p>
        </w:tc>
      </w:tr>
      <w:tr w:rsidR="00B35A25" w:rsidRPr="00E24FF2" w14:paraId="035FEB79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ECDB0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Vitamin D</w:t>
            </w:r>
            <w:r w:rsidRPr="001A1583">
              <w:rPr>
                <w:rFonts w:ascii="Calibri" w:hAnsi="Calibri" w:cs="Calibri"/>
                <w:sz w:val="24"/>
                <w:szCs w:val="24"/>
                <w:vertAlign w:val="subscript"/>
                <w:lang w:eastAsia="en-GB"/>
              </w:rPr>
              <w:t>3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 xml:space="preserve"> (IU•1000 kcal 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237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87366" w14:textId="77777777" w:rsidR="00B35A25" w:rsidRPr="00470F82" w:rsidRDefault="00B35A25" w:rsidP="0005465A">
            <w:pPr>
              <w:ind w:firstLineChars="100" w:firstLine="240"/>
              <w:jc w:val="center"/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200</w:t>
            </w:r>
          </w:p>
        </w:tc>
      </w:tr>
      <w:tr w:rsidR="00B35A25" w:rsidRPr="00E24FF2" w14:paraId="2B0F1068" w14:textId="77777777" w:rsidTr="0005465A">
        <w:trPr>
          <w:trHeight w:val="35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92527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Base excess (MEq•kg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</w:t>
            </w:r>
            <w:proofErr w:type="gramStart"/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1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)*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2F261" w14:textId="77777777" w:rsidR="00B35A25" w:rsidRPr="00470F82" w:rsidRDefault="00B35A25" w:rsidP="0005465A">
            <w:pPr>
              <w:ind w:firstLineChars="100" w:firstLine="220"/>
              <w:jc w:val="center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470F82">
              <w:rPr>
                <w:rFonts w:ascii="Calibri" w:hAnsi="Calibri" w:cs="Calibri"/>
                <w:sz w:val="22"/>
                <w:szCs w:val="22"/>
                <w:lang w:eastAsia="en-GB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94955" w14:textId="77777777" w:rsidR="00B35A25" w:rsidRPr="00470F82" w:rsidRDefault="00B35A25" w:rsidP="0005465A">
            <w:pPr>
              <w:ind w:firstLineChars="100" w:firstLine="220"/>
              <w:jc w:val="center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470F82">
              <w:rPr>
                <w:rFonts w:ascii="Calibri" w:hAnsi="Calibri" w:cs="Calibri"/>
                <w:sz w:val="22"/>
                <w:szCs w:val="22"/>
                <w:lang w:eastAsia="en-GB"/>
              </w:rPr>
              <w:t>175</w:t>
            </w:r>
          </w:p>
        </w:tc>
      </w:tr>
      <w:tr w:rsidR="00B35A25" w:rsidRPr="00E24FF2" w14:paraId="05F7AEF2" w14:textId="77777777" w:rsidTr="0005465A">
        <w:trPr>
          <w:trHeight w:val="310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270A" w14:textId="77777777" w:rsidR="00B35A25" w:rsidRPr="00470F82" w:rsidRDefault="00B35A25" w:rsidP="0005465A">
            <w:pPr>
              <w:ind w:firstLineChars="100" w:firstLine="220"/>
              <w:rPr>
                <w:rFonts w:ascii="Calibri" w:hAnsi="Calibri" w:cs="Calibri"/>
                <w:sz w:val="22"/>
                <w:szCs w:val="22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B2DB" w14:textId="77777777" w:rsidR="00B35A25" w:rsidRPr="00E24FF2" w:rsidRDefault="00B35A25" w:rsidP="0005465A">
            <w:pPr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37BB" w14:textId="77777777" w:rsidR="00B35A25" w:rsidRPr="00E24FF2" w:rsidRDefault="00B35A25" w:rsidP="0005465A">
            <w:pPr>
              <w:ind w:firstLineChars="100" w:firstLine="200"/>
              <w:rPr>
                <w:rFonts w:ascii="Times New Roman" w:hAnsi="Times New Roman"/>
                <w:lang w:eastAsia="en-GB"/>
              </w:rPr>
            </w:pPr>
          </w:p>
        </w:tc>
      </w:tr>
      <w:tr w:rsidR="00B35A25" w:rsidRPr="00E24FF2" w14:paraId="1AC59D4B" w14:textId="77777777" w:rsidTr="0005465A">
        <w:trPr>
          <w:trHeight w:val="350"/>
          <w:jc w:val="center"/>
        </w:trPr>
        <w:tc>
          <w:tcPr>
            <w:tcW w:w="7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1B43" w14:textId="77777777" w:rsidR="00B35A25" w:rsidRPr="00470F82" w:rsidRDefault="00B35A25" w:rsidP="0005465A">
            <w:pPr>
              <w:rPr>
                <w:rFonts w:ascii="Calibri" w:hAnsi="Calibri" w:cs="Calibri"/>
                <w:sz w:val="24"/>
                <w:szCs w:val="24"/>
                <w:lang w:eastAsia="en-GB"/>
              </w:rPr>
            </w:pP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*Base excess = ([Ca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2</w:t>
            </w:r>
            <w:proofErr w:type="gramStart"/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+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]+</w:t>
            </w:r>
            <w:proofErr w:type="gramEnd"/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[Mg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2+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]+[Na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+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]+[K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+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])-([PO</w:t>
            </w:r>
            <w:r w:rsidRPr="00470F82">
              <w:rPr>
                <w:rFonts w:ascii="Calibri" w:hAnsi="Calibri" w:cs="Calibri"/>
                <w:sz w:val="24"/>
                <w:szCs w:val="24"/>
                <w:vertAlign w:val="subscript"/>
                <w:lang w:eastAsia="en-GB"/>
              </w:rPr>
              <w:t>4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3-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]+[SO</w:t>
            </w:r>
            <w:r w:rsidRPr="00470F82">
              <w:rPr>
                <w:rFonts w:ascii="Calibri" w:hAnsi="Calibri" w:cs="Calibri"/>
                <w:sz w:val="24"/>
                <w:szCs w:val="24"/>
                <w:vertAlign w:val="subscript"/>
                <w:lang w:eastAsia="en-GB"/>
              </w:rPr>
              <w:t>4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2-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]+[Cl</w:t>
            </w:r>
            <w:r w:rsidRPr="00470F82">
              <w:rPr>
                <w:rFonts w:ascii="Calibri" w:hAnsi="Calibri" w:cs="Calibri"/>
                <w:sz w:val="24"/>
                <w:szCs w:val="24"/>
                <w:vertAlign w:val="superscript"/>
                <w:lang w:eastAsia="en-GB"/>
              </w:rPr>
              <w:t>-</w:t>
            </w:r>
            <w:r w:rsidRPr="00470F82">
              <w:rPr>
                <w:rFonts w:ascii="Calibri" w:hAnsi="Calibri" w:cs="Calibri"/>
                <w:sz w:val="24"/>
                <w:szCs w:val="24"/>
                <w:lang w:eastAsia="en-GB"/>
              </w:rPr>
              <w:t>])</w:t>
            </w:r>
          </w:p>
        </w:tc>
      </w:tr>
    </w:tbl>
    <w:p w14:paraId="2A30072A" w14:textId="2A05DA3F" w:rsidR="00B35A25" w:rsidRPr="00470F82" w:rsidRDefault="00B35A25" w:rsidP="00B35A2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70F82">
        <w:rPr>
          <w:rFonts w:ascii="Times New Roman" w:hAnsi="Times New Roman"/>
          <w:sz w:val="24"/>
          <w:szCs w:val="24"/>
        </w:rPr>
        <w:t xml:space="preserve">Table from Stockman </w:t>
      </w:r>
      <w:r w:rsidRPr="00470F82">
        <w:rPr>
          <w:rFonts w:ascii="Times New Roman" w:hAnsi="Times New Roman"/>
          <w:i/>
          <w:sz w:val="24"/>
          <w:szCs w:val="24"/>
        </w:rPr>
        <w:t>et al</w:t>
      </w:r>
      <w:r w:rsidRPr="00470F82">
        <w:rPr>
          <w:rFonts w:ascii="Times New Roman" w:hAnsi="Times New Roman"/>
          <w:sz w:val="24"/>
          <w:szCs w:val="24"/>
        </w:rPr>
        <w:t xml:space="preserve">., 2017, </w:t>
      </w:r>
      <w:proofErr w:type="spellStart"/>
      <w:r w:rsidRPr="00470F82">
        <w:rPr>
          <w:rFonts w:ascii="Times New Roman" w:hAnsi="Times New Roman"/>
          <w:sz w:val="24"/>
          <w:szCs w:val="24"/>
        </w:rPr>
        <w:t>BrJNutr</w:t>
      </w:r>
      <w:proofErr w:type="spellEnd"/>
      <w:r w:rsidRPr="00470F82">
        <w:rPr>
          <w:rFonts w:ascii="Times New Roman" w:hAnsi="Times New Roman"/>
          <w:sz w:val="24"/>
          <w:szCs w:val="24"/>
        </w:rPr>
        <w:t xml:space="preserve"> 117:1235. Diets were manufactured in single batches and diet analysis performed at the Mars Petcare Europe Central Laboratory. The analysis used 3 samples (each sample analysed in triplicate) from different parts of a 2</w:t>
      </w:r>
      <w:r>
        <w:rPr>
          <w:rFonts w:ascii="Times New Roman" w:hAnsi="Times New Roman"/>
          <w:sz w:val="24"/>
          <w:szCs w:val="24"/>
        </w:rPr>
        <w:t>k</w:t>
      </w:r>
      <w:r w:rsidRPr="00470F82">
        <w:rPr>
          <w:rFonts w:ascii="Times New Roman" w:hAnsi="Times New Roman"/>
          <w:sz w:val="24"/>
          <w:szCs w:val="24"/>
        </w:rPr>
        <w:t xml:space="preserve">g batch of diet. The values here are the average of those </w:t>
      </w:r>
      <w:r>
        <w:rPr>
          <w:rFonts w:ascii="Times New Roman" w:hAnsi="Times New Roman"/>
          <w:sz w:val="24"/>
          <w:szCs w:val="24"/>
        </w:rPr>
        <w:t>data</w:t>
      </w:r>
      <w:r w:rsidRPr="00470F82">
        <w:rPr>
          <w:rFonts w:ascii="Times New Roman" w:hAnsi="Times New Roman"/>
          <w:sz w:val="24"/>
          <w:szCs w:val="24"/>
        </w:rPr>
        <w:t>.</w:t>
      </w:r>
    </w:p>
    <w:p w14:paraId="0F8F9CB2" w14:textId="77777777" w:rsidR="00B35A25" w:rsidRPr="00E24FF2" w:rsidRDefault="00B35A25" w:rsidP="00B35A25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E24FF2">
        <w:rPr>
          <w:rFonts w:ascii="Times New Roman" w:hAnsi="Times New Roman"/>
          <w:sz w:val="24"/>
          <w:szCs w:val="24"/>
        </w:rPr>
        <w:br w:type="page"/>
      </w:r>
    </w:p>
    <w:p w14:paraId="137B0241" w14:textId="50E3FE73" w:rsidR="00B35A25" w:rsidRPr="00470F82" w:rsidRDefault="00B35A25" w:rsidP="00B35A25">
      <w:pPr>
        <w:rPr>
          <w:rFonts w:ascii="Times New Roman" w:hAnsi="Times New Roman"/>
          <w:sz w:val="24"/>
        </w:rPr>
      </w:pPr>
      <w:r w:rsidRPr="00B71756">
        <w:rPr>
          <w:rFonts w:ascii="Times New Roman" w:hAnsi="Times New Roman"/>
          <w:b/>
          <w:sz w:val="24"/>
        </w:rPr>
        <w:lastRenderedPageBreak/>
        <w:t xml:space="preserve">Supplementary </w:t>
      </w:r>
      <w:r w:rsidR="00B71756" w:rsidRPr="00B71756">
        <w:rPr>
          <w:rFonts w:ascii="Times New Roman" w:hAnsi="Times New Roman"/>
          <w:b/>
          <w:sz w:val="24"/>
        </w:rPr>
        <w:t>Table S</w:t>
      </w:r>
      <w:r w:rsidRPr="00B71756">
        <w:rPr>
          <w:rFonts w:ascii="Times New Roman" w:hAnsi="Times New Roman"/>
          <w:b/>
          <w:sz w:val="24"/>
        </w:rPr>
        <w:t>2.</w:t>
      </w:r>
      <w:r w:rsidRPr="00470F82">
        <w:rPr>
          <w:rFonts w:ascii="Times New Roman" w:hAnsi="Times New Roman"/>
          <w:sz w:val="24"/>
        </w:rPr>
        <w:t xml:space="preserve"> Effect significance thresholds. The table lists all effects that had more metabolites meeting the significance cut-off criteria. Most reflect changes from the fasted state in the postprandial </w:t>
      </w:r>
      <w:r>
        <w:rPr>
          <w:rFonts w:ascii="Times New Roman" w:hAnsi="Times New Roman"/>
          <w:sz w:val="24"/>
        </w:rPr>
        <w:t xml:space="preserve">(PP) </w:t>
      </w:r>
      <w:r w:rsidRPr="00470F82">
        <w:rPr>
          <w:rFonts w:ascii="Times New Roman" w:hAnsi="Times New Roman"/>
          <w:sz w:val="24"/>
        </w:rPr>
        <w:t xml:space="preserve">time course. Note the time and diet effect in fasted samples at T6 and T7 compared to T1 discussed in more detail in the text. </w:t>
      </w:r>
    </w:p>
    <w:p w14:paraId="711223D1" w14:textId="77777777" w:rsidR="00B35A25" w:rsidRPr="00470F82" w:rsidRDefault="00B35A25" w:rsidP="00B35A25">
      <w:pPr>
        <w:rPr>
          <w:rFonts w:ascii="Times New Roman" w:hAnsi="Times New Roman"/>
          <w:sz w:val="24"/>
        </w:rPr>
      </w:pPr>
    </w:p>
    <w:tbl>
      <w:tblPr>
        <w:tblW w:w="9204" w:type="dxa"/>
        <w:tblLook w:val="04A0" w:firstRow="1" w:lastRow="0" w:firstColumn="1" w:lastColumn="0" w:noHBand="0" w:noVBand="1"/>
      </w:tblPr>
      <w:tblGrid>
        <w:gridCol w:w="2542"/>
        <w:gridCol w:w="1276"/>
        <w:gridCol w:w="1559"/>
        <w:gridCol w:w="1984"/>
        <w:gridCol w:w="993"/>
        <w:gridCol w:w="850"/>
      </w:tblGrid>
      <w:tr w:rsidR="00B35A25" w:rsidRPr="00E24FF2" w14:paraId="41348C93" w14:textId="77777777" w:rsidTr="0005465A">
        <w:trPr>
          <w:trHeight w:val="290"/>
        </w:trPr>
        <w:tc>
          <w:tcPr>
            <w:tcW w:w="736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5FF50F92" w14:textId="745FB428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 xml:space="preserve">Significance </w:t>
            </w:r>
            <w:r w:rsidR="00B71756"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thresholds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57633D9D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p &lt; 0.05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53F8741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p &lt; 0.01</w:t>
            </w:r>
          </w:p>
        </w:tc>
      </w:tr>
      <w:tr w:rsidR="00B35A25" w:rsidRPr="00E24FF2" w14:paraId="21820F61" w14:textId="77777777" w:rsidTr="0005465A">
        <w:trPr>
          <w:trHeight w:val="300"/>
        </w:trPr>
        <w:tc>
          <w:tcPr>
            <w:tcW w:w="2542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1801B394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1452F5E2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Effect name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4DAF8CA8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In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62B3F3A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Type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2C9739B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08DF879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 </w:t>
            </w:r>
          </w:p>
        </w:tc>
      </w:tr>
      <w:tr w:rsidR="00B35A25" w:rsidRPr="00E24FF2" w14:paraId="031AE6D5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4B26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 in Test Group T5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D4C8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C829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BE97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7A68AD61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CD06E0F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62</w:t>
            </w:r>
          </w:p>
        </w:tc>
      </w:tr>
      <w:tr w:rsidR="00B35A25" w:rsidRPr="00E24FF2" w14:paraId="14FE187D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6216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 in Test Group 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0BD30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B418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EBD3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51AE2F57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25AEB35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53</w:t>
            </w:r>
          </w:p>
        </w:tc>
      </w:tr>
      <w:tr w:rsidR="00B35A25" w:rsidRPr="00E24FF2" w14:paraId="0BA5098E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E2AC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Intake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C1D6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Intake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12E9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All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4605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INTAKE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0E8FF5FF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3DCE0B3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38</w:t>
            </w:r>
          </w:p>
        </w:tc>
      </w:tr>
      <w:tr w:rsidR="00B35A25" w:rsidRPr="00E24FF2" w14:paraId="7FC249F4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C401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 in Test Group T5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2777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EA96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6FBE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757B0BC2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0C7F03D2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48</w:t>
            </w:r>
          </w:p>
        </w:tc>
      </w:tr>
      <w:tr w:rsidR="00B35A25" w:rsidRPr="00E24FF2" w14:paraId="442781EA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C1E7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 in Test Group 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962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17CA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743E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1F656BE2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0E88AF5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47</w:t>
            </w:r>
          </w:p>
        </w:tc>
      </w:tr>
      <w:tr w:rsidR="00B35A25" w:rsidRPr="00E24FF2" w14:paraId="3E666A57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FCE9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 in Test Group T5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555D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BE56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CDD1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576A7D11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B4CDA7B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43</w:t>
            </w:r>
          </w:p>
        </w:tc>
      </w:tr>
      <w:tr w:rsidR="00B35A25" w:rsidRPr="00E24FF2" w14:paraId="05DAD495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0A544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 in Test Group 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055B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4A47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7685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094AA108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0F107811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46</w:t>
            </w:r>
          </w:p>
        </w:tc>
      </w:tr>
      <w:tr w:rsidR="00B35A25" w:rsidRPr="00E24FF2" w14:paraId="5C006F5A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A18A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 in Test Group 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0347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3H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A118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010F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61786764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3234AFB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44</w:t>
            </w:r>
          </w:p>
        </w:tc>
      </w:tr>
      <w:tr w:rsidR="00B35A25" w:rsidRPr="00E24FF2" w14:paraId="5AAF9FFB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CA65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 in Test Group 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5240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3052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91A8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1A2CA9AE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3E7647DC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44</w:t>
            </w:r>
          </w:p>
        </w:tc>
      </w:tr>
      <w:tr w:rsidR="00B35A25" w:rsidRPr="00E24FF2" w14:paraId="3726924D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950F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 in Test Group 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3624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2H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E1C2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9EBD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01C96662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66977D3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38</w:t>
            </w:r>
          </w:p>
        </w:tc>
      </w:tr>
      <w:tr w:rsidR="00B35A25" w:rsidRPr="00E24FF2" w14:paraId="7442FB4C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76AB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 in Test Group T5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6BB8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55FA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4085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7F912761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EA0A766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17</w:t>
            </w:r>
          </w:p>
        </w:tc>
      </w:tr>
      <w:tr w:rsidR="00B35A25" w:rsidRPr="00E24FF2" w14:paraId="0151808C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F8D9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T7 vs T1 in fasted Test Group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6D05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T7 vs T1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44DB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Fasted, Test Group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6155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Time and Diet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110E46F6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BC50B5B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9</w:t>
            </w:r>
          </w:p>
        </w:tc>
      </w:tr>
      <w:tr w:rsidR="00B35A25" w:rsidRPr="00E24FF2" w14:paraId="062D15C4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D304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T6 vs T1 in fasted Test Group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2278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T6 vs T1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4390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Fasted, Test Group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DB4B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Time and Diet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37BA1AB8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FE550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4</w:t>
            </w:r>
          </w:p>
        </w:tc>
      </w:tr>
      <w:tr w:rsidR="00B35A25" w:rsidRPr="00E24FF2" w14:paraId="71E61347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8C2A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T5 vs T1 in Test Group 1H PP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0D2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T5 vs T1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5D09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PP, Test Group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1568E" w14:textId="0ACD47CC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 xml:space="preserve">Postprandial </w:t>
            </w:r>
            <w:r w:rsidR="005C22F6"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metab</w:t>
            </w:r>
            <w:bookmarkStart w:id="0" w:name="_GoBack"/>
            <w:bookmarkEnd w:id="0"/>
            <w:r w:rsidR="005C22F6"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olome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noWrap/>
            <w:vAlign w:val="bottom"/>
            <w:hideMark/>
          </w:tcPr>
          <w:p w14:paraId="7EC2438C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DA65A60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6</w:t>
            </w:r>
          </w:p>
        </w:tc>
      </w:tr>
      <w:tr w:rsidR="00B35A25" w:rsidRPr="00E24FF2" w14:paraId="2A53E108" w14:textId="77777777" w:rsidTr="0005465A">
        <w:trPr>
          <w:trHeight w:val="2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E751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 in Test Group 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FD02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109E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5194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EC70A56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4E46DC4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8</w:t>
            </w:r>
          </w:p>
        </w:tc>
      </w:tr>
      <w:tr w:rsidR="00B35A25" w:rsidRPr="00E24FF2" w14:paraId="2401BD4D" w14:textId="77777777" w:rsidTr="0005465A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CA7C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 in Test Group 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E50A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1H PP vs fasted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8967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Test Group, T2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585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Postprandial vs. fasted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A2C5E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7E4EA69" w14:textId="77777777" w:rsidR="00B35A25" w:rsidRPr="00470F82" w:rsidRDefault="00B35A25" w:rsidP="000546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6"/>
                <w:szCs w:val="16"/>
                <w:lang w:eastAsia="en-GB"/>
              </w:rPr>
              <w:t>9</w:t>
            </w:r>
          </w:p>
        </w:tc>
      </w:tr>
    </w:tbl>
    <w:p w14:paraId="71C7EFE3" w14:textId="77777777" w:rsidR="00B35A25" w:rsidRPr="00470F82" w:rsidRDefault="00B35A25" w:rsidP="00B35A25">
      <w:pPr>
        <w:spacing w:line="360" w:lineRule="auto"/>
        <w:rPr>
          <w:rFonts w:ascii="Times New Roman" w:hAnsi="Times New Roman"/>
          <w:sz w:val="24"/>
        </w:rPr>
      </w:pPr>
    </w:p>
    <w:p w14:paraId="1E4ACB28" w14:textId="77777777" w:rsidR="00B35A25" w:rsidRPr="00E24FF2" w:rsidRDefault="00B35A25" w:rsidP="00B35A25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36608264" w14:textId="77777777" w:rsidR="00B35A25" w:rsidRPr="00E24FF2" w:rsidRDefault="00B35A25" w:rsidP="00B35A25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  <w:sectPr w:rsidR="00B35A25" w:rsidRPr="00E24FF2" w:rsidSect="00B35A25">
          <w:pgSz w:w="11906" w:h="16838"/>
          <w:pgMar w:top="1440" w:right="836" w:bottom="1440" w:left="1170" w:header="720" w:footer="720" w:gutter="0"/>
          <w:lnNumType w:countBy="1" w:restart="continuous"/>
          <w:cols w:space="720"/>
          <w:docGrid w:linePitch="272"/>
        </w:sectPr>
      </w:pPr>
    </w:p>
    <w:p w14:paraId="2F770D65" w14:textId="3AFD0AE3" w:rsidR="00B35A25" w:rsidRDefault="00B35A25" w:rsidP="00B35A25">
      <w:pPr>
        <w:spacing w:line="360" w:lineRule="auto"/>
        <w:rPr>
          <w:rFonts w:ascii="Times New Roman" w:hAnsi="Times New Roman"/>
          <w:sz w:val="24"/>
        </w:rPr>
      </w:pPr>
      <w:r w:rsidRPr="00B71756">
        <w:rPr>
          <w:rFonts w:ascii="Times New Roman" w:hAnsi="Times New Roman"/>
          <w:b/>
          <w:sz w:val="24"/>
        </w:rPr>
        <w:lastRenderedPageBreak/>
        <w:t xml:space="preserve">Supplementary </w:t>
      </w:r>
      <w:r w:rsidR="00B71756" w:rsidRPr="00B71756">
        <w:rPr>
          <w:rFonts w:ascii="Times New Roman" w:hAnsi="Times New Roman"/>
          <w:b/>
          <w:sz w:val="24"/>
        </w:rPr>
        <w:t>Table S</w:t>
      </w:r>
      <w:r w:rsidRPr="00B71756">
        <w:rPr>
          <w:rFonts w:ascii="Times New Roman" w:hAnsi="Times New Roman"/>
          <w:b/>
          <w:sz w:val="24"/>
        </w:rPr>
        <w:t>3.</w:t>
      </w:r>
      <w:r w:rsidRPr="00470F82">
        <w:rPr>
          <w:rFonts w:ascii="Times New Roman" w:hAnsi="Times New Roman"/>
          <w:sz w:val="24"/>
        </w:rPr>
        <w:t xml:space="preserve"> </w:t>
      </w:r>
      <w:r w:rsidRPr="00E24FF2">
        <w:rPr>
          <w:rFonts w:ascii="Times New Roman" w:hAnsi="Times New Roman"/>
          <w:sz w:val="24"/>
        </w:rPr>
        <w:t>Metabolites</w:t>
      </w:r>
      <w:r w:rsidRPr="00470F82">
        <w:rPr>
          <w:rFonts w:ascii="Times New Roman" w:hAnsi="Times New Roman"/>
          <w:sz w:val="24"/>
        </w:rPr>
        <w:t xml:space="preserve"> from </w:t>
      </w:r>
      <w:r w:rsidRPr="00E24FF2">
        <w:rPr>
          <w:rFonts w:ascii="Times New Roman" w:hAnsi="Times New Roman"/>
          <w:sz w:val="24"/>
        </w:rPr>
        <w:t xml:space="preserve">fasted </w:t>
      </w:r>
      <w:r w:rsidRPr="00470F82">
        <w:rPr>
          <w:rFonts w:ascii="Times New Roman" w:hAnsi="Times New Roman"/>
          <w:sz w:val="24"/>
        </w:rPr>
        <w:t>samples differing to T1 (</w:t>
      </w:r>
      <w:r w:rsidRPr="00E24FF2">
        <w:rPr>
          <w:rFonts w:ascii="Times New Roman" w:hAnsi="Times New Roman"/>
          <w:sz w:val="24"/>
        </w:rPr>
        <w:t>cut-off criteria of unadjusted p&lt;0.05 and at least a 20% change from T1 on at least 3 (for test diet) or 2 (for control diet) occasions). Increases of &gt;20% are dark red, white text, decreases of &gt;20% are dark blue, white text. Values &lt;20% but significant (unadjusted p&lt;0.05) are in orange, black text. Metabolites in bold were significantly different (Table 1).</w:t>
      </w:r>
    </w:p>
    <w:tbl>
      <w:tblPr>
        <w:tblW w:w="13833" w:type="dxa"/>
        <w:tblLook w:val="04A0" w:firstRow="1" w:lastRow="0" w:firstColumn="1" w:lastColumn="0" w:noHBand="0" w:noVBand="1"/>
      </w:tblPr>
      <w:tblGrid>
        <w:gridCol w:w="2131"/>
        <w:gridCol w:w="1694"/>
        <w:gridCol w:w="2572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B35A25" w:rsidRPr="00E24FF2" w14:paraId="5A3430C5" w14:textId="77777777" w:rsidTr="0005465A">
        <w:trPr>
          <w:trHeight w:val="290"/>
        </w:trPr>
        <w:tc>
          <w:tcPr>
            <w:tcW w:w="21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81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AFA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8CF1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Comparison</w:t>
            </w:r>
          </w:p>
        </w:tc>
        <w:tc>
          <w:tcPr>
            <w:tcW w:w="40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AE39" w14:textId="3C741611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 xml:space="preserve">Time and </w:t>
            </w:r>
            <w:r w:rsidR="001A1583"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diet</w:t>
            </w:r>
          </w:p>
        </w:tc>
        <w:tc>
          <w:tcPr>
            <w:tcW w:w="33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AB526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Time</w:t>
            </w:r>
          </w:p>
        </w:tc>
      </w:tr>
      <w:tr w:rsidR="00B35A25" w:rsidRPr="00E24FF2" w14:paraId="6CC65AE6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D7B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AC1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1766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Group</w:t>
            </w:r>
          </w:p>
        </w:tc>
        <w:tc>
          <w:tcPr>
            <w:tcW w:w="4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4F24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Fasted, Test</w:t>
            </w:r>
          </w:p>
        </w:tc>
        <w:tc>
          <w:tcPr>
            <w:tcW w:w="3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CDC91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Fasted, Control</w:t>
            </w:r>
          </w:p>
        </w:tc>
      </w:tr>
      <w:tr w:rsidR="00B35A25" w:rsidRPr="00E24FF2" w14:paraId="1EEEC9C3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1A8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436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9864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Contrast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033A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T2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C32E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T3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7FF9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T4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3923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T5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F113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T6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1509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T7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B76A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T3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1960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T4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56BB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T5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427C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T6 vs T1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6873C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T7 vs T1</w:t>
            </w:r>
          </w:p>
        </w:tc>
      </w:tr>
      <w:tr w:rsidR="00B35A25" w:rsidRPr="00E24FF2" w14:paraId="6930B384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03D3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 xml:space="preserve">Ontology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8228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 xml:space="preserve">Ontology </w:t>
            </w: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Sub-group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FD7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Metabolite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9C44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B4F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66E2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CF62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AFED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0253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DADC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DFF1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1F54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C03E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0E57D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Ratio</w:t>
            </w:r>
          </w:p>
        </w:tc>
      </w:tr>
      <w:tr w:rsidR="00B35A25" w:rsidRPr="00E24FF2" w14:paraId="7E4E383C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B74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0C7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basic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C82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Asparagine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0FD796B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CBD27A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FA6BDE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1ACF51E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1E85093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70BF731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BAE6F8C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515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07D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BA9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1FA45499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1.18</w:t>
            </w:r>
          </w:p>
        </w:tc>
      </w:tr>
      <w:tr w:rsidR="00B35A25" w:rsidRPr="00E24FF2" w14:paraId="6103F806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610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9CC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basic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A08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Lysine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DCDCB30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D05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65DACF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2C24AC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2BB076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C18288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882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45C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44F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E27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ADF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</w:tr>
      <w:tr w:rsidR="00B35A25" w:rsidRPr="00E24FF2" w14:paraId="60BC4ACF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F99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CF8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neutral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28F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Serine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2E2C764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7AC267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EF713DF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7C1F89A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276AF45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D2BFFD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1C2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614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E1D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06E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404E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</w:tr>
      <w:tr w:rsidR="00B35A25" w:rsidRPr="00E24FF2" w14:paraId="637F59C0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D8F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650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neutral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72D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Threonine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C17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F374C93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626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9A9737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4C093B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AEEF53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523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758DEE6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EC0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249C306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B7CC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1.08</w:t>
            </w:r>
          </w:p>
        </w:tc>
      </w:tr>
      <w:tr w:rsidR="00B35A25" w:rsidRPr="00E24FF2" w14:paraId="497419CF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0B1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6FB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S-containing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29A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Methionine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F76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21A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B0C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A93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2EDE59D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B8E9AF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E06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828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FD8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A70523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720F210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</w:tr>
      <w:tr w:rsidR="00B35A25" w:rsidRPr="00E24FF2" w14:paraId="21D94E7C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00A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DF9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acids, S-containing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085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Taurine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97271D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E6D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053228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172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7C2C34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5CB7CB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A7D9D6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49F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941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573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8253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</w:tr>
      <w:tr w:rsidR="00B35A25" w:rsidRPr="00E24FF2" w14:paraId="161D46C7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9CC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465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Methyl cycle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E6E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Sarcosine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CBF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A5278D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8F3627F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0.84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4C165C0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0D66E9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0.81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D5D40B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811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B89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FD4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1D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4BDA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</w:tr>
      <w:tr w:rsidR="00B35A25" w:rsidRPr="00E24FF2" w14:paraId="4D2C07AD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0B3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55C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Tryptophan metabolism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DB6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3-Hydroxyindole (additional: 3-Indoxylsulfate)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D5C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126D5D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A87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2C6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BE8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254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1915AFCD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006011E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DE3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1F9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A041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0.88</w:t>
            </w:r>
          </w:p>
        </w:tc>
      </w:tr>
      <w:tr w:rsidR="00B35A25" w:rsidRPr="00E24FF2" w14:paraId="6EA6B0DF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547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F9D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Tryptophan metabolism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EE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3-Indoxylsulfate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EB8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F00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807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C82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2F0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DAA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5C3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4DF3D59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ED4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68D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3399"/>
            <w:noWrap/>
            <w:vAlign w:val="bottom"/>
            <w:hideMark/>
          </w:tcPr>
          <w:p w14:paraId="3F06458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0.61</w:t>
            </w:r>
          </w:p>
        </w:tc>
      </w:tr>
      <w:tr w:rsidR="00B35A25" w:rsidRPr="00E24FF2" w14:paraId="6526C288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50E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709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Tryptophan metabolism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91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Kynurenic acid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2236299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1EE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913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4E3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24B2AA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56D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32B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06FBB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AA8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2A8AC4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4D75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1.32</w:t>
            </w:r>
          </w:p>
        </w:tc>
      </w:tr>
      <w:tr w:rsidR="00B35A25" w:rsidRPr="00E24FF2" w14:paraId="750B4777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BAA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FA4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Urea cycle and related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267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Citrulline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8C6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94232B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B9FD5AB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2DD4D66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93188E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5EDAB1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DF8960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4A0BA07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50D6175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D6080DA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4A3BD94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1.23</w:t>
            </w:r>
          </w:p>
        </w:tc>
      </w:tr>
      <w:tr w:rsidR="00B35A25" w:rsidRPr="00E24FF2" w14:paraId="5EAB5F17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5C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667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Urea cycle and related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9A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Ornithine (additional: Arginine, Citrulline)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02D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569CC2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6C8BA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DA4900F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D376C9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124D87D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0D2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39FE2F8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0E5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466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7ECB774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1.30</w:t>
            </w:r>
          </w:p>
        </w:tc>
      </w:tr>
      <w:tr w:rsidR="00B35A25" w:rsidRPr="00E24FF2" w14:paraId="42888997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EB1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Amino acids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D2B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Urea cycle and related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049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Urea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2647A2C0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253B5D91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18157E4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A15CC54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67C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8FD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14A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3A0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81E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4BF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F12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1.29</w:t>
            </w:r>
          </w:p>
        </w:tc>
      </w:tr>
      <w:tr w:rsidR="00B35A25" w:rsidRPr="00E24FF2" w14:paraId="62E49334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46D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Carbohydrates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750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Disaccharides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453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Sucrose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4D5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D91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1BE378E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2F4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80B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4A2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0B3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A7434A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714549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1.63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021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3246D84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1.94</w:t>
            </w:r>
          </w:p>
        </w:tc>
      </w:tr>
      <w:tr w:rsidR="00B35A25" w:rsidRPr="00E24FF2" w14:paraId="64148F2A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298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Complex lipids, fatty acids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E32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Fatty acids, poly-unsaturated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723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Docosatetraenoic</w:t>
            </w:r>
            <w:proofErr w:type="spellEnd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 xml:space="preserve"> acid (C</w:t>
            </w:r>
            <w:proofErr w:type="gramStart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22:cis</w:t>
            </w:r>
            <w:proofErr w:type="gramEnd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[7,10,13,16]4)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3EF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F43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584A355A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31EDA732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533F96B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35F41F97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B3A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234F8AA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0.82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5347A48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94404FA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3399"/>
            <w:noWrap/>
            <w:vAlign w:val="bottom"/>
            <w:hideMark/>
          </w:tcPr>
          <w:p w14:paraId="417FEF85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0.79</w:t>
            </w:r>
          </w:p>
        </w:tc>
      </w:tr>
      <w:tr w:rsidR="00B35A25" w:rsidRPr="00E24FF2" w14:paraId="5B9038B3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33E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Complex lipids, fatty acids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B8C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Fatty acids, poly-unsaturated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62F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Eicosapentaenoic acid (C</w:t>
            </w:r>
            <w:proofErr w:type="gramStart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20:cis</w:t>
            </w:r>
            <w:proofErr w:type="gramEnd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[5,8,11,14,17]5)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775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280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967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2BF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0C278E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FA60B3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252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4F4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82E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7D34946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652F1D9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1.28</w:t>
            </w:r>
          </w:p>
        </w:tc>
      </w:tr>
      <w:tr w:rsidR="00B35A25" w:rsidRPr="00E24FF2" w14:paraId="5604B2CC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FFF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Complex lipids, fatty acids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B2B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Fatty alcohols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624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Pentadecanol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66C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F6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4DD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26A6127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61E1CA3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7C3D82A3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96E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221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DEC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961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B04D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</w:tr>
      <w:tr w:rsidR="00B35A25" w:rsidRPr="00E24FF2" w14:paraId="1F538BE1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130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Complex lipids, fatty acids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C1F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Lysophosphatidylcholines</w:t>
            </w:r>
            <w:proofErr w:type="spellEnd"/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DE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proofErr w:type="spellStart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Lysophosphatidylcholine</w:t>
            </w:r>
            <w:proofErr w:type="spellEnd"/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 xml:space="preserve"> (C18:2)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497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2FB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899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56F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9F5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55BD982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2DC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654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EF0B519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360604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135AD96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1.23</w:t>
            </w:r>
          </w:p>
        </w:tc>
      </w:tr>
      <w:tr w:rsidR="00B35A25" w:rsidRPr="00E24FF2" w14:paraId="5FB97244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FE7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Complex lipids, fatty acids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2EB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Triacylglycerols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BB8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TAG (C</w:t>
            </w:r>
            <w:proofErr w:type="gramStart"/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18:2,C</w:t>
            </w:r>
            <w:proofErr w:type="gramEnd"/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18:3)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5D6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CC3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BEA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415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BE3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B64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6BC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CBE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1093F94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461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05C1327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1.30</w:t>
            </w:r>
          </w:p>
        </w:tc>
      </w:tr>
      <w:tr w:rsidR="00B35A25" w:rsidRPr="00E24FF2" w14:paraId="692AF70D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8AA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Miscellaneous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C40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Miscellaneous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B2C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1,4-Hydroquinone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862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9AA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930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E46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758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A37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BC83F76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0.56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1C3757ED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F29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0.70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144A8BDB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b/>
                <w:bCs/>
                <w:color w:val="FFFFFF" w:themeColor="background1"/>
                <w:sz w:val="12"/>
                <w:szCs w:val="16"/>
                <w:lang w:eastAsia="en-GB"/>
              </w:rPr>
              <w:t>0.45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3399"/>
            <w:noWrap/>
            <w:vAlign w:val="bottom"/>
            <w:hideMark/>
          </w:tcPr>
          <w:p w14:paraId="0AE4089C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b/>
                <w:bCs/>
                <w:color w:val="FFFFFF" w:themeColor="background1"/>
                <w:sz w:val="12"/>
                <w:szCs w:val="16"/>
                <w:lang w:eastAsia="en-GB"/>
              </w:rPr>
              <w:t>0.47</w:t>
            </w:r>
          </w:p>
        </w:tc>
      </w:tr>
      <w:tr w:rsidR="00B35A25" w:rsidRPr="00E24FF2" w14:paraId="2CD5C7A0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984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Unknown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742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Unknown lipid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8A8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b/>
                <w:bCs/>
                <w:sz w:val="12"/>
                <w:szCs w:val="16"/>
                <w:lang w:eastAsia="en-GB"/>
              </w:rPr>
              <w:t>Unknown lipid (69600024)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3EA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7FD868D" w14:textId="77777777" w:rsidR="00B35A25" w:rsidRPr="00E24FF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E24FF2">
              <w:rPr>
                <w:rFonts w:ascii="Calibri" w:hAnsi="Calibri" w:cs="Calibri"/>
                <w:sz w:val="12"/>
                <w:szCs w:val="16"/>
                <w:lang w:eastAsia="en-GB"/>
              </w:rPr>
              <w:t>1.17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7D7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A7C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215C5E1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6F91B2FA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03E0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874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C0DD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7B3F85C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4EFBCC3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1.32</w:t>
            </w:r>
          </w:p>
        </w:tc>
      </w:tr>
      <w:tr w:rsidR="00B35A25" w:rsidRPr="00E24FF2" w14:paraId="4AB3983D" w14:textId="77777777" w:rsidTr="0005465A">
        <w:trPr>
          <w:trHeight w:val="29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0BB6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Unknown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FCA3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Unknown polar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E9E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Unknown polar (39601551)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4A5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C18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EFB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4EF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53D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21F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4B9F1B6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1.62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31EA54D8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00"/>
            <w:noWrap/>
            <w:vAlign w:val="bottom"/>
            <w:hideMark/>
          </w:tcPr>
          <w:p w14:paraId="05C5BEE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1.46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8FD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1.26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0000"/>
            <w:noWrap/>
            <w:vAlign w:val="bottom"/>
            <w:hideMark/>
          </w:tcPr>
          <w:p w14:paraId="77AD341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1.62</w:t>
            </w:r>
          </w:p>
        </w:tc>
      </w:tr>
      <w:tr w:rsidR="00B35A25" w:rsidRPr="00E24FF2" w14:paraId="24E1C3CA" w14:textId="77777777" w:rsidTr="0005465A">
        <w:trPr>
          <w:trHeight w:val="300"/>
        </w:trPr>
        <w:tc>
          <w:tcPr>
            <w:tcW w:w="21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462E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Vitamins, cofactors and related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53B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Acyl-carriers and related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4B41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Pantothenic acid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F565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4A141C67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09266E0" w14:textId="77777777" w:rsidR="00B35A25" w:rsidRPr="001A5EC7" w:rsidRDefault="00B35A25" w:rsidP="0005465A">
            <w:pPr>
              <w:spacing w:line="360" w:lineRule="auto"/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4F7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ECAF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3399"/>
            <w:noWrap/>
            <w:vAlign w:val="bottom"/>
            <w:hideMark/>
          </w:tcPr>
          <w:p w14:paraId="08CEFA77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1A5EC7">
              <w:rPr>
                <w:rFonts w:ascii="Calibri" w:hAnsi="Calibri" w:cs="Calibri"/>
                <w:color w:val="FFFFFF" w:themeColor="background1"/>
                <w:sz w:val="12"/>
                <w:szCs w:val="16"/>
                <w:lang w:eastAsia="en-GB"/>
              </w:rPr>
              <w:t>0.78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4CEC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BB39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0.85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4A1B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3D4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D6392" w14:textId="77777777" w:rsidR="00B35A25" w:rsidRPr="00470F82" w:rsidRDefault="00B35A25" w:rsidP="0005465A">
            <w:pPr>
              <w:spacing w:line="360" w:lineRule="auto"/>
              <w:rPr>
                <w:rFonts w:ascii="Calibri" w:hAnsi="Calibri" w:cs="Calibri"/>
                <w:sz w:val="12"/>
                <w:szCs w:val="16"/>
                <w:lang w:eastAsia="en-GB"/>
              </w:rPr>
            </w:pPr>
            <w:r w:rsidRPr="00470F82">
              <w:rPr>
                <w:rFonts w:ascii="Calibri" w:hAnsi="Calibri" w:cs="Calibri"/>
                <w:sz w:val="12"/>
                <w:szCs w:val="16"/>
                <w:lang w:eastAsia="en-GB"/>
              </w:rPr>
              <w:t>1.11</w:t>
            </w:r>
          </w:p>
        </w:tc>
      </w:tr>
    </w:tbl>
    <w:p w14:paraId="0420D781" w14:textId="77777777" w:rsidR="00B35A25" w:rsidRPr="00E24FF2" w:rsidRDefault="00B35A25" w:rsidP="00B35A25">
      <w:pPr>
        <w:spacing w:line="360" w:lineRule="auto"/>
        <w:rPr>
          <w:rFonts w:ascii="Times New Roman" w:hAnsi="Times New Roman"/>
          <w:sz w:val="24"/>
        </w:rPr>
        <w:sectPr w:rsidR="00B35A25" w:rsidRPr="00E24FF2" w:rsidSect="000461B2">
          <w:type w:val="continuous"/>
          <w:pgSz w:w="16838" w:h="11906" w:orient="landscape"/>
          <w:pgMar w:top="1170" w:right="1440" w:bottom="836" w:left="1440" w:header="720" w:footer="720" w:gutter="0"/>
          <w:lnNumType w:countBy="1" w:restart="continuous"/>
          <w:cols w:space="720"/>
          <w:docGrid w:linePitch="272"/>
        </w:sectPr>
      </w:pPr>
    </w:p>
    <w:p w14:paraId="7AF82F66" w14:textId="276D57EA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  <w:r w:rsidRPr="00B71756">
        <w:rPr>
          <w:rFonts w:ascii="Times New Roman" w:hAnsi="Times New Roman"/>
          <w:b/>
          <w:sz w:val="24"/>
          <w:szCs w:val="24"/>
        </w:rPr>
        <w:lastRenderedPageBreak/>
        <w:t xml:space="preserve">Supplementary </w:t>
      </w:r>
      <w:r w:rsidR="00B71756" w:rsidRPr="00B71756">
        <w:rPr>
          <w:rFonts w:ascii="Times New Roman" w:hAnsi="Times New Roman"/>
          <w:b/>
          <w:sz w:val="24"/>
          <w:szCs w:val="24"/>
        </w:rPr>
        <w:t>Table S</w:t>
      </w:r>
      <w:r w:rsidRPr="00B71756">
        <w:rPr>
          <w:rFonts w:ascii="Times New Roman" w:hAnsi="Times New Roman"/>
          <w:b/>
          <w:sz w:val="24"/>
          <w:szCs w:val="24"/>
        </w:rPr>
        <w:t>4</w:t>
      </w:r>
      <w:r w:rsidR="00B71756" w:rsidRPr="00B7175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Legend to </w:t>
      </w:r>
      <w:proofErr w:type="spellStart"/>
      <w:r>
        <w:rPr>
          <w:rFonts w:ascii="Times New Roman" w:hAnsi="Times New Roman"/>
          <w:sz w:val="24"/>
          <w:szCs w:val="24"/>
        </w:rPr>
        <w:t>dendogram</w:t>
      </w:r>
      <w:proofErr w:type="spellEnd"/>
      <w:r>
        <w:rPr>
          <w:rFonts w:ascii="Times New Roman" w:hAnsi="Times New Roman"/>
          <w:sz w:val="24"/>
          <w:szCs w:val="24"/>
        </w:rPr>
        <w:t xml:space="preserve"> Supplementary </w:t>
      </w:r>
      <w:r w:rsidR="00B71756">
        <w:rPr>
          <w:rFonts w:ascii="Times New Roman" w:hAnsi="Times New Roman"/>
          <w:sz w:val="24"/>
          <w:szCs w:val="24"/>
        </w:rPr>
        <w:t xml:space="preserve">Fig. </w:t>
      </w:r>
      <w:r>
        <w:rPr>
          <w:rFonts w:ascii="Times New Roman" w:hAnsi="Times New Roman"/>
          <w:sz w:val="24"/>
          <w:szCs w:val="24"/>
        </w:rPr>
        <w:t>6</w:t>
      </w:r>
      <w:r w:rsidR="00B7175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</w:t>
      </w:r>
      <w:r w:rsidR="00B71756">
        <w:rPr>
          <w:rFonts w:ascii="Times New Roman" w:hAnsi="Times New Roman"/>
          <w:sz w:val="24"/>
          <w:szCs w:val="24"/>
        </w:rPr>
        <w:t>)</w:t>
      </w:r>
    </w:p>
    <w:p w14:paraId="1E3F5D75" w14:textId="77777777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</w:p>
    <w:p w14:paraId="7FF11FA7" w14:textId="77777777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  <w:r w:rsidRPr="008F4BDE">
        <w:rPr>
          <w:noProof/>
          <w:lang w:eastAsia="en-GB"/>
        </w:rPr>
        <w:drawing>
          <wp:inline distT="0" distB="0" distL="0" distR="0" wp14:anchorId="5C58096F" wp14:editId="386EBE9E">
            <wp:extent cx="3837600" cy="8125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600" cy="81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834D0" w14:textId="77777777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</w:p>
    <w:p w14:paraId="32EF062D" w14:textId="77777777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6CCB46E" w14:textId="0750290A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  <w:r w:rsidRPr="00B71756">
        <w:rPr>
          <w:rFonts w:ascii="Times New Roman" w:hAnsi="Times New Roman"/>
          <w:b/>
          <w:sz w:val="24"/>
          <w:szCs w:val="24"/>
        </w:rPr>
        <w:lastRenderedPageBreak/>
        <w:t xml:space="preserve">Supplementary </w:t>
      </w:r>
      <w:r w:rsidR="00B71756" w:rsidRPr="00B71756">
        <w:rPr>
          <w:rFonts w:ascii="Times New Roman" w:hAnsi="Times New Roman"/>
          <w:b/>
          <w:sz w:val="24"/>
          <w:szCs w:val="24"/>
        </w:rPr>
        <w:t>Table S</w:t>
      </w:r>
      <w:r w:rsidRPr="00B71756">
        <w:rPr>
          <w:rFonts w:ascii="Times New Roman" w:hAnsi="Times New Roman"/>
          <w:b/>
          <w:sz w:val="24"/>
          <w:szCs w:val="24"/>
        </w:rPr>
        <w:t>5</w:t>
      </w:r>
      <w:r w:rsidR="00B71756" w:rsidRPr="00B7175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Legend to </w:t>
      </w:r>
      <w:proofErr w:type="spellStart"/>
      <w:r>
        <w:rPr>
          <w:rFonts w:ascii="Times New Roman" w:hAnsi="Times New Roman"/>
          <w:sz w:val="24"/>
          <w:szCs w:val="24"/>
        </w:rPr>
        <w:t>dendogram</w:t>
      </w:r>
      <w:proofErr w:type="spellEnd"/>
      <w:r>
        <w:rPr>
          <w:rFonts w:ascii="Times New Roman" w:hAnsi="Times New Roman"/>
          <w:sz w:val="24"/>
          <w:szCs w:val="24"/>
        </w:rPr>
        <w:t xml:space="preserve"> Supplementary </w:t>
      </w:r>
      <w:r w:rsidR="00B71756">
        <w:rPr>
          <w:rFonts w:ascii="Times New Roman" w:hAnsi="Times New Roman"/>
          <w:sz w:val="24"/>
          <w:szCs w:val="24"/>
        </w:rPr>
        <w:t>Fig. S</w:t>
      </w:r>
      <w:r>
        <w:rPr>
          <w:rFonts w:ascii="Times New Roman" w:hAnsi="Times New Roman"/>
          <w:sz w:val="24"/>
          <w:szCs w:val="24"/>
        </w:rPr>
        <w:t>6</w:t>
      </w:r>
      <w:r w:rsidR="00B7175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 w:rsidR="00B71756">
        <w:rPr>
          <w:rFonts w:ascii="Times New Roman" w:hAnsi="Times New Roman"/>
          <w:sz w:val="24"/>
          <w:szCs w:val="24"/>
        </w:rPr>
        <w:t>)</w:t>
      </w:r>
    </w:p>
    <w:p w14:paraId="4632AFC2" w14:textId="77777777" w:rsidR="00B35A25" w:rsidRDefault="00B35A25" w:rsidP="00B35A25">
      <w:pPr>
        <w:rPr>
          <w:rFonts w:ascii="Times New Roman" w:hAnsi="Times New Roman"/>
          <w:sz w:val="24"/>
          <w:szCs w:val="24"/>
        </w:rPr>
      </w:pPr>
    </w:p>
    <w:p w14:paraId="218D907A" w14:textId="77777777" w:rsidR="00B35A25" w:rsidRDefault="00B35A25" w:rsidP="00B35A25">
      <w:pPr>
        <w:jc w:val="center"/>
        <w:rPr>
          <w:rFonts w:ascii="Times New Roman" w:hAnsi="Times New Roman"/>
          <w:sz w:val="24"/>
          <w:szCs w:val="24"/>
        </w:rPr>
      </w:pPr>
      <w:r w:rsidRPr="00AC0F6D">
        <w:rPr>
          <w:noProof/>
          <w:lang w:eastAsia="en-GB"/>
        </w:rPr>
        <w:drawing>
          <wp:inline distT="0" distB="0" distL="0" distR="0" wp14:anchorId="0B937E55" wp14:editId="34622892">
            <wp:extent cx="5416731" cy="812509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633" cy="81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C5A7B" w14:textId="77777777" w:rsidR="00561E37" w:rsidRDefault="005C22F6"/>
    <w:sectPr w:rsidR="00561E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25"/>
    <w:rsid w:val="00033844"/>
    <w:rsid w:val="001A1583"/>
    <w:rsid w:val="005C22F6"/>
    <w:rsid w:val="0069185C"/>
    <w:rsid w:val="00B35A25"/>
    <w:rsid w:val="00B71756"/>
    <w:rsid w:val="00B82E9A"/>
    <w:rsid w:val="00F9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4D72"/>
  <w15:chartTrackingRefBased/>
  <w15:docId w15:val="{35C7DF57-6988-4CE8-9E73-6E6BF648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A2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35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Gooch</dc:creator>
  <cp:keywords/>
  <dc:description/>
  <cp:lastModifiedBy>Chris Diana Bedford</cp:lastModifiedBy>
  <cp:revision>6</cp:revision>
  <dcterms:created xsi:type="dcterms:W3CDTF">2019-03-19T17:47:00Z</dcterms:created>
  <dcterms:modified xsi:type="dcterms:W3CDTF">2019-03-19T17:55:00Z</dcterms:modified>
</cp:coreProperties>
</file>