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2" w:rsidRPr="005C0BE3" w:rsidRDefault="007F4AD2" w:rsidP="007F4AD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C0BE3">
        <w:rPr>
          <w:rFonts w:ascii="Times New Roman" w:hAnsi="Times New Roman" w:cs="Times New Roman"/>
          <w:b/>
          <w:sz w:val="24"/>
          <w:szCs w:val="24"/>
          <w:lang w:val="en-GB"/>
        </w:rPr>
        <w:t>Supplementary Table 1.</w:t>
      </w:r>
      <w:proofErr w:type="gramEnd"/>
      <w:r w:rsidRPr="005C0B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C0BE3">
        <w:rPr>
          <w:rFonts w:ascii="Times New Roman" w:hAnsi="Times New Roman" w:cs="Times New Roman"/>
          <w:sz w:val="24"/>
          <w:szCs w:val="24"/>
          <w:lang w:val="en-GB"/>
        </w:rPr>
        <w:t xml:space="preserve">Gene expression </w:t>
      </w:r>
      <w:r w:rsidR="0061600C" w:rsidRPr="005C0BE3">
        <w:rPr>
          <w:rStyle w:val="A15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peripheral blood mononuclear cells </w:t>
      </w:r>
      <w:r w:rsidRPr="005C0BE3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9D2FBB" w:rsidRPr="005C0BE3">
        <w:rPr>
          <w:rFonts w:ascii="Times New Roman" w:hAnsi="Times New Roman" w:cs="Times New Roman"/>
          <w:sz w:val="24"/>
          <w:szCs w:val="24"/>
          <w:lang w:val="en-GB"/>
        </w:rPr>
        <w:t>baseline (</w:t>
      </w:r>
      <w:r w:rsidRPr="005C0BE3">
        <w:rPr>
          <w:rFonts w:ascii="Times New Roman" w:hAnsi="Times New Roman" w:cs="Times New Roman"/>
          <w:sz w:val="24"/>
          <w:szCs w:val="24"/>
          <w:lang w:val="en-GB"/>
        </w:rPr>
        <w:t>0 h</w:t>
      </w:r>
      <w:r w:rsidR="009D2FBB" w:rsidRPr="005C0BE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C0BE3">
        <w:rPr>
          <w:rFonts w:ascii="Times New Roman" w:hAnsi="Times New Roman" w:cs="Times New Roman"/>
          <w:sz w:val="24"/>
          <w:szCs w:val="24"/>
          <w:lang w:val="en-GB"/>
        </w:rPr>
        <w:t xml:space="preserve"> in the two groups.</w:t>
      </w:r>
      <w:proofErr w:type="gramEnd"/>
      <w:r w:rsidRPr="005C0B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516"/>
        <w:gridCol w:w="222"/>
        <w:gridCol w:w="1586"/>
        <w:gridCol w:w="666"/>
      </w:tblGrid>
      <w:tr w:rsidR="007F4AD2" w:rsidRPr="00B83815" w:rsidTr="007F4A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4AD2" w:rsidRPr="002270A4" w:rsidRDefault="007F4AD2" w:rsidP="000B54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FH</w:t>
            </w:r>
            <w:r w:rsidR="000B54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, </w:t>
            </w:r>
            <w:r w:rsidR="000B549F" w:rsidRPr="003239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="000B549F"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= 13</w:t>
            </w:r>
          </w:p>
          <w:p w:rsidR="007F4AD2" w:rsidRPr="002270A4" w:rsidRDefault="000B549F" w:rsidP="000B54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0B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(</w:t>
            </w:r>
            <w:r w:rsidRPr="000B5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nb-NO"/>
              </w:rPr>
              <w:t>2</w:t>
            </w:r>
            <w:r w:rsidRPr="000B54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GB" w:eastAsia="nb-NO"/>
              </w:rPr>
              <w:t>-∆</w:t>
            </w:r>
            <w:r w:rsidRPr="000B549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0B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4AD2" w:rsidRPr="002270A4" w:rsidRDefault="007F4AD2" w:rsidP="000B54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4AD2" w:rsidRPr="002270A4" w:rsidRDefault="007F4AD2" w:rsidP="000B54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Controls</w:t>
            </w:r>
            <w:r w:rsidR="000B54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</w:t>
            </w:r>
            <w:r w:rsidR="000B549F" w:rsidRPr="003239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n </w:t>
            </w:r>
            <w:r w:rsidR="000B549F"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= 14</w:t>
            </w:r>
          </w:p>
          <w:p w:rsidR="007F4AD2" w:rsidRPr="002270A4" w:rsidRDefault="000B549F" w:rsidP="000B54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B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(</w:t>
            </w:r>
            <w:r w:rsidRPr="000B5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nb-NO"/>
              </w:rPr>
              <w:t>2</w:t>
            </w:r>
            <w:r w:rsidRPr="000B54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GB" w:eastAsia="nb-NO"/>
              </w:rPr>
              <w:t>-∆</w:t>
            </w:r>
            <w:r w:rsidRPr="000B549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0B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4AD2" w:rsidRPr="00C71F91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C71F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ABCA1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0.19 (0.16-0.26)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0.23 (0.19-0.32)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0.24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ABCG1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0.38 (0.33-0.41)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0.39 (0.30-0.42)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0.98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ACACA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0.21 (0.18-0.27)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0.27 (0.24-0.32)</w:t>
            </w:r>
          </w:p>
        </w:tc>
        <w:tc>
          <w:tcPr>
            <w:tcW w:w="0" w:type="auto"/>
          </w:tcPr>
          <w:p w:rsidR="007F4AD2" w:rsidRPr="002270A4" w:rsidRDefault="009F456F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ACAT1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 (0.96-1.20)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1.13 (1.03-1.34)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0.49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ACSL1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1.09 (0.97-1.23)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1.23 (0.98-1.47)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CD36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13.2 (11.8-15.1)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13.8 (11.2-14.7)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CPT1A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1.96 (1.57-2.41)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2.68 (2.39-3.13)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0.002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CPT2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 (1.01-1.18)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1.14 (1.07-1.21)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0.40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DHCR24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0.45 (0.37-0.57)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0.49 (0.46-0.53)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0.26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DHCR7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 (0.88-1.16)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1.05 (0.92-1.12)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0.76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ECI1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1.42 (1.24-1.52)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1.46 (1.27-1.59)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FADS1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0.54 (0.48-0.60)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0.68 (0.58-0.78)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FADS2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0.47 (0.40-1.53)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0.58 (0.47-1.19)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FASN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2.13 (2.04-2.27)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2.24 (1.94-2.45)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FDFT1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0.55 (0.44-0.57)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0.59 (0.48-0.90)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FDPS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0.83 (0.79-1.09)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1.14 (0.95-1.44)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HMGCR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1.38 (1.32-1.55)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1.41 (1.36-1.54)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0.62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HMGCS1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0.35 (0.32-0.41)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0.37 (0.33-0.42)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INSIG1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1.62 (1.44-1.77)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1.73 (1.34-1.82)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0.65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LDLR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0.74 (0.52-0.86)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0.77 (0.61-0.87)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LSS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2.52 (2.22-2.99)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2.82 (2.52-3.13)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MSR1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0.42 (0.23-0.58)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0.71 (0.37-0.90)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0.02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MYLIP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0.55 (0.49-0.68)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0.49 (0.44-0.58)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NR1H3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0.22 (0.20-0.27)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0.30 (0.26-0.32)</w:t>
            </w:r>
          </w:p>
        </w:tc>
        <w:tc>
          <w:tcPr>
            <w:tcW w:w="0" w:type="auto"/>
          </w:tcPr>
          <w:p w:rsidR="007F4AD2" w:rsidRPr="002270A4" w:rsidRDefault="009F456F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SCAP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2.41 (2.22-2.72)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2.52 (2.32-2.77)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0.58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SCARB1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 (0.25-0.33)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 (0.25-0.33)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0.98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SCD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 (0.26-0.32)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 (0.22-0.32)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SLC25A20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0.53 (0.45-0.62)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0.63 (0.52-0.69)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0.19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SORL1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5.66 (5.23-6.48)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6.47 (5.82-7.23)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lastRenderedPageBreak/>
              <w:t>SORT1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0.59 (0.52-0.74)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0.61 (0.52-0.73)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0.76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SREBF1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1.01 (0.93-1.09)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 (0.98-1.19)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</w:t>
            </w:r>
          </w:p>
        </w:tc>
      </w:tr>
      <w:tr w:rsidR="007F4AD2" w:rsidRPr="002270A4" w:rsidTr="007F4AD2">
        <w:tc>
          <w:tcPr>
            <w:tcW w:w="0" w:type="auto"/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SREBF2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2.90 (2.47-3.21)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3.84 (3.43-4.0)</w:t>
            </w:r>
          </w:p>
        </w:tc>
        <w:tc>
          <w:tcPr>
            <w:tcW w:w="0" w:type="auto"/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0.001</w:t>
            </w:r>
          </w:p>
        </w:tc>
      </w:tr>
      <w:tr w:rsidR="007F4AD2" w:rsidRPr="002270A4" w:rsidTr="007F4AD2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F4AD2" w:rsidRPr="002270A4" w:rsidRDefault="007F4AD2" w:rsidP="007F4AD2">
            <w:pPr>
              <w:spacing w:line="48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VLDLR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 (0.01-0.03)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 (0.01-0.03)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4AD2" w:rsidRPr="002270A4" w:rsidRDefault="007F4AD2" w:rsidP="007F4AD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70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0.62</w:t>
            </w:r>
          </w:p>
        </w:tc>
      </w:tr>
    </w:tbl>
    <w:p w:rsidR="007F4AD2" w:rsidRDefault="007F4AD2" w:rsidP="007F4AD2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270A4">
        <w:rPr>
          <w:rFonts w:ascii="Times New Roman" w:hAnsi="Times New Roman" w:cs="Times New Roman"/>
          <w:sz w:val="20"/>
          <w:szCs w:val="20"/>
          <w:lang w:val="en-GB"/>
        </w:rPr>
        <w:t>Data are presente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 as </w:t>
      </w:r>
      <w:r w:rsidRPr="0076456C">
        <w:rPr>
          <w:rFonts w:ascii="Times New Roman" w:hAnsi="Times New Roman" w:cs="Times New Roman"/>
          <w:sz w:val="20"/>
          <w:szCs w:val="20"/>
          <w:lang w:val="en-GB"/>
        </w:rPr>
        <w:t>median (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25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th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– 75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th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percentile</w:t>
      </w:r>
      <w:r w:rsidRPr="0076456C">
        <w:rPr>
          <w:rFonts w:ascii="Times New Roman" w:hAnsi="Times New Roman" w:cs="Times New Roman"/>
          <w:sz w:val="20"/>
          <w:szCs w:val="20"/>
          <w:lang w:val="en-GB"/>
        </w:rPr>
        <w:t>) of</w:t>
      </w:r>
      <w:r w:rsidRPr="0076456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7645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fold</w:t>
      </w:r>
      <w:r w:rsidRPr="002270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 change from reference genes (ACSL3 and ACSL4</w:t>
      </w:r>
      <w:r w:rsidRPr="000B549F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)</w:t>
      </w:r>
      <w:r w:rsidR="000B549F" w:rsidRPr="000B549F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</w:t>
      </w:r>
      <w:r w:rsidR="000B549F" w:rsidRPr="000B54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nb-NO"/>
        </w:rPr>
        <w:t>(</w:t>
      </w:r>
      <w:r w:rsidR="000B549F" w:rsidRPr="000B549F">
        <w:rPr>
          <w:rFonts w:ascii="Times New Roman" w:eastAsia="Times New Roman" w:hAnsi="Times New Roman" w:cs="Times New Roman"/>
          <w:bCs/>
          <w:sz w:val="20"/>
          <w:szCs w:val="20"/>
          <w:lang w:val="en-GB" w:eastAsia="nb-NO"/>
        </w:rPr>
        <w:t>2</w:t>
      </w:r>
      <w:r w:rsidR="000B549F" w:rsidRPr="000B549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en-GB" w:eastAsia="nb-NO"/>
        </w:rPr>
        <w:t>-∆</w:t>
      </w:r>
      <w:r w:rsidR="000B549F" w:rsidRPr="000B549F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val="en-GB" w:eastAsia="nb-NO"/>
        </w:rPr>
        <w:t>CT</w:t>
      </w:r>
      <w:r w:rsidR="000B549F" w:rsidRPr="000B54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nb-NO"/>
        </w:rPr>
        <w:t>)</w:t>
      </w:r>
      <w:r w:rsidRPr="000B549F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</w:t>
      </w:r>
      <w:r w:rsidRPr="00EF0FE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of individual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means from the two</w:t>
      </w:r>
      <w:r w:rsidRPr="00EF0FE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visits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Pr="002270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sz w:val="20"/>
          <w:szCs w:val="20"/>
          <w:lang w:val="en-GB"/>
        </w:rPr>
        <w:t>-values from Mann-</w:t>
      </w:r>
      <w:r w:rsidRPr="002270A4">
        <w:rPr>
          <w:rFonts w:ascii="Times New Roman" w:hAnsi="Times New Roman" w:cs="Times New Roman"/>
          <w:sz w:val="20"/>
          <w:szCs w:val="20"/>
          <w:lang w:val="en-GB"/>
        </w:rPr>
        <w:t>Whit</w:t>
      </w:r>
      <w:r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2270A4">
        <w:rPr>
          <w:rFonts w:ascii="Times New Roman" w:hAnsi="Times New Roman" w:cs="Times New Roman"/>
          <w:sz w:val="20"/>
          <w:szCs w:val="20"/>
          <w:lang w:val="en-GB"/>
        </w:rPr>
        <w:t xml:space="preserve">ey test. </w:t>
      </w:r>
      <w:proofErr w:type="gramStart"/>
      <w:r w:rsidR="005C0BE3">
        <w:rPr>
          <w:rFonts w:ascii="Times New Roman" w:hAnsi="Times New Roman" w:cs="Times New Roman"/>
          <w:sz w:val="20"/>
          <w:szCs w:val="20"/>
          <w:lang w:val="en-GB"/>
        </w:rPr>
        <w:t>h</w:t>
      </w:r>
      <w:proofErr w:type="gramEnd"/>
      <w:r w:rsidR="005C0BE3">
        <w:rPr>
          <w:rFonts w:ascii="Times New Roman" w:hAnsi="Times New Roman" w:cs="Times New Roman"/>
          <w:sz w:val="20"/>
          <w:szCs w:val="20"/>
          <w:lang w:val="en-GB"/>
        </w:rPr>
        <w:t xml:space="preserve">, hour; </w:t>
      </w:r>
      <w:r w:rsidRPr="002270A4">
        <w:rPr>
          <w:rFonts w:ascii="Times New Roman" w:hAnsi="Times New Roman" w:cs="Times New Roman"/>
          <w:sz w:val="20"/>
          <w:szCs w:val="20"/>
          <w:lang w:val="en-GB"/>
        </w:rPr>
        <w:t>FH, familial hypercholesterolemia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D72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cycle threshold; </w:t>
      </w:r>
      <w:r>
        <w:rPr>
          <w:rFonts w:ascii="Times New Roman" w:hAnsi="Times New Roman" w:cs="Times New Roman"/>
          <w:sz w:val="20"/>
          <w:szCs w:val="20"/>
          <w:lang w:val="en-GB"/>
        </w:rPr>
        <w:t>for gene abbreviations see Table 1</w:t>
      </w:r>
      <w:r w:rsidRPr="002270A4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4D4EA5" w:rsidRPr="005C0BE3" w:rsidRDefault="00A54FF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0BE3">
        <w:rPr>
          <w:rFonts w:ascii="Times New Roman" w:hAnsi="Times New Roman" w:cs="Times New Roman"/>
          <w:sz w:val="20"/>
          <w:szCs w:val="20"/>
          <w:lang w:val="en-GB"/>
        </w:rPr>
        <w:br w:type="page"/>
      </w:r>
      <w:proofErr w:type="gramStart"/>
      <w:r w:rsidR="00B83815" w:rsidRPr="005C0BE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</w:t>
      </w:r>
      <w:r w:rsidR="00C054B9" w:rsidRPr="005C0BE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4D4EA5" w:rsidRPr="005C0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.</w:t>
      </w:r>
      <w:proofErr w:type="gramEnd"/>
      <w:r w:rsidR="004D4EA5" w:rsidRPr="005C0B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Postprandial changes in gene expression</w:t>
      </w:r>
      <w:r w:rsidR="0061600C" w:rsidRPr="005C0B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61600C" w:rsidRPr="005C0BE3">
        <w:rPr>
          <w:rStyle w:val="A15"/>
          <w:rFonts w:ascii="Times New Roman" w:hAnsi="Times New Roman" w:cs="Times New Roman"/>
          <w:color w:val="auto"/>
          <w:sz w:val="24"/>
          <w:szCs w:val="24"/>
          <w:lang w:val="en-GB"/>
        </w:rPr>
        <w:t>in peripheral blood mononuclear cells</w:t>
      </w:r>
      <w:r w:rsidR="004D4EA5" w:rsidRPr="005C0B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</w:p>
    <w:tbl>
      <w:tblPr>
        <w:tblW w:w="47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458"/>
        <w:gridCol w:w="1379"/>
        <w:gridCol w:w="1399"/>
        <w:gridCol w:w="160"/>
        <w:gridCol w:w="1419"/>
        <w:gridCol w:w="1425"/>
        <w:gridCol w:w="991"/>
        <w:gridCol w:w="1135"/>
      </w:tblGrid>
      <w:tr w:rsidR="005C0BE3" w:rsidRPr="005C0BE3" w:rsidTr="00D57306">
        <w:trPr>
          <w:trHeight w:val="300"/>
        </w:trPr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 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Target gene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n</w:t>
            </w: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 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SFA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PUFA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proofErr w:type="spellStart"/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nb-NO"/>
              </w:rPr>
              <w:t>p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GB" w:eastAsia="nb-NO"/>
              </w:rPr>
              <w:t>meal</w:t>
            </w:r>
            <w:proofErr w:type="spell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nb-NO"/>
              </w:rPr>
            </w:pPr>
            <w:proofErr w:type="spellStart"/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nb-NO"/>
              </w:rPr>
              <w:t>p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GB" w:eastAsia="nb-NO"/>
              </w:rPr>
              <w:t>group</w:t>
            </w:r>
            <w:proofErr w:type="spellEnd"/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4 h (2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nb-NO"/>
              </w:rPr>
              <w:t>-∆∆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6 h (2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nb-NO"/>
              </w:rPr>
              <w:t>-∆∆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4 h (2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nb-NO"/>
              </w:rPr>
              <w:t>-∆∆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6 h (2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nb-NO"/>
              </w:rPr>
              <w:t>-∆∆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GB" w:eastAsia="nb-NO"/>
              </w:rPr>
              <w:t>CT</w:t>
            </w:r>
            <w:r w:rsidRPr="005C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  <w:t>)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nb-NO"/>
              </w:rPr>
            </w:pPr>
          </w:p>
        </w:tc>
      </w:tr>
      <w:tr w:rsidR="005C0BE3" w:rsidRPr="005C0BE3" w:rsidTr="00D57306">
        <w:trPr>
          <w:trHeight w:val="262"/>
        </w:trPr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GB" w:eastAsia="nb-NO"/>
              </w:rPr>
              <w:t>ACACA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82 </w:t>
            </w:r>
          </w:p>
        </w:tc>
        <w:tc>
          <w:tcPr>
            <w:tcW w:w="6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0.35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4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(0.10)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ACAT1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ACSL1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105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0.67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0.73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(0.05)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(0.05)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243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CD36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103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(0.05)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center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CPT2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91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1.02 (0.07)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DHCR24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0.44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(0.09)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DHCR7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0.44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(0.04)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(0.05)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(0.05)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ECI1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104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0.73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(0.09)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FDFT1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1.80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0.22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0.24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1.55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0.21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FDPS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103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0.77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HMGCR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97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0.43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LSS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99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0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0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1.93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(0.03)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MYLIP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94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(0.10)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(0.11)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NR1H3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92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737C8A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.14 (</w:t>
            </w:r>
            <w:proofErr w:type="gramStart"/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737C8A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.13 (</w:t>
            </w:r>
            <w:proofErr w:type="gramStart"/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(0.10)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SCAP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(0.07)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lastRenderedPageBreak/>
              <w:t>SCARB1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106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0.35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0.73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SCD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91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0.26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(0.06)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0.85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(0.08)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1.03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SLC25A20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101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1.24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SORL1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97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0.51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0.07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SORT1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nb-NO"/>
              </w:rPr>
              <w:t>94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0.75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0.12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(0.12)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SREBF1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88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1.17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737C8A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1.34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0.10</w:t>
            </w:r>
            <w:proofErr w:type="gramEnd"/>
            <w:r w:rsidR="00D57306"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1.12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0.13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1.06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0.09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0.98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(0.12)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nb-NO"/>
              </w:rPr>
              <w:t>VLDLR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94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0.82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0B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</w:t>
            </w: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FH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1.42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0.19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0.16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1.39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BE3" w:rsidRPr="005C0BE3" w:rsidTr="00D57306">
        <w:trPr>
          <w:trHeight w:val="300"/>
        </w:trPr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C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1.25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0.11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1.08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0.15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1.21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0.18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306" w:rsidRPr="005C0BE3" w:rsidRDefault="00D57306" w:rsidP="00A5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1.40 (</w:t>
            </w:r>
            <w:proofErr w:type="gramStart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0.14</w:t>
            </w:r>
            <w:proofErr w:type="gramEnd"/>
            <w:r w:rsidRPr="005C0BE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306" w:rsidRPr="005C0BE3" w:rsidRDefault="00D57306" w:rsidP="00AE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54FF1" w:rsidRPr="005C0BE3" w:rsidRDefault="00BB2CC5" w:rsidP="00AE5D01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0BE3">
        <w:rPr>
          <w:rFonts w:ascii="Times New Roman" w:hAnsi="Times New Roman" w:cs="Times New Roman"/>
          <w:sz w:val="20"/>
          <w:szCs w:val="20"/>
          <w:lang w:val="en-US"/>
        </w:rPr>
        <w:t>Data are presented as mean (standard error) of fold change from baseline (</w:t>
      </w:r>
      <w:r w:rsidRPr="005C0BE3">
        <w:rPr>
          <w:rFonts w:ascii="Times New Roman" w:hAnsi="Times New Roman" w:cs="Times New Roman"/>
          <w:sz w:val="20"/>
          <w:szCs w:val="20"/>
          <w:lang w:val="en-GB"/>
        </w:rPr>
        <w:t>0 h)</w:t>
      </w:r>
      <w:r w:rsidRPr="005C0BE3">
        <w:rPr>
          <w:rFonts w:ascii="Times New Roman" w:hAnsi="Times New Roman" w:cs="Times New Roman"/>
          <w:sz w:val="20"/>
          <w:szCs w:val="20"/>
          <w:lang w:val="en-US"/>
        </w:rPr>
        <w:t xml:space="preserve"> and reference genes (ACSL3 and ACSL4) (2</w:t>
      </w:r>
      <w:r w:rsidRPr="005C0BE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-∆∆CT</w:t>
      </w:r>
      <w:r w:rsidRPr="005C0BE3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proofErr w:type="spellStart"/>
      <w:r w:rsidRPr="005C0BE3">
        <w:rPr>
          <w:rFonts w:ascii="Times New Roman" w:hAnsi="Times New Roman" w:cs="Times New Roman"/>
          <w:sz w:val="20"/>
          <w:szCs w:val="20"/>
          <w:lang w:val="en-US"/>
        </w:rPr>
        <w:t>Benjamini</w:t>
      </w:r>
      <w:proofErr w:type="spellEnd"/>
      <w:r w:rsidRPr="005C0BE3">
        <w:rPr>
          <w:rFonts w:ascii="Times New Roman" w:hAnsi="Times New Roman" w:cs="Times New Roman"/>
          <w:sz w:val="20"/>
          <w:szCs w:val="20"/>
          <w:lang w:val="en-US"/>
        </w:rPr>
        <w:t xml:space="preserve">-Hochberg adjusted p-values from a linear mixed model. </w:t>
      </w:r>
      <w:r w:rsidR="004F65DA" w:rsidRPr="005C0BE3">
        <w:rPr>
          <w:rStyle w:val="A15"/>
          <w:rFonts w:ascii="Times New Roman" w:hAnsi="Times New Roman" w:cs="Times New Roman"/>
          <w:i/>
          <w:color w:val="auto"/>
          <w:sz w:val="20"/>
          <w:szCs w:val="20"/>
          <w:lang w:val="en-GB"/>
        </w:rPr>
        <w:t>n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, number of subjects*2 meals*2 times (4 and 6 h); </w:t>
      </w:r>
      <w:r w:rsidR="005C0BE3" w:rsidRPr="005C0BE3">
        <w:rPr>
          <w:rFonts w:ascii="Times New Roman" w:hAnsi="Times New Roman" w:cs="Times New Roman"/>
          <w:sz w:val="20"/>
          <w:szCs w:val="20"/>
          <w:lang w:val="en-GB"/>
        </w:rPr>
        <w:t>h, hour;</w:t>
      </w:r>
      <w:r w:rsidR="005C0BE3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="005C0BE3" w:rsidRPr="005C0BE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C0BE3" w:rsidRPr="005C0BE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T</w:t>
      </w:r>
      <w:r w:rsidR="005C0BE3" w:rsidRPr="005C0BE3">
        <w:rPr>
          <w:rFonts w:ascii="Times New Roman" w:hAnsi="Times New Roman" w:cs="Times New Roman"/>
          <w:sz w:val="20"/>
          <w:szCs w:val="20"/>
          <w:lang w:val="en-US"/>
        </w:rPr>
        <w:t>, cycle threshold</w:t>
      </w:r>
      <w:r w:rsidR="005C0BE3" w:rsidRPr="005C0BE3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proofErr w:type="spellStart"/>
      <w:r w:rsidR="004F65DA" w:rsidRPr="005C0BE3">
        <w:rPr>
          <w:rStyle w:val="A15"/>
          <w:rFonts w:ascii="Times New Roman" w:hAnsi="Times New Roman" w:cs="Times New Roman"/>
          <w:i/>
          <w:color w:val="auto"/>
          <w:sz w:val="20"/>
          <w:szCs w:val="20"/>
          <w:lang w:val="en-GB"/>
        </w:rPr>
        <w:t>p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vertAlign w:val="subscript"/>
          <w:lang w:val="en-GB"/>
        </w:rPr>
        <w:t>meal</w:t>
      </w:r>
      <w:proofErr w:type="spellEnd"/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, </w:t>
      </w:r>
      <w:r w:rsidR="004F65DA" w:rsidRPr="005C0BE3">
        <w:rPr>
          <w:rStyle w:val="A15"/>
          <w:rFonts w:ascii="Times New Roman" w:hAnsi="Times New Roman" w:cs="Times New Roman"/>
          <w:i/>
          <w:color w:val="auto"/>
          <w:sz w:val="20"/>
          <w:szCs w:val="20"/>
          <w:lang w:val="en-GB"/>
        </w:rPr>
        <w:t>p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-value for change after the </w:t>
      </w:r>
      <w:r w:rsidR="0031291D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>SFA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 vs. PUFA meal; </w:t>
      </w:r>
      <w:proofErr w:type="spellStart"/>
      <w:r w:rsidR="004F65DA" w:rsidRPr="005C0BE3">
        <w:rPr>
          <w:rStyle w:val="A15"/>
          <w:rFonts w:ascii="Times New Roman" w:hAnsi="Times New Roman" w:cs="Times New Roman"/>
          <w:i/>
          <w:color w:val="auto"/>
          <w:sz w:val="20"/>
          <w:szCs w:val="20"/>
          <w:lang w:val="en-GB"/>
        </w:rPr>
        <w:t>p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vertAlign w:val="subscript"/>
          <w:lang w:val="en-GB"/>
        </w:rPr>
        <w:t>group</w:t>
      </w:r>
      <w:proofErr w:type="spellEnd"/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, </w:t>
      </w:r>
      <w:r w:rsidR="004F65DA" w:rsidRPr="005C0BE3">
        <w:rPr>
          <w:rStyle w:val="A15"/>
          <w:rFonts w:ascii="Times New Roman" w:hAnsi="Times New Roman" w:cs="Times New Roman"/>
          <w:i/>
          <w:color w:val="auto"/>
          <w:sz w:val="20"/>
          <w:szCs w:val="20"/>
          <w:lang w:val="en-GB"/>
        </w:rPr>
        <w:t>p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>-value for ch</w:t>
      </w:r>
      <w:r w:rsidR="004778FF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>ange in FH vs. control subjects</w:t>
      </w:r>
      <w:r w:rsidR="004F65DA" w:rsidRPr="005C0BE3">
        <w:rPr>
          <w:rStyle w:val="A15"/>
          <w:rFonts w:ascii="Times New Roman" w:hAnsi="Times New Roman" w:cs="Times New Roman"/>
          <w:color w:val="auto"/>
          <w:sz w:val="20"/>
          <w:szCs w:val="20"/>
          <w:lang w:val="en-GB"/>
        </w:rPr>
        <w:t xml:space="preserve">; FH, familial hypercholesterolemia; C, control; </w:t>
      </w:r>
      <w:r w:rsidR="003A6F88" w:rsidRPr="005C0BE3">
        <w:rPr>
          <w:rFonts w:ascii="Times New Roman" w:hAnsi="Times New Roman" w:cs="Times New Roman"/>
          <w:i/>
          <w:sz w:val="20"/>
          <w:szCs w:val="20"/>
          <w:lang w:val="en-US"/>
        </w:rPr>
        <w:t>ACACA</w:t>
      </w:r>
      <w:r w:rsidR="003A6F88" w:rsidRPr="005C0BE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A6F88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acetyl-CoA carboxylase alpha; 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ACAT1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acetyl-CoA acetyltransferase 1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ACSL1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acyl-CoA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synthetase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long-chain family member 1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CD36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CD 36 molecule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CPT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2,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carnitine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palmitoyltransferase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DHCR24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24-dehydrocholesterol reductase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 DHCR7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7-dehydrocholesterol reductase</w:t>
      </w:r>
      <w:r w:rsidR="003A6F88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>; ECI1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,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enoyl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-CoA delta isomerase 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FDFT1,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squalene synthase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FDPS,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farnesyl diphosphate synthase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HMGCR,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3-hydroxy-3methylglutaryl-CoA reductase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LSS,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lanosterol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synthase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MYLIP,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myosin regulatory light chain </w:t>
      </w:r>
      <w:r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interacting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protein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 NR1H3,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nuclear receptor subfamily 1 group H member 3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SCAP,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sterol regulatory element binding cleavage activating protein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SCARB1,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scavenger receptor class B member 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SCD,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stearoyl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-CoA desaturase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SLC25A20,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solute carrier family 25 member 20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SORL1, </w:t>
      </w:r>
      <w:proofErr w:type="spellStart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sortilin</w:t>
      </w:r>
      <w:proofErr w:type="spellEnd"/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related receptor 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SORT1,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sortilin-1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SREBF1,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sterol regulatory element binding transcription factor 1</w:t>
      </w:r>
      <w:r w:rsidR="005F7B3B" w:rsidRPr="005C0BE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b-NO"/>
        </w:rPr>
        <w:t xml:space="preserve">; VLDLR, </w:t>
      </w:r>
      <w:r w:rsidR="005F7B3B" w:rsidRPr="005C0BE3">
        <w:rPr>
          <w:rFonts w:ascii="Times New Roman" w:eastAsia="Times New Roman" w:hAnsi="Times New Roman" w:cs="Times New Roman"/>
          <w:sz w:val="20"/>
          <w:szCs w:val="20"/>
          <w:lang w:val="en-GB"/>
        </w:rPr>
        <w:t>very low density lipoprotein receptor</w:t>
      </w:r>
      <w:r w:rsidR="004F65DA" w:rsidRPr="005C0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51B17" w:rsidRDefault="00C51B17" w:rsidP="00AE5D01">
      <w:pPr>
        <w:spacing w:line="48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C51B17" w:rsidRDefault="00C51B17" w:rsidP="00AE5D01">
      <w:pPr>
        <w:spacing w:line="48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C51B17" w:rsidRDefault="00C51B17" w:rsidP="00AE5D01">
      <w:pPr>
        <w:spacing w:line="48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C51B17" w:rsidRPr="007D77BB" w:rsidRDefault="00C51B17" w:rsidP="007D77BB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bookmarkStart w:id="0" w:name="_GoBack"/>
      <w:bookmarkEnd w:id="0"/>
    </w:p>
    <w:p w:rsidR="00B31BC5" w:rsidRDefault="00B31B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B31BC5" w:rsidSect="0096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01"/>
    <w:rsid w:val="000005EF"/>
    <w:rsid w:val="000245AE"/>
    <w:rsid w:val="00032266"/>
    <w:rsid w:val="000660B1"/>
    <w:rsid w:val="00076BFC"/>
    <w:rsid w:val="000B549F"/>
    <w:rsid w:val="000E67CD"/>
    <w:rsid w:val="00122EE0"/>
    <w:rsid w:val="00194EBA"/>
    <w:rsid w:val="001A0978"/>
    <w:rsid w:val="00232E79"/>
    <w:rsid w:val="0029136B"/>
    <w:rsid w:val="002E2369"/>
    <w:rsid w:val="00302D17"/>
    <w:rsid w:val="0031291D"/>
    <w:rsid w:val="00320404"/>
    <w:rsid w:val="00345384"/>
    <w:rsid w:val="003A6F88"/>
    <w:rsid w:val="003D287E"/>
    <w:rsid w:val="003D6B53"/>
    <w:rsid w:val="004778FF"/>
    <w:rsid w:val="004D4EA5"/>
    <w:rsid w:val="004F65DA"/>
    <w:rsid w:val="005B1DF5"/>
    <w:rsid w:val="005C0BE3"/>
    <w:rsid w:val="005F7B3B"/>
    <w:rsid w:val="0061600C"/>
    <w:rsid w:val="00652FDD"/>
    <w:rsid w:val="006922FE"/>
    <w:rsid w:val="006A3998"/>
    <w:rsid w:val="006C64D4"/>
    <w:rsid w:val="00724193"/>
    <w:rsid w:val="00737C8A"/>
    <w:rsid w:val="0074739B"/>
    <w:rsid w:val="0076456C"/>
    <w:rsid w:val="007B60E7"/>
    <w:rsid w:val="007C2CA6"/>
    <w:rsid w:val="007D77BB"/>
    <w:rsid w:val="007F4AD2"/>
    <w:rsid w:val="00962A9F"/>
    <w:rsid w:val="009B50D0"/>
    <w:rsid w:val="009D2FBB"/>
    <w:rsid w:val="009D69C3"/>
    <w:rsid w:val="009E4766"/>
    <w:rsid w:val="009F456F"/>
    <w:rsid w:val="00A04BA9"/>
    <w:rsid w:val="00A54FF1"/>
    <w:rsid w:val="00A6368F"/>
    <w:rsid w:val="00A76DA8"/>
    <w:rsid w:val="00AC4F51"/>
    <w:rsid w:val="00AD17F1"/>
    <w:rsid w:val="00AE1C77"/>
    <w:rsid w:val="00AE2020"/>
    <w:rsid w:val="00AE2B68"/>
    <w:rsid w:val="00AE4670"/>
    <w:rsid w:val="00AE5D01"/>
    <w:rsid w:val="00B31BC5"/>
    <w:rsid w:val="00B42CB3"/>
    <w:rsid w:val="00B53E17"/>
    <w:rsid w:val="00B761F3"/>
    <w:rsid w:val="00B83815"/>
    <w:rsid w:val="00BA36D7"/>
    <w:rsid w:val="00BB2CC5"/>
    <w:rsid w:val="00BB46BD"/>
    <w:rsid w:val="00C054B9"/>
    <w:rsid w:val="00C06A2C"/>
    <w:rsid w:val="00C51B17"/>
    <w:rsid w:val="00CD1597"/>
    <w:rsid w:val="00CF3755"/>
    <w:rsid w:val="00D57306"/>
    <w:rsid w:val="00DA3004"/>
    <w:rsid w:val="00E63F3C"/>
    <w:rsid w:val="00ED3064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5">
    <w:name w:val="A15"/>
    <w:uiPriority w:val="99"/>
    <w:rsid w:val="00AE5D01"/>
    <w:rPr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9B5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2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E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5">
    <w:name w:val="A15"/>
    <w:uiPriority w:val="99"/>
    <w:rsid w:val="00AE5D01"/>
    <w:rPr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9B5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2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Bjørklund Holven</dc:creator>
  <cp:lastModifiedBy>Linn Kristin Lie Øyri</cp:lastModifiedBy>
  <cp:revision>2</cp:revision>
  <dcterms:created xsi:type="dcterms:W3CDTF">2019-05-20T07:53:00Z</dcterms:created>
  <dcterms:modified xsi:type="dcterms:W3CDTF">2019-05-20T07:53:00Z</dcterms:modified>
</cp:coreProperties>
</file>