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ABD4" w14:textId="77777777" w:rsidR="003B07EA" w:rsidRPr="00DE2549" w:rsidRDefault="003B07EA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  <w:r w:rsidRPr="00DE2549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Supplementary material</w:t>
      </w:r>
      <w:r w:rsidR="009D01B3" w:rsidRPr="00DE2549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:</w:t>
      </w:r>
    </w:p>
    <w:p w14:paraId="1420BCF6" w14:textId="77777777" w:rsidR="009D01B3" w:rsidRPr="00DE2549" w:rsidRDefault="009D01B3" w:rsidP="003657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  <w:r w:rsidRPr="00DE2549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Supplemental Table 1</w:t>
      </w:r>
    </w:p>
    <w:p w14:paraId="46FDD93F" w14:textId="77777777" w:rsidR="009D01B3" w:rsidRPr="00DE2549" w:rsidRDefault="009D01B3" w:rsidP="003657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DE2549">
        <w:rPr>
          <w:rFonts w:ascii="Times New Roman" w:hAnsi="Times New Roman" w:cs="Times New Roman"/>
          <w:color w:val="000000" w:themeColor="text1"/>
          <w:sz w:val="20"/>
        </w:rPr>
        <w:t>Supplemental Table 2</w:t>
      </w:r>
    </w:p>
    <w:p w14:paraId="1384225A" w14:textId="77777777" w:rsidR="009D01B3" w:rsidRPr="00DE2549" w:rsidRDefault="009D01B3" w:rsidP="0036572F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  <w:t>Supplemental Table 3</w:t>
      </w:r>
    </w:p>
    <w:p w14:paraId="4F268FB7" w14:textId="77777777" w:rsidR="009D01B3" w:rsidRPr="00DE2549" w:rsidRDefault="009D01B3" w:rsidP="003657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DE2549">
        <w:rPr>
          <w:rFonts w:ascii="Times New Roman" w:hAnsi="Times New Roman" w:cs="Times New Roman"/>
          <w:color w:val="000000" w:themeColor="text1"/>
          <w:sz w:val="20"/>
        </w:rPr>
        <w:t>Supplemental Figure 1</w:t>
      </w:r>
    </w:p>
    <w:p w14:paraId="15644217" w14:textId="77777777" w:rsidR="009D01B3" w:rsidRPr="00DE2549" w:rsidRDefault="009D01B3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14:paraId="42482154" w14:textId="77777777" w:rsidR="009D01B3" w:rsidRPr="00DE2549" w:rsidRDefault="009D01B3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4337D76" w14:textId="77777777" w:rsidR="009D01B3" w:rsidRPr="00DE2549" w:rsidRDefault="009D01B3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66111ED" w14:textId="77777777" w:rsidR="009D01B3" w:rsidRPr="00DE2549" w:rsidRDefault="009D01B3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4F986D0" w14:textId="77777777" w:rsidR="009D01B3" w:rsidRPr="00DE2549" w:rsidRDefault="009D01B3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3B5D1F9" w14:textId="77777777" w:rsidR="009D01B3" w:rsidRPr="00DE2549" w:rsidRDefault="009D01B3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451367" w14:textId="77777777" w:rsidR="009D01B3" w:rsidRPr="00DE2549" w:rsidRDefault="009D01B3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2061702" w14:textId="77777777" w:rsidR="009D01B3" w:rsidRPr="00DE2549" w:rsidRDefault="009D01B3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EAD713B" w14:textId="77777777" w:rsidR="009D01B3" w:rsidRPr="00DE2549" w:rsidRDefault="009D01B3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EDDC58B" w14:textId="77777777" w:rsidR="0036572F" w:rsidRPr="00DE2549" w:rsidRDefault="0036572F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CF0288E" w14:textId="77777777" w:rsidR="0036572F" w:rsidRPr="00DE2549" w:rsidRDefault="0036572F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50BF3C" w14:textId="77777777" w:rsidR="0036572F" w:rsidRPr="00DE2549" w:rsidRDefault="0036572F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8C506A3" w14:textId="77777777" w:rsidR="003B07EA" w:rsidRPr="00DE2549" w:rsidRDefault="003B07EA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  <w:r w:rsidRPr="00DE2549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Supplemental Table 1</w:t>
      </w:r>
    </w:p>
    <w:p w14:paraId="299C6AA4" w14:textId="77777777" w:rsidR="003B07EA" w:rsidRPr="00DE2549" w:rsidRDefault="003B07EA" w:rsidP="003B07E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DE2549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Title: Sensitivity analyses of the prevalence of iron deficiency by serum ferritin (SF) &lt;15 µg/L and serum ferritin (SF) &lt;12 µg/L 14 weeks postpartum in the STORK-Groruddalen study, and the relative change of prevalence of iron deficiency when the lower thresholds for serum ferritin is chosen </w:t>
      </w:r>
      <w:r w:rsidRPr="00DE2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</w:p>
    <w:tbl>
      <w:tblPr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960"/>
        <w:gridCol w:w="960"/>
        <w:gridCol w:w="960"/>
        <w:gridCol w:w="1420"/>
      </w:tblGrid>
      <w:tr w:rsidR="00DE2549" w:rsidRPr="00DE2549" w14:paraId="05D021A1" w14:textId="77777777" w:rsidTr="003B07EA">
        <w:trPr>
          <w:trHeight w:val="210"/>
        </w:trPr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DDBB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4C10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E8D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SF &lt;15 µg/L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509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SF &lt;12 µg/L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1AC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Relative change</w:t>
            </w:r>
          </w:p>
        </w:tc>
      </w:tr>
      <w:tr w:rsidR="00DE2549" w:rsidRPr="00DE2549" w14:paraId="6EA153F3" w14:textId="77777777" w:rsidTr="003B07EA">
        <w:trPr>
          <w:trHeight w:val="220"/>
        </w:trPr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C3EE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3BE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200D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6C52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E72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%</w:t>
            </w:r>
          </w:p>
        </w:tc>
      </w:tr>
      <w:tr w:rsidR="00DE2549" w:rsidRPr="00DE2549" w14:paraId="35CFFE37" w14:textId="77777777" w:rsidTr="003B07EA">
        <w:trPr>
          <w:trHeight w:val="21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857E" w14:textId="77777777" w:rsidR="003B07EA" w:rsidRPr="00DE2549" w:rsidRDefault="003B07EA" w:rsidP="003B07EA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Total sample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022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46D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747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464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-26</w:t>
            </w:r>
          </w:p>
        </w:tc>
      </w:tr>
      <w:tr w:rsidR="00DE2549" w:rsidRPr="00DE2549" w14:paraId="643F1447" w14:textId="77777777" w:rsidTr="003B07EA">
        <w:trPr>
          <w:trHeight w:val="21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5788" w14:textId="77777777" w:rsidR="003B07EA" w:rsidRPr="00DE2549" w:rsidRDefault="003B07EA" w:rsidP="003B07EA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Ethnic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9DD3" w14:textId="77777777" w:rsidR="003B07EA" w:rsidRPr="00DE2549" w:rsidRDefault="003B07EA" w:rsidP="003B07EA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81F1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CFAC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BA26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DE2549" w:rsidRPr="00DE2549" w14:paraId="07AA2A0E" w14:textId="77777777" w:rsidTr="003B07EA">
        <w:trPr>
          <w:trHeight w:val="21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C4C7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Western Europe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F01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8E7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BC4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E77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-31</w:t>
            </w:r>
          </w:p>
        </w:tc>
      </w:tr>
      <w:tr w:rsidR="00DE2549" w:rsidRPr="00DE2549" w14:paraId="25D68D18" w14:textId="77777777" w:rsidTr="003B07EA">
        <w:trPr>
          <w:trHeight w:val="21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178E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South Asia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6C7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EED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9CB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168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-20</w:t>
            </w:r>
          </w:p>
        </w:tc>
      </w:tr>
      <w:tr w:rsidR="00DE2549" w:rsidRPr="00DE2549" w14:paraId="5DB67BFA" w14:textId="77777777" w:rsidTr="003B07EA">
        <w:trPr>
          <w:trHeight w:val="21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86D8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Middle East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DDF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24B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CA0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ACC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-23</w:t>
            </w:r>
          </w:p>
        </w:tc>
      </w:tr>
      <w:tr w:rsidR="00DE2549" w:rsidRPr="00DE2549" w14:paraId="44968067" w14:textId="77777777" w:rsidTr="003B07EA">
        <w:trPr>
          <w:trHeight w:val="21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014F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Sub-Saharan Africa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053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272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265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88C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-20</w:t>
            </w:r>
          </w:p>
        </w:tc>
      </w:tr>
      <w:tr w:rsidR="00DE2549" w:rsidRPr="00DE2549" w14:paraId="18A13EC2" w14:textId="77777777" w:rsidTr="003B07EA">
        <w:trPr>
          <w:trHeight w:val="21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D325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East Asia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299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E54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14A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384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-33</w:t>
            </w:r>
          </w:p>
        </w:tc>
      </w:tr>
      <w:tr w:rsidR="003B07EA" w:rsidRPr="00DE2549" w14:paraId="60FE9DD8" w14:textId="77777777" w:rsidTr="003B07EA">
        <w:trPr>
          <w:trHeight w:val="220"/>
        </w:trPr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6413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Eastern Europe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937A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843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338A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161B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nb-NO"/>
              </w:rPr>
              <w:t>-9</w:t>
            </w:r>
          </w:p>
        </w:tc>
      </w:tr>
    </w:tbl>
    <w:p w14:paraId="22FA44AF" w14:textId="77777777" w:rsidR="0036572F" w:rsidRPr="00DE2549" w:rsidRDefault="0036572F" w:rsidP="003B07E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16"/>
          <w:vertAlign w:val="superscript"/>
          <w:lang w:eastAsia="nb-NO"/>
        </w:rPr>
      </w:pPr>
    </w:p>
    <w:p w14:paraId="76299F8C" w14:textId="77777777" w:rsidR="003B07EA" w:rsidRPr="00DE2549" w:rsidRDefault="003B07EA" w:rsidP="003B07EA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vertAlign w:val="superscript"/>
          <w:lang w:eastAsia="nb-NO"/>
        </w:rPr>
        <w:t>1</w:t>
      </w:r>
      <w:r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  <w:t xml:space="preserve"> The STORK-Groruddalen multi-ethnic pregnancy cohort from Oslo, Norway, 2008 – 2010.</w:t>
      </w:r>
    </w:p>
    <w:p w14:paraId="35DAC3FB" w14:textId="77777777" w:rsidR="004A71A1" w:rsidRPr="00DE2549" w:rsidRDefault="004A71A1">
      <w:pPr>
        <w:rPr>
          <w:color w:val="000000" w:themeColor="text1"/>
        </w:rPr>
      </w:pPr>
    </w:p>
    <w:p w14:paraId="249D536B" w14:textId="77777777" w:rsidR="003B07EA" w:rsidRPr="00DE2549" w:rsidRDefault="003B07EA">
      <w:pPr>
        <w:rPr>
          <w:color w:val="000000" w:themeColor="text1"/>
        </w:rPr>
      </w:pPr>
    </w:p>
    <w:p w14:paraId="4296048A" w14:textId="77777777" w:rsidR="003B07EA" w:rsidRPr="00DE2549" w:rsidRDefault="003B07EA">
      <w:pPr>
        <w:rPr>
          <w:color w:val="000000" w:themeColor="text1"/>
        </w:rPr>
      </w:pPr>
    </w:p>
    <w:p w14:paraId="103905B7" w14:textId="77777777" w:rsidR="003B07EA" w:rsidRPr="00DE2549" w:rsidRDefault="003B07EA">
      <w:pPr>
        <w:rPr>
          <w:color w:val="000000" w:themeColor="text1"/>
        </w:rPr>
      </w:pPr>
    </w:p>
    <w:p w14:paraId="769D0050" w14:textId="77777777" w:rsidR="003B07EA" w:rsidRPr="00DE2549" w:rsidRDefault="003B07EA">
      <w:pPr>
        <w:rPr>
          <w:color w:val="000000" w:themeColor="text1"/>
        </w:rPr>
      </w:pPr>
    </w:p>
    <w:p w14:paraId="0021FE2B" w14:textId="77777777" w:rsidR="003B07EA" w:rsidRPr="00DE2549" w:rsidRDefault="003B07EA">
      <w:pPr>
        <w:rPr>
          <w:color w:val="000000" w:themeColor="text1"/>
        </w:rPr>
      </w:pPr>
    </w:p>
    <w:p w14:paraId="332069E6" w14:textId="77777777" w:rsidR="009D01B3" w:rsidRPr="00DE2549" w:rsidRDefault="009D01B3">
      <w:pPr>
        <w:rPr>
          <w:color w:val="000000" w:themeColor="text1"/>
        </w:rPr>
      </w:pPr>
    </w:p>
    <w:p w14:paraId="7D8B71D2" w14:textId="77777777" w:rsidR="009D01B3" w:rsidRPr="00DE2549" w:rsidRDefault="009D01B3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99A88A3" w14:textId="77777777" w:rsidR="009D01B3" w:rsidRPr="00DE2549" w:rsidRDefault="009D01B3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878BF16" w14:textId="77777777" w:rsidR="003B07EA" w:rsidRPr="00DE2549" w:rsidRDefault="003B07EA">
      <w:pPr>
        <w:rPr>
          <w:rFonts w:ascii="Times New Roman" w:hAnsi="Times New Roman" w:cs="Times New Roman"/>
          <w:color w:val="000000" w:themeColor="text1"/>
          <w:sz w:val="20"/>
        </w:rPr>
      </w:pPr>
      <w:r w:rsidRPr="00DE2549">
        <w:rPr>
          <w:rFonts w:ascii="Times New Roman" w:hAnsi="Times New Roman" w:cs="Times New Roman"/>
          <w:color w:val="000000" w:themeColor="text1"/>
          <w:sz w:val="20"/>
        </w:rPr>
        <w:t>Supplemental Table 2.</w:t>
      </w:r>
    </w:p>
    <w:p w14:paraId="7B47A214" w14:textId="77777777" w:rsidR="003B07EA" w:rsidRPr="00DE2549" w:rsidRDefault="003B07EA">
      <w:pPr>
        <w:rPr>
          <w:rFonts w:ascii="Times New Roman" w:hAnsi="Times New Roman" w:cs="Times New Roman"/>
          <w:color w:val="000000" w:themeColor="text1"/>
          <w:sz w:val="20"/>
        </w:rPr>
      </w:pPr>
      <w:r w:rsidRPr="00DE2549">
        <w:rPr>
          <w:rFonts w:ascii="Times New Roman" w:hAnsi="Times New Roman" w:cs="Times New Roman"/>
          <w:color w:val="000000" w:themeColor="text1"/>
          <w:sz w:val="20"/>
        </w:rPr>
        <w:t xml:space="preserve">Title: Multivariable regression analyses exploring the potential effect of participants’ level of integration as an alternative to ethnicity. Logistic regression analysis of SF &lt;15 µg/L, and linear regression analyses of sTfR, TBI, and Hb concentration 14 weeks postpartum in the STORK-Groruddalen study </w:t>
      </w:r>
      <w:r w:rsidRPr="00DE2549">
        <w:rPr>
          <w:rFonts w:ascii="Times New Roman" w:hAnsi="Times New Roman" w:cs="Times New Roman"/>
          <w:color w:val="000000" w:themeColor="text1"/>
          <w:sz w:val="20"/>
          <w:vertAlign w:val="superscript"/>
        </w:rPr>
        <w:t>1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777"/>
        <w:gridCol w:w="1066"/>
        <w:gridCol w:w="1020"/>
        <w:gridCol w:w="1007"/>
        <w:gridCol w:w="604"/>
        <w:gridCol w:w="1225"/>
        <w:gridCol w:w="567"/>
        <w:gridCol w:w="1140"/>
      </w:tblGrid>
      <w:tr w:rsidR="00DE2549" w:rsidRPr="00DE2549" w14:paraId="0B95FA46" w14:textId="77777777" w:rsidTr="00220F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1D979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0A25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0C3F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AA4D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71D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407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107F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AC4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FDFB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</w:tr>
      <w:tr w:rsidR="00DE2549" w:rsidRPr="00DE2549" w14:paraId="1E28EE4E" w14:textId="77777777" w:rsidTr="00220F80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08E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459C" w14:textId="77777777" w:rsidR="003B07EA" w:rsidRPr="00DE2549" w:rsidRDefault="003B07EA" w:rsidP="003B07EA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SF &lt;15 µg/dL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C3449" w14:textId="77777777" w:rsidR="003B07EA" w:rsidRPr="00DE2549" w:rsidRDefault="003B07EA" w:rsidP="003B07EA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sTfR, </w:t>
            </w:r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>mg/L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E9A5A" w14:textId="77777777" w:rsidR="003B07EA" w:rsidRPr="00DE2549" w:rsidRDefault="003B07EA" w:rsidP="003B07EA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TBI, </w:t>
            </w:r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>mg/kg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53A0" w14:textId="77777777" w:rsidR="003B07EA" w:rsidRPr="00DE2549" w:rsidRDefault="003B07EA" w:rsidP="003B07EA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Hb, </w:t>
            </w:r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>g/dL</w:t>
            </w:r>
          </w:p>
        </w:tc>
      </w:tr>
      <w:tr w:rsidR="00DE2549" w:rsidRPr="00DE2549" w14:paraId="5472ACD9" w14:textId="77777777" w:rsidTr="00220F80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DD43" w14:textId="77777777" w:rsidR="003B07EA" w:rsidRPr="00DE2549" w:rsidRDefault="003B07EA" w:rsidP="003B07EA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0C4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adj 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282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65F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adj 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847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604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adj 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D4A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4DE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adj 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8B1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</w:tr>
      <w:tr w:rsidR="00DE2549" w:rsidRPr="00DE2549" w14:paraId="64B9F9DE" w14:textId="77777777" w:rsidTr="00220F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DE336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27B6B" w14:textId="77777777" w:rsidR="003B07EA" w:rsidRPr="00DE2549" w:rsidRDefault="003B07EA" w:rsidP="003B07EA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R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 = 0.13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56175" w14:textId="77777777" w:rsidR="003B07EA" w:rsidRPr="00DE2549" w:rsidRDefault="003B07EA" w:rsidP="003B07EA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R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 = 0.12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89813" w14:textId="77777777" w:rsidR="003B07EA" w:rsidRPr="00DE2549" w:rsidRDefault="003B07EA" w:rsidP="003B07EA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R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 = 0.15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F0831" w14:textId="77777777" w:rsidR="003B07EA" w:rsidRPr="00DE2549" w:rsidRDefault="003B07EA" w:rsidP="003B07EA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R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 = 0.12</w:t>
            </w:r>
          </w:p>
        </w:tc>
      </w:tr>
      <w:tr w:rsidR="00DE2549" w:rsidRPr="00DE2549" w14:paraId="09EC66C3" w14:textId="77777777" w:rsidTr="00220F8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B115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610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F05D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852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35D0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3C3E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FFAC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113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2524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</w:tr>
      <w:tr w:rsidR="00DE2549" w:rsidRPr="00DE2549" w14:paraId="05CA8E4C" w14:textId="77777777" w:rsidTr="00220F80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F405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Low social integration (high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51F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24A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1.0, 2.2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162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96D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-0.3, 0.3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39D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3D2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-1.4, -0.1 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F78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225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-0.3, 0.1</w:t>
            </w:r>
          </w:p>
        </w:tc>
      </w:tr>
      <w:tr w:rsidR="00DE2549" w:rsidRPr="00DE2549" w14:paraId="2FBD732C" w14:textId="77777777" w:rsidTr="00220F8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A4B1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Postpartum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0527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5D6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B65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3E5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-0.1, -0.02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14D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BE1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82D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A5E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="00DE2549" w:rsidRPr="00DE2549" w14:paraId="335AD806" w14:textId="77777777" w:rsidTr="00220F8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3A2D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Age, </w:t>
            </w:r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 xml:space="preserve">per 5 </w:t>
            </w:r>
            <w:proofErr w:type="gramStart"/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>year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85FE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639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D37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9C8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826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41D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0.2, 0.9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03A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B68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0.02, 0.2 *</w:t>
            </w:r>
          </w:p>
        </w:tc>
      </w:tr>
      <w:tr w:rsidR="00DE2549" w:rsidRPr="00DE2549" w14:paraId="507D4945" w14:textId="77777777" w:rsidTr="00220F8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3CBD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Multiparous (primiparous = reference)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015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48E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0.4, 0.8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F87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0E0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-0.6, -0.01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F4B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DA8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-0.1, 1.4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BED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2EB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-0.4, 0.0 *</w:t>
            </w:r>
          </w:p>
        </w:tc>
      </w:tr>
      <w:tr w:rsidR="00DE2549" w:rsidRPr="00DE2549" w14:paraId="351C6F85" w14:textId="77777777" w:rsidTr="00220F8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C2A4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Early life socioeconomic position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00F9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F97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4B9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2DD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2AE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E62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865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851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0.1, 0.3 **</w:t>
            </w:r>
          </w:p>
        </w:tc>
      </w:tr>
      <w:tr w:rsidR="00DE2549" w:rsidRPr="00DE2549" w14:paraId="42E22AA9" w14:textId="77777777" w:rsidTr="00220F8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0DD2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Gestational ID or anaemia (no = ref)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 xml:space="preserve"> 4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F63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C6B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0.9, 2.5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3F4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D2A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1.3, 2.6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F3B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93A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-3.7, -0.6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835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D09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-1.4, -0.6 **</w:t>
            </w:r>
          </w:p>
        </w:tc>
      </w:tr>
      <w:tr w:rsidR="00DE2549" w:rsidRPr="00DE2549" w14:paraId="2BD0A01D" w14:textId="77777777" w:rsidTr="00220F8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6318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Iron supplementation use in GW 28 (no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776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2CB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0.3, 0.8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870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D8C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-0.8, -0.2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129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5C4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0.6, 1.8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3B2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30D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-0.03, 0.3</w:t>
            </w:r>
          </w:p>
        </w:tc>
      </w:tr>
      <w:tr w:rsidR="00DE2549" w:rsidRPr="00DE2549" w14:paraId="1D35E115" w14:textId="77777777" w:rsidTr="00220F8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385F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Dietary pattern (healthy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8B6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924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1.1, 2.5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00F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AC1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0.4, 1.1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174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492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-3.7, -1.8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0E5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65C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-1.4, -0.7</w:t>
            </w:r>
          </w:p>
        </w:tc>
      </w:tr>
      <w:tr w:rsidR="00DE2549" w:rsidRPr="00DE2549" w14:paraId="47F5DEF7" w14:textId="77777777" w:rsidTr="00220F8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AF48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Chronic illness/medication associated with normochromic anaemia (no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3006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525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864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63B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90A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B4A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32A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DFA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-1.4, -0.3 **</w:t>
            </w:r>
          </w:p>
        </w:tc>
      </w:tr>
      <w:tr w:rsidR="00DE2549" w:rsidRPr="00DE2549" w14:paraId="3C5BD1C5" w14:textId="77777777" w:rsidTr="00220F80">
        <w:trPr>
          <w:trHeight w:val="29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91E2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Chronic illness/medication associated with hypochromic anaemia (no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5103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A59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B42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266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E64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DF0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0AB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26A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-0.3, 0.2</w:t>
            </w:r>
          </w:p>
        </w:tc>
      </w:tr>
      <w:tr w:rsidR="00DE2549" w:rsidRPr="00DE2549" w14:paraId="06960011" w14:textId="77777777" w:rsidTr="00220F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3FE5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Postpartum haemorrhage (&lt;500 mL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F90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3EC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1.4, 6.7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A7C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0.2 (-0.4, 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08F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86BE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A49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-3.1, -0.6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BBC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BA99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-0.7, 0.003 *</w:t>
            </w:r>
          </w:p>
        </w:tc>
      </w:tr>
    </w:tbl>
    <w:p w14:paraId="438D4978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proofErr w:type="spellStart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Adj</w:t>
      </w:r>
      <w:proofErr w:type="spellEnd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, adjusted; GW, gestational week; Hb, haemoglobin; ID, iron deficiency; SEP, socioeconomic position; SF, serum ferritin; sTfR, soluble transferrin receptor; TBI; total body iron.</w:t>
      </w:r>
    </w:p>
    <w:p w14:paraId="1E484A67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1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The STORK-Groruddalen multi-ethnic pregnancy cohort from Oslo, Norway, 2008 – 2010. Only adjusted values presented.</w:t>
      </w:r>
    </w:p>
    <w:p w14:paraId="565B01AC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 xml:space="preserve">2 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Variable derived from a principal components analysis of predefined markers reflecting integration such as language skills, time of residence, social interaction with ethnic Norwegians and use of Norwegian media, with a higher score reflect higher social integration. “Low social integration” represents participants belonging to the 40% with the lowest scores.</w:t>
      </w:r>
    </w:p>
    <w:p w14:paraId="7C5BFC6C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 xml:space="preserve">3 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Variable derived from a principal components analysis of three childhood sociodemographic variables representing maternal SEP at age 10 years, with a higher score reflecting higher socioeconomic position.</w:t>
      </w:r>
    </w:p>
    <w:p w14:paraId="6FEFAC60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4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Gestational iron deficiency by 1) SF &lt;15 µg/L; 2) sTfR &gt;4.4 mg/L, or 3) TBI &lt;0 mg/kg; and gestational anaemia by trimester-specific haemoglobin &lt; 10.5 or 11.0 g/dL, analysed in mean gestational week 15.1.</w:t>
      </w:r>
    </w:p>
    <w:p w14:paraId="58B4C381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5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Selfreported intake of iron supplements during the past two weeks in GW 28.</w:t>
      </w:r>
    </w:p>
    <w:p w14:paraId="29BD039B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6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Data from food frequency questionnaires collected in GW 28; four clusters were extracted using the Ward’s method. Clusters were referred to as “a healthier dietary pattern” vs. three “less healthy dietary patterns”; here dichotomized into “healthy” and “unhealthy” dietary pattern.</w:t>
      </w:r>
    </w:p>
    <w:p w14:paraId="53401FAF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7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Self-reported chronic illness or medication associated with normochromic anaemia (</w:t>
      </w:r>
      <w:proofErr w:type="gramStart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i.e.</w:t>
      </w:r>
      <w:proofErr w:type="gramEnd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kidney or rheumatic disease, use of carbamazepine or infliximab).</w:t>
      </w:r>
    </w:p>
    <w:p w14:paraId="5E0C5643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8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Self-reported chronic illness or medication associated with ID and hypochromic anaemia (</w:t>
      </w:r>
      <w:proofErr w:type="gramStart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i.e.</w:t>
      </w:r>
      <w:proofErr w:type="gramEnd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gastrointestinal disease or Copper intrauterine device use before conception).</w:t>
      </w:r>
    </w:p>
    <w:p w14:paraId="1A563271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9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Excessive blood loss (≥500 mL) after delivery.</w:t>
      </w:r>
    </w:p>
    <w:p w14:paraId="77D9D451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* </w:t>
      </w:r>
      <w:r w:rsidRPr="00DE254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nb-NO"/>
        </w:rPr>
        <w:t>P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&lt;0.05, ** </w:t>
      </w:r>
      <w:r w:rsidRPr="00DE254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nb-NO"/>
        </w:rPr>
        <w:t>P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&lt;0.01.</w:t>
      </w:r>
    </w:p>
    <w:p w14:paraId="7AB31B43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  <w:t>Supplemental Table 3</w:t>
      </w:r>
    </w:p>
    <w:p w14:paraId="4429D2A6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</w:pPr>
    </w:p>
    <w:p w14:paraId="13830725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  <w:t>Title: Logistic regression analysis of serum ferritin &lt;15 µg/L, and linear regression analyses of soluble transferrin receptor, total body iron, and haemoglobin concentration 14 weeks postpartum in a sub-sample of non-Western women in the STORK-Groruddalen study</w:t>
      </w:r>
      <w:r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vertAlign w:val="superscript"/>
          <w:lang w:eastAsia="nb-NO"/>
        </w:rPr>
        <w:t>1</w:t>
      </w:r>
      <w:r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  <w:t>.</w:t>
      </w:r>
    </w:p>
    <w:p w14:paraId="24B5CBF1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nb-NO"/>
        </w:rPr>
      </w:pPr>
    </w:p>
    <w:tbl>
      <w:tblPr>
        <w:tblW w:w="15310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654"/>
        <w:gridCol w:w="448"/>
        <w:gridCol w:w="863"/>
        <w:gridCol w:w="713"/>
        <w:gridCol w:w="999"/>
        <w:gridCol w:w="572"/>
        <w:gridCol w:w="1135"/>
        <w:gridCol w:w="567"/>
        <w:gridCol w:w="1221"/>
        <w:gridCol w:w="394"/>
        <w:gridCol w:w="927"/>
        <w:gridCol w:w="457"/>
        <w:gridCol w:w="828"/>
        <w:gridCol w:w="653"/>
        <w:gridCol w:w="929"/>
        <w:gridCol w:w="580"/>
        <w:gridCol w:w="957"/>
      </w:tblGrid>
      <w:tr w:rsidR="00DE2549" w:rsidRPr="00DE2549" w14:paraId="634BF60A" w14:textId="77777777" w:rsidTr="00220F8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AA8C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b-NO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C06F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73AAA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6B85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SF &lt;15 µg/dL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38609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F45E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7F9B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sTfR, </w:t>
            </w:r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>mg/L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45C3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D0568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5021" w14:textId="77777777" w:rsidR="003B07EA" w:rsidRPr="00DE2549" w:rsidRDefault="003B07EA" w:rsidP="003B07E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TBI, </w:t>
            </w:r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>mg/kg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FEAAA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4C28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708D" w14:textId="77777777" w:rsidR="003B07EA" w:rsidRPr="00DE2549" w:rsidRDefault="003B07EA" w:rsidP="003B07EA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Hb, </w:t>
            </w:r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>g/dL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298C7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</w:tr>
      <w:tr w:rsidR="00DE2549" w:rsidRPr="00DE2549" w14:paraId="0D93A854" w14:textId="77777777" w:rsidTr="00220F80">
        <w:trPr>
          <w:trHeight w:val="29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BF43" w14:textId="77777777" w:rsidR="003B07EA" w:rsidRPr="00DE2549" w:rsidRDefault="003B07EA" w:rsidP="003B07E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612E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F4A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OR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DC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19A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adj OR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7AB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01D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572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1AC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adj β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2E0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5AB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64C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521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adj β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9C8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45F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β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8A1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764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adj β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B7D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95% CI</w:t>
            </w:r>
          </w:p>
        </w:tc>
      </w:tr>
      <w:tr w:rsidR="00DE2549" w:rsidRPr="00DE2549" w14:paraId="10D95EAC" w14:textId="77777777" w:rsidTr="00220F80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4879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3F5F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EB43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5BAE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0318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R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 = 0.12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843C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EDCD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C2FE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R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 = 0.12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44DE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D424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143D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R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 = 0.16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339D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E481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5F3DD" w14:textId="77777777" w:rsidR="003B07EA" w:rsidRPr="00DE2549" w:rsidRDefault="003B07EA" w:rsidP="003B07EA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R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 = 0.15</w:t>
            </w:r>
          </w:p>
        </w:tc>
      </w:tr>
      <w:tr w:rsidR="00DE2549" w:rsidRPr="00DE2549" w14:paraId="563F1E17" w14:textId="77777777" w:rsidTr="00220F80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1A9D9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E0F9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5CBD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A5EA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FC105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D3CE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4A64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E63F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EBE9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0822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ECEC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1225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EB4F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615AF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A834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8D42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09EC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C809E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</w:tr>
      <w:tr w:rsidR="00DE2549" w:rsidRPr="00DE2549" w14:paraId="015406B1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3963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Non-Western ethnic origin except South Asians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6D6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95A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5A0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2AF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3C5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9DF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922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B27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34B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B7E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290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169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3E6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E10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502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4E0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</w:tr>
      <w:tr w:rsidR="00DE2549" w:rsidRPr="00DE2549" w14:paraId="26221CBF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7019" w14:textId="77777777" w:rsidR="003B07EA" w:rsidRPr="00DE2549" w:rsidRDefault="003B07EA" w:rsidP="003B07E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South Asia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209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E87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0.8, 1.8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BD1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896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0.7, 1.9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110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26D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0.1, 1.0 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C6A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AA6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-0.9, -0.1 *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A13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4BA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-1.5, -0.1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D26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B4F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-0.3, -1.4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A27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087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-0.7, 0.3 **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A72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A9C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-0.7, 0.3 **</w:t>
            </w:r>
          </w:p>
        </w:tc>
      </w:tr>
      <w:tr w:rsidR="00DE2549" w:rsidRPr="00DE2549" w14:paraId="498141C7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A2FB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Postpartum week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37A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B0B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0.9, 1.0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5FA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4BF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AC8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C64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-0.1, -0.01 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5D7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B01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-0.2, -0.001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3B8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631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-0.04, 0.2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58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BA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8AE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825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-0.01, 0.05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E7B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6CD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DE2549" w:rsidRPr="00DE2549" w14:paraId="60C23DFD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3D71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Age, </w:t>
            </w:r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 xml:space="preserve">per 5 </w:t>
            </w:r>
            <w:proofErr w:type="gramStart"/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>year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033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8BC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0.7, 1.0 *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197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278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E65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B36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-0.4, -0.1 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A85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2DA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9A0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151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0.4, 1.0 **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76C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FB6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0.1, 1.0 *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226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21E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-0.01, 0.02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8BD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866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-0.03, 0.2</w:t>
            </w:r>
          </w:p>
        </w:tc>
      </w:tr>
      <w:tr w:rsidR="00DE2549" w:rsidRPr="00DE2549" w14:paraId="53DDF0B6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F691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Multiparous (primiparous = reference)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E27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5F4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0.4, 0.8 **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E5E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0CC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0.4, 0.9 *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5F8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7B3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-0.5, 0.1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561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40B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0.8, -0.03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90B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316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-0.4, 0.2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A7A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F28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0.1, 1.9*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3A1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CF9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-0.1, 0.1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4BF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463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-0.4, 0.1</w:t>
            </w:r>
          </w:p>
        </w:tc>
      </w:tr>
      <w:tr w:rsidR="00DE2549" w:rsidRPr="00DE2549" w14:paraId="1DCB70E4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5C53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Pre-pregnant Body Mass Index, </w:t>
            </w:r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nb-NO"/>
              </w:rPr>
              <w:t>per 5 kg/m</w:t>
            </w:r>
            <w:r w:rsidRPr="00DE25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865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753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0.8, 1.2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E4D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F89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066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C0A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0.03, 0.3 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CBD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E23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81B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-0,1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4D1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-0.4, 0.4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A43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3CE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285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509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-0.1, 0.1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FA9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F90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DE2549" w:rsidRPr="00DE2549" w14:paraId="6DD0D47C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8B29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Adult socioeconomic position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747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F70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0.7, 0.9 *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C70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B72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476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03A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-0.4, 0.1 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FC7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BF5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28B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4E9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0.3, 0.9 **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140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3A1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AE5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055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0.1, 0.2 **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9EB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D6B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DE2549" w:rsidRPr="00DE2549" w14:paraId="03C96FFC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7BE0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Social integration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30B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DAE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0.9, 1.2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B42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1D6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1.0, 1.5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898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DD3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-0.3, -0.01 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B8D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B20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-0.2, 0.2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A15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2DE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-0.2, 0.5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A47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A09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-0.6, 0.1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39C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B78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0.03, 0.2 **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980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3AE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-0.05, 0.1</w:t>
            </w:r>
          </w:p>
        </w:tc>
      </w:tr>
      <w:tr w:rsidR="00DE2549" w:rsidRPr="00DE2549" w14:paraId="36DA862F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D5B6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Early life socioeconomic position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85A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08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0.7, 1.0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BD6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C51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73B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750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-0.4, -0.1 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2CF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D12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701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725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0.01, 0.6 *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EFE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C7B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487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C63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0.1, 0.3 **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026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070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0.01, 0.3 *</w:t>
            </w:r>
          </w:p>
        </w:tc>
      </w:tr>
      <w:tr w:rsidR="00DE2549" w:rsidRPr="00DE2549" w14:paraId="7BC42C5F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8439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Gestational ID or anaemia (no = reference)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 xml:space="preserve"> 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860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962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0.9, 1.8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422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555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0.9, 2.4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F63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2.0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C53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1.4, 2.6 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9BC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288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1.0, 2.5 **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0AA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-2.5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7E5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-3.4, -1.5 **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8E2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-2.6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D51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-3.8, -1.3 **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CCC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0C2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-1.3, -0.6 **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9C9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5E4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-1.4, -0.7 **</w:t>
            </w:r>
          </w:p>
        </w:tc>
      </w:tr>
      <w:tr w:rsidR="00DE2549" w:rsidRPr="00DE2549" w14:paraId="7E9DF834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4381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Iron supplementation use in GW 28 (no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839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9FB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0.4, 0.9 *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D64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B27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0.4, 1.0 *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545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9B4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-0.6, -0.004 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528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C75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-1.2, -0.3 **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984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2BC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0.1, 1.4 *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4FA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5B0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0.7, 2.3 **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7B8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-0.002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DAC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-0.2, 0.2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F91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17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-0.04, 0.4</w:t>
            </w:r>
          </w:p>
        </w:tc>
      </w:tr>
      <w:tr w:rsidR="00DE2549" w:rsidRPr="00DE2549" w14:paraId="4EF5873F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EB43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Dietary pattern (healthy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334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2.2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A8C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1.5, 3.3 **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912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5.2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108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2.1, 12.7 **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4F0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866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0.3, 1.0 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D6F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AE7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0.3, 1.6 **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873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1D5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-2.2, -0.8 **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CD6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-2.7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BBB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-2.1, -0.5 **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1AE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D03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-0.4, -0.1 **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554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437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-0.4, 0.2</w:t>
            </w:r>
          </w:p>
        </w:tc>
      </w:tr>
      <w:tr w:rsidR="00DE2549" w:rsidRPr="00DE2549" w14:paraId="3533218D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5341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Chronic illness/medication associated with normochromic anaemia (no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B68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878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0.5, 4.4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E18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5E6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4A4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C25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-0.1, 1.7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513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FF1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44C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88E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-2.0, 1.9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A9C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8A7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9F9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8CD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-1.3, -0.2 **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D88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39A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-1.7, -0.4 **</w:t>
            </w:r>
          </w:p>
        </w:tc>
      </w:tr>
      <w:tr w:rsidR="00DE2549" w:rsidRPr="00DE2549" w14:paraId="0394EF0C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DC31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Chronic illness/medication associated with hypochromic anaemia (no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FF9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421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0.4, 1.3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087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4E7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22B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E84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-0.7, 0.3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791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13C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FB3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FD6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-0.7, 1.4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B6B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D4E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A6F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288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-0.3, 0.2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A8B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875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-0.3, 0.5</w:t>
            </w:r>
          </w:p>
        </w:tc>
      </w:tr>
      <w:tr w:rsidR="00DE2549" w:rsidRPr="00DE2549" w14:paraId="5ECDEAB7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5C0E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Operative </w:t>
            </w:r>
            <w:proofErr w:type="gramStart"/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delivery  (</w:t>
            </w:r>
            <w:proofErr w:type="gramEnd"/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no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 xml:space="preserve"> 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3D8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757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0.9, 1.9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92B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83C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F29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522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-0.3, 0.3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188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D637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F58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946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-1.2, 0.1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305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B22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44AC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6C8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-0.2, 0.2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3C0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A3BA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DE2549" w:rsidRPr="00DE2549" w14:paraId="36A3CBA9" w14:textId="77777777" w:rsidTr="00220F80">
        <w:trPr>
          <w:trHeight w:val="290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47A6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Postpartum haemorrhage (&lt;500 mL = reference)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649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2.9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263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1.4, 6.0 **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E36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4.0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C55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1.3, 12.8 *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C6C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F6F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-0.3, 0.9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35B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C5B5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-0.6, 1.3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74A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80C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-2.9, -0.3 *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644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-2.1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E528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-3.9, -0.2 *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1DA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504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-0.5, 0.2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E39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5D3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-0.9, -0.05</w:t>
            </w:r>
          </w:p>
        </w:tc>
      </w:tr>
      <w:tr w:rsidR="00DE2549" w:rsidRPr="00DE2549" w14:paraId="20A038B8" w14:textId="77777777" w:rsidTr="00220F80">
        <w:trPr>
          <w:trHeight w:val="300"/>
        </w:trPr>
        <w:tc>
          <w:tcPr>
            <w:tcW w:w="30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E856" w14:textId="77777777" w:rsidR="003B07EA" w:rsidRPr="00DE2549" w:rsidRDefault="003B07EA" w:rsidP="003B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 xml:space="preserve">Birth complications (no = reference) </w:t>
            </w: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nb-NO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123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4D1A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0.9, 2.2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C6E3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D907F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D216B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0.07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DD9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-0.3, 0.5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2E79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C6E3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DC7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8212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-1.6, -0.04 *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E480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D4FE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413F4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E3EE6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-0.3, 0.2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FCD6D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8C091" w14:textId="77777777" w:rsidR="003B07EA" w:rsidRPr="00DE2549" w:rsidRDefault="003B07EA" w:rsidP="003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</w:pPr>
            <w:r w:rsidRPr="00DE2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nb-NO"/>
              </w:rPr>
              <w:t> </w:t>
            </w:r>
          </w:p>
        </w:tc>
      </w:tr>
    </w:tbl>
    <w:p w14:paraId="3DACAD9B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proofErr w:type="spellStart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Adj</w:t>
      </w:r>
      <w:proofErr w:type="spellEnd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, adjusted, GW, gestational week; Hb, haemoglobin; ID, iron deficiency; SEP, socioeconomic position; SF, serum ferritin; sTfR, soluble transferrin receptor; TBI; total body iron.</w:t>
      </w:r>
    </w:p>
    <w:p w14:paraId="248CE715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1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The STORK-Groruddalen multi-ethnic pregnancy cohort from Oslo, Norway, 2008 – 2010. Multivariable regression analyses exploring the potential effect of participants’ socioeconomic position and integration. Western Europeans were excluded from this model. Non-Western women were stratified into South Asian and other ethnic minority origin. </w:t>
      </w:r>
    </w:p>
    <w:p w14:paraId="4C89C6F4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2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Variable derived from a principal components analysis of predefined individual and household markers of socioeconomic position (SEP), with a higher score reflect higher SEP.</w:t>
      </w:r>
    </w:p>
    <w:p w14:paraId="5CA24C91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3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Variable derived from a principal components analysis of predefined markers reflecting integration such as language skills, time of residence, social interaction with ethnic Norwegians and use of Norwegian media, with a higher score reflect higher social integration.</w:t>
      </w:r>
    </w:p>
    <w:p w14:paraId="59602CEB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lastRenderedPageBreak/>
        <w:t xml:space="preserve">4 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Variable derived from a principal components analysis of three childhood sociodemographic variables representing maternal SEP at age 10 years, with a higher score reflecting higher SEP.</w:t>
      </w:r>
    </w:p>
    <w:p w14:paraId="59A80FD5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5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Gestational iron deficiency by 1) SF &lt;15 µg/L; 2) sTfR &gt;4.4 mg/L, or 3) TBI &lt;0 mg/kg; and gestational anaemia by trimester-specific haemoglobin &lt; 10.5 or 11.0 g/dL, analysed in mean gestational week 15.1.</w:t>
      </w:r>
    </w:p>
    <w:p w14:paraId="1F743DC4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6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Self-reported intake of iron supplements during the past two weeks at all three study visits dichotomized into “yes”, covering daily or intermittent iron supplements, and “no”. </w:t>
      </w:r>
    </w:p>
    <w:p w14:paraId="49724472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7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Data from food frequency questionnaires collected in GW 28; four clusters were extracted using the Ward’s method. Clusters were referred to as “a healthier dietary pattern” vs. three “less healthy dietary patterns”; here dichotomized into “healthy” and “unhealthy” dietary pattern.</w:t>
      </w:r>
    </w:p>
    <w:p w14:paraId="3FB8A4C1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 xml:space="preserve">8 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Self-reported chronic illness or medication associated with normochromic anaemia (</w:t>
      </w:r>
      <w:proofErr w:type="gramStart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i.e.</w:t>
      </w:r>
      <w:proofErr w:type="gramEnd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kidney or rheumatic disease, use of carbamazepine or infliximab).</w:t>
      </w:r>
    </w:p>
    <w:p w14:paraId="299543B3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9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Self-reported chronic illness or medication associated with ID and hypochromic anaemia (</w:t>
      </w:r>
      <w:proofErr w:type="gramStart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i.e.</w:t>
      </w:r>
      <w:proofErr w:type="gramEnd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gastrointestinal disease or Copper intrauterine device use before conception).</w:t>
      </w:r>
    </w:p>
    <w:p w14:paraId="5E52FDB9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 xml:space="preserve">10 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Operative delivery:  Caesarean section (elective and emergency) or assisted vaginal delivery (forceps or vacuum). Normal vaginal delivery reference. </w:t>
      </w:r>
    </w:p>
    <w:p w14:paraId="30DC77ED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nb-NO"/>
        </w:rPr>
        <w:t>11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A composite variable created by combining following four birth </w:t>
      </w:r>
      <w:proofErr w:type="gramStart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complication;</w:t>
      </w:r>
      <w:proofErr w:type="gramEnd"/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 episiotomy, third- and fourth degree perineal tear, obstructed labor and manual removal of placenta.</w:t>
      </w:r>
    </w:p>
    <w:p w14:paraId="14F19126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* </w:t>
      </w:r>
      <w:r w:rsidRPr="00DE254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nb-NO"/>
        </w:rPr>
        <w:t>P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 xml:space="preserve">&lt;0.05, ** </w:t>
      </w:r>
      <w:r w:rsidRPr="00DE254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nb-NO"/>
        </w:rPr>
        <w:t>P</w:t>
      </w:r>
      <w:r w:rsidRPr="00DE254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nb-NO"/>
        </w:rPr>
        <w:t>&lt;0.01.</w:t>
      </w:r>
    </w:p>
    <w:p w14:paraId="125A0E50" w14:textId="77777777" w:rsidR="003B07EA" w:rsidRPr="00DE2549" w:rsidRDefault="003B07EA" w:rsidP="003B07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nb-NO"/>
        </w:rPr>
      </w:pPr>
    </w:p>
    <w:p w14:paraId="23E3CCAF" w14:textId="77777777" w:rsidR="003B07EA" w:rsidRPr="00DE2549" w:rsidRDefault="003B07EA">
      <w:pPr>
        <w:rPr>
          <w:color w:val="000000" w:themeColor="text1"/>
        </w:rPr>
      </w:pPr>
    </w:p>
    <w:p w14:paraId="75302332" w14:textId="77777777" w:rsidR="003B07EA" w:rsidRPr="00DE2549" w:rsidRDefault="003B07EA">
      <w:pPr>
        <w:rPr>
          <w:color w:val="000000" w:themeColor="text1"/>
        </w:rPr>
      </w:pPr>
    </w:p>
    <w:p w14:paraId="52C33C42" w14:textId="77777777" w:rsidR="003B07EA" w:rsidRPr="00DE2549" w:rsidRDefault="003B07EA">
      <w:pPr>
        <w:rPr>
          <w:color w:val="000000" w:themeColor="text1"/>
        </w:rPr>
      </w:pPr>
    </w:p>
    <w:p w14:paraId="26EB9D00" w14:textId="77777777" w:rsidR="003B07EA" w:rsidRPr="00DE2549" w:rsidRDefault="003B07EA">
      <w:pPr>
        <w:rPr>
          <w:color w:val="000000" w:themeColor="text1"/>
        </w:rPr>
      </w:pPr>
    </w:p>
    <w:p w14:paraId="37F2C77E" w14:textId="77777777" w:rsidR="003B07EA" w:rsidRPr="00DE2549" w:rsidRDefault="003B07EA">
      <w:pPr>
        <w:rPr>
          <w:color w:val="000000" w:themeColor="text1"/>
        </w:rPr>
      </w:pPr>
    </w:p>
    <w:p w14:paraId="77DBF2FA" w14:textId="77777777" w:rsidR="003B07EA" w:rsidRPr="00DE2549" w:rsidRDefault="003B07EA">
      <w:pPr>
        <w:rPr>
          <w:color w:val="000000" w:themeColor="text1"/>
        </w:rPr>
      </w:pPr>
    </w:p>
    <w:p w14:paraId="4C056897" w14:textId="77777777" w:rsidR="003B07EA" w:rsidRPr="00DE2549" w:rsidRDefault="003B07EA">
      <w:pPr>
        <w:rPr>
          <w:color w:val="000000" w:themeColor="text1"/>
        </w:rPr>
      </w:pPr>
    </w:p>
    <w:p w14:paraId="068A47CB" w14:textId="77777777" w:rsidR="003B07EA" w:rsidRPr="00DE2549" w:rsidRDefault="003B07EA">
      <w:pPr>
        <w:rPr>
          <w:color w:val="000000" w:themeColor="text1"/>
        </w:rPr>
      </w:pPr>
    </w:p>
    <w:p w14:paraId="01F0EF8C" w14:textId="77777777" w:rsidR="003B07EA" w:rsidRPr="00DE2549" w:rsidRDefault="003B07EA">
      <w:pPr>
        <w:rPr>
          <w:color w:val="000000" w:themeColor="text1"/>
        </w:rPr>
      </w:pPr>
    </w:p>
    <w:p w14:paraId="13227533" w14:textId="77777777" w:rsidR="003B07EA" w:rsidRPr="00DE2549" w:rsidRDefault="003B07EA">
      <w:pPr>
        <w:rPr>
          <w:color w:val="000000" w:themeColor="text1"/>
        </w:rPr>
      </w:pPr>
    </w:p>
    <w:p w14:paraId="2BF6E6DE" w14:textId="77777777" w:rsidR="003B07EA" w:rsidRPr="00DE2549" w:rsidRDefault="003B07EA">
      <w:pPr>
        <w:rPr>
          <w:color w:val="000000" w:themeColor="text1"/>
        </w:rPr>
      </w:pPr>
    </w:p>
    <w:p w14:paraId="3A03AC1D" w14:textId="77777777" w:rsidR="003B07EA" w:rsidRPr="00DE2549" w:rsidRDefault="003B07EA">
      <w:pPr>
        <w:rPr>
          <w:color w:val="000000" w:themeColor="text1"/>
        </w:rPr>
      </w:pPr>
    </w:p>
    <w:p w14:paraId="39EEA9BB" w14:textId="77777777" w:rsidR="003B07EA" w:rsidRPr="00DE2549" w:rsidRDefault="003B07EA">
      <w:pPr>
        <w:rPr>
          <w:color w:val="000000" w:themeColor="text1"/>
        </w:rPr>
      </w:pPr>
    </w:p>
    <w:p w14:paraId="13F23291" w14:textId="77777777" w:rsidR="0036572F" w:rsidRPr="00DE2549" w:rsidRDefault="0036572F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AB107" w14:textId="77777777" w:rsidR="003B07EA" w:rsidRPr="00DE2549" w:rsidRDefault="003B07EA">
      <w:pPr>
        <w:rPr>
          <w:rFonts w:ascii="Times New Roman" w:hAnsi="Times New Roman" w:cs="Times New Roman"/>
          <w:color w:val="000000" w:themeColor="text1"/>
          <w:sz w:val="20"/>
        </w:rPr>
      </w:pPr>
      <w:r w:rsidRPr="00DE2549">
        <w:rPr>
          <w:rFonts w:ascii="Times New Roman" w:hAnsi="Times New Roman" w:cs="Times New Roman"/>
          <w:color w:val="000000" w:themeColor="text1"/>
          <w:sz w:val="20"/>
        </w:rPr>
        <w:lastRenderedPageBreak/>
        <w:t>Supplemental Figure 1</w:t>
      </w:r>
    </w:p>
    <w:p w14:paraId="5CB636E7" w14:textId="77777777" w:rsidR="003B07EA" w:rsidRPr="00DE2549" w:rsidRDefault="003B07EA">
      <w:pPr>
        <w:rPr>
          <w:rFonts w:ascii="Times New Roman" w:hAnsi="Times New Roman" w:cs="Times New Roman"/>
          <w:color w:val="000000" w:themeColor="text1"/>
          <w:sz w:val="20"/>
        </w:rPr>
      </w:pPr>
      <w:r w:rsidRPr="00DE2549">
        <w:rPr>
          <w:rFonts w:ascii="Times New Roman" w:hAnsi="Times New Roman" w:cs="Times New Roman"/>
          <w:color w:val="000000" w:themeColor="text1"/>
          <w:sz w:val="20"/>
        </w:rPr>
        <w:t>Title: Flow chart of study participants in the STORK-Groruddalen multi-ethnic pregnancy cohort from Oslo, Norway, 2008 – 2010</w:t>
      </w:r>
      <w:r w:rsidR="005F3587" w:rsidRPr="00DE2549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55652232" w14:textId="77777777" w:rsidR="005F3587" w:rsidRPr="00DE2549" w:rsidRDefault="005F358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23DDAFAF" w14:textId="77777777" w:rsidR="005F3587" w:rsidRPr="00DE2549" w:rsidRDefault="005F3587">
      <w:pPr>
        <w:rPr>
          <w:rFonts w:ascii="Times New Roman" w:hAnsi="Times New Roman" w:cs="Times New Roman"/>
          <w:color w:val="000000" w:themeColor="text1"/>
          <w:sz w:val="12"/>
          <w:szCs w:val="16"/>
        </w:rPr>
      </w:pPr>
    </w:p>
    <w:p w14:paraId="0AA9860C" w14:textId="77777777" w:rsidR="005F3587" w:rsidRPr="00DE2549" w:rsidRDefault="005F3587" w:rsidP="000654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  <w:t>Hb, haemoglobin; SF, serum ferritin; sTfR, soluble transferrin receptor; TBI; total body.</w:t>
      </w:r>
    </w:p>
    <w:p w14:paraId="24883A0D" w14:textId="77777777" w:rsidR="00FD7B1B" w:rsidRPr="00DE2549" w:rsidRDefault="005F3587" w:rsidP="00FD7B1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vertAlign w:val="superscript"/>
          <w:lang w:eastAsia="nb-NO"/>
        </w:rPr>
        <w:t>1</w:t>
      </w:r>
      <w:r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nb-NO"/>
        </w:rPr>
        <w:t xml:space="preserve"> </w:t>
      </w:r>
      <w:r w:rsidR="00F72BC1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Information, material and questionnaires were translated into Arabic, English, Sorani, Somali, Tamil, Turkish, Urdu and Vietnamese and quality checked by bilingual health professionals.</w:t>
      </w:r>
    </w:p>
    <w:p w14:paraId="1927C756" w14:textId="77777777" w:rsidR="00FD7B1B" w:rsidRPr="00DE2549" w:rsidRDefault="00F80E48" w:rsidP="00FD7B1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DE2549">
        <w:rPr>
          <w:rFonts w:ascii="Times New Roman" w:hAnsi="Times New Roman" w:cs="Times New Roman"/>
          <w:color w:val="000000" w:themeColor="text1"/>
          <w:sz w:val="20"/>
          <w:szCs w:val="16"/>
          <w:vertAlign w:val="superscript"/>
        </w:rPr>
        <w:t>2</w:t>
      </w:r>
      <w:r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</w:t>
      </w:r>
      <w:r w:rsidR="00E906C8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Abortion</w:t>
      </w:r>
      <w:r w:rsidR="00F72BC1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, </w:t>
      </w:r>
      <w:r w:rsidR="00E906C8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stillbirth</w:t>
      </w:r>
      <w:r w:rsidR="00F72BC1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, </w:t>
      </w:r>
      <w:r w:rsidR="00E906C8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preterm birth</w:t>
      </w:r>
      <w:r w:rsidR="00F72BC1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, </w:t>
      </w:r>
      <w:r w:rsidR="00E906C8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twin birth</w:t>
      </w:r>
      <w:r w:rsidR="00F72BC1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, </w:t>
      </w:r>
      <w:r w:rsidR="00E906C8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sick</w:t>
      </w:r>
      <w:r w:rsidR="00F72BC1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at the postpartum visit</w:t>
      </w:r>
      <w:r w:rsidR="00E906C8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(n=30)</w:t>
      </w:r>
      <w:r w:rsidR="00F72BC1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.</w:t>
      </w:r>
      <w:r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</w:t>
      </w:r>
      <w:r w:rsidR="00F72BC1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Did n</w:t>
      </w:r>
      <w:r w:rsidR="00E906C8" w:rsidRPr="00DE2549">
        <w:rPr>
          <w:rFonts w:ascii="Times New Roman" w:hAnsi="Times New Roman" w:cs="Times New Roman"/>
          <w:color w:val="000000" w:themeColor="text1"/>
          <w:sz w:val="20"/>
          <w:szCs w:val="16"/>
          <w:shd w:val="clear" w:color="auto" w:fill="FFFFFF"/>
        </w:rPr>
        <w:t>ot attend</w:t>
      </w:r>
      <w:r w:rsidRPr="00DE2549">
        <w:rPr>
          <w:rFonts w:ascii="Times New Roman" w:hAnsi="Times New Roman" w:cs="Times New Roman"/>
          <w:color w:val="000000" w:themeColor="text1"/>
          <w:sz w:val="20"/>
          <w:szCs w:val="16"/>
          <w:shd w:val="clear" w:color="auto" w:fill="FFFFFF"/>
        </w:rPr>
        <w:t xml:space="preserve"> due to logistic/unknown reasons </w:t>
      </w:r>
      <w:r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(n=118)</w:t>
      </w:r>
      <w:r w:rsidR="00F72BC1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.</w:t>
      </w:r>
      <w:r w:rsidR="00FD7B1B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</w:t>
      </w:r>
    </w:p>
    <w:p w14:paraId="2616F414" w14:textId="77777777" w:rsidR="00FD7B1B" w:rsidRPr="00DE2549" w:rsidRDefault="00F80E48" w:rsidP="00FD7B1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DE2549">
        <w:rPr>
          <w:rFonts w:ascii="Times New Roman" w:hAnsi="Times New Roman" w:cs="Times New Roman"/>
          <w:color w:val="000000" w:themeColor="text1"/>
          <w:sz w:val="20"/>
          <w:szCs w:val="16"/>
          <w:vertAlign w:val="superscript"/>
        </w:rPr>
        <w:t>3</w:t>
      </w:r>
      <w:r w:rsidR="00F72BC1" w:rsidRPr="00DE2549">
        <w:rPr>
          <w:rFonts w:ascii="Times New Roman" w:eastAsia="Times New Roman" w:hAnsi="Times New Roman" w:cs="Times New Roman"/>
          <w:color w:val="000000" w:themeColor="text1"/>
          <w:sz w:val="20"/>
          <w:szCs w:val="16"/>
          <w:vertAlign w:val="superscript"/>
          <w:lang w:eastAsia="nb-NO"/>
        </w:rPr>
        <w:t xml:space="preserve"> </w:t>
      </w:r>
      <w:r w:rsidR="0006549A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At the postpartum visit, due to resource limitations (including </w:t>
      </w:r>
      <w:r w:rsidR="00FD7B1B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>sick leave</w:t>
      </w:r>
      <w:r w:rsidR="0006549A"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among study staff at one study site), women with ethnic minority background were prioritized for fasting blood samples. We lack data on SF concentration for seventy-one women, primarily ethnic Norwegians.</w:t>
      </w:r>
    </w:p>
    <w:p w14:paraId="599E61D4" w14:textId="77777777" w:rsidR="00FD7B1B" w:rsidRPr="00DE2549" w:rsidRDefault="00FD7B1B" w:rsidP="00FD7B1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DE2549">
        <w:rPr>
          <w:rFonts w:ascii="Times New Roman" w:hAnsi="Times New Roman" w:cs="Times New Roman"/>
          <w:color w:val="000000" w:themeColor="text1"/>
          <w:sz w:val="20"/>
          <w:szCs w:val="16"/>
          <w:vertAlign w:val="superscript"/>
        </w:rPr>
        <w:t>4</w:t>
      </w:r>
      <w:r w:rsidRPr="00DE2549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Missing value of Hb (n=4), sTfR (n=5) and TBI (n=5).</w:t>
      </w:r>
    </w:p>
    <w:sectPr w:rsidR="00FD7B1B" w:rsidRPr="00DE2549" w:rsidSect="003B07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910"/>
    <w:multiLevelType w:val="hybridMultilevel"/>
    <w:tmpl w:val="AA08A8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EA"/>
    <w:rsid w:val="0006549A"/>
    <w:rsid w:val="00220F80"/>
    <w:rsid w:val="002C6890"/>
    <w:rsid w:val="0036572F"/>
    <w:rsid w:val="003B07EA"/>
    <w:rsid w:val="004A71A1"/>
    <w:rsid w:val="005F3587"/>
    <w:rsid w:val="006115C2"/>
    <w:rsid w:val="009D01B3"/>
    <w:rsid w:val="00DE2549"/>
    <w:rsid w:val="00E906C8"/>
    <w:rsid w:val="00F72BC1"/>
    <w:rsid w:val="00F80E48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25DF"/>
  <w15:chartTrackingRefBased/>
  <w15:docId w15:val="{434D1DBC-ED5D-4990-A749-F746EC1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EA"/>
    <w:pPr>
      <w:spacing w:after="200" w:line="276" w:lineRule="auto"/>
    </w:pPr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Marthe-Lise Næss-Andresen</dc:creator>
  <cp:keywords/>
  <dc:description/>
  <cp:lastModifiedBy>Matthew Woodcock</cp:lastModifiedBy>
  <cp:revision>2</cp:revision>
  <dcterms:created xsi:type="dcterms:W3CDTF">2022-05-19T13:26:00Z</dcterms:created>
  <dcterms:modified xsi:type="dcterms:W3CDTF">2022-05-19T13:26:00Z</dcterms:modified>
</cp:coreProperties>
</file>