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E" w:rsidRDefault="00807EFE" w:rsidP="00807EFE">
      <w:pPr>
        <w:spacing w:line="276" w:lineRule="auto"/>
        <w:jc w:val="center"/>
        <w:rPr>
          <w:b/>
          <w:szCs w:val="24"/>
        </w:rPr>
      </w:pPr>
      <w:r>
        <w:rPr>
          <w:b/>
          <w:szCs w:val="24"/>
        </w:rPr>
        <w:t>Appendix</w:t>
      </w:r>
    </w:p>
    <w:p w:rsidR="00807EFE" w:rsidRDefault="00807EFE" w:rsidP="00807EFE">
      <w:pPr>
        <w:spacing w:line="276" w:lineRule="auto"/>
        <w:jc w:val="center"/>
        <w:rPr>
          <w:szCs w:val="24"/>
        </w:rPr>
      </w:pPr>
      <w:r>
        <w:rPr>
          <w:szCs w:val="24"/>
        </w:rPr>
        <w:t>Aggregate Effects of Large-Scale Campaigns on Voter Turnout</w:t>
      </w:r>
    </w:p>
    <w:p w:rsidR="00807EFE" w:rsidRDefault="00807EFE" w:rsidP="00807EFE">
      <w:pPr>
        <w:spacing w:line="276" w:lineRule="auto"/>
        <w:jc w:val="center"/>
        <w:rPr>
          <w:szCs w:val="24"/>
        </w:rPr>
      </w:pPr>
      <w:r>
        <w:rPr>
          <w:szCs w:val="24"/>
        </w:rPr>
        <w:t xml:space="preserve">Ryan D. </w:t>
      </w:r>
      <w:proofErr w:type="spellStart"/>
      <w:r>
        <w:rPr>
          <w:szCs w:val="24"/>
        </w:rPr>
        <w:t>Enos</w:t>
      </w:r>
      <w:proofErr w:type="spellEnd"/>
      <w:r>
        <w:rPr>
          <w:szCs w:val="24"/>
        </w:rPr>
        <w:t xml:space="preserve"> and Anthony Fowler</w:t>
      </w:r>
    </w:p>
    <w:p w:rsidR="00807EFE" w:rsidRDefault="00807EFE" w:rsidP="00807EFE">
      <w:pPr>
        <w:spacing w:line="276" w:lineRule="auto"/>
        <w:rPr>
          <w:szCs w:val="24"/>
        </w:rPr>
      </w:pPr>
    </w:p>
    <w:p w:rsidR="00807EFE" w:rsidRDefault="00807EFE" w:rsidP="00807EFE">
      <w:pPr>
        <w:spacing w:line="276" w:lineRule="auto"/>
        <w:rPr>
          <w:b/>
          <w:szCs w:val="24"/>
        </w:rPr>
      </w:pPr>
    </w:p>
    <w:p w:rsidR="00807EFE" w:rsidRDefault="00807EFE" w:rsidP="00807EFE">
      <w:pPr>
        <w:spacing w:line="276" w:lineRule="auto"/>
        <w:jc w:val="center"/>
        <w:rPr>
          <w:b/>
          <w:szCs w:val="24"/>
        </w:rPr>
      </w:pPr>
      <w:r>
        <w:rPr>
          <w:b/>
          <w:szCs w:val="24"/>
        </w:rPr>
        <w:t>Table A1. Data on Romney Contacts by State</w:t>
      </w:r>
    </w:p>
    <w:tbl>
      <w:tblPr>
        <w:tblW w:w="0" w:type="auto"/>
        <w:tblInd w:w="93" w:type="dxa"/>
        <w:tblLook w:val="04A0" w:firstRow="1" w:lastRow="0" w:firstColumn="1" w:lastColumn="0" w:noHBand="0" w:noVBand="1"/>
      </w:tblPr>
      <w:tblGrid>
        <w:gridCol w:w="1754"/>
        <w:gridCol w:w="1221"/>
        <w:gridCol w:w="1109"/>
        <w:gridCol w:w="1109"/>
        <w:gridCol w:w="2131"/>
        <w:gridCol w:w="1731"/>
      </w:tblGrid>
      <w:tr w:rsidR="00807EFE" w:rsidRPr="00501D2A" w:rsidTr="00426156">
        <w:trPr>
          <w:trHeight w:val="315"/>
        </w:trPr>
        <w:tc>
          <w:tcPr>
            <w:tcW w:w="0" w:type="auto"/>
            <w:tcBorders>
              <w:top w:val="single" w:sz="12" w:space="0" w:color="auto"/>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p>
        </w:tc>
        <w:tc>
          <w:tcPr>
            <w:tcW w:w="0" w:type="auto"/>
            <w:gridSpan w:val="3"/>
            <w:tcBorders>
              <w:top w:val="single" w:sz="12" w:space="0" w:color="auto"/>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Attempted Contacts by</w:t>
            </w:r>
          </w:p>
        </w:tc>
        <w:tc>
          <w:tcPr>
            <w:tcW w:w="0" w:type="auto"/>
            <w:tcBorders>
              <w:top w:val="single" w:sz="12" w:space="0" w:color="auto"/>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r>
      <w:tr w:rsidR="00807EFE" w:rsidRPr="00501D2A" w:rsidTr="00426156">
        <w:trPr>
          <w:trHeight w:val="315"/>
        </w:trPr>
        <w:tc>
          <w:tcPr>
            <w:tcW w:w="0" w:type="auto"/>
            <w:tcBorders>
              <w:top w:val="nil"/>
              <w:left w:val="nil"/>
              <w:bottom w:val="single" w:sz="12" w:space="0" w:color="auto"/>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State</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Phone</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Mail</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Door</w:t>
            </w:r>
          </w:p>
        </w:tc>
        <w:tc>
          <w:tcPr>
            <w:tcW w:w="0" w:type="auto"/>
            <w:tcBorders>
              <w:top w:val="nil"/>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Pr>
                <w:rFonts w:eastAsia="Times New Roman" w:cs="Times New Roman"/>
                <w:color w:val="000000"/>
                <w:szCs w:val="24"/>
              </w:rPr>
              <w:t>Voting-Eligible Pop.</w:t>
            </w:r>
          </w:p>
        </w:tc>
        <w:tc>
          <w:tcPr>
            <w:tcW w:w="0" w:type="auto"/>
            <w:tcBorders>
              <w:top w:val="nil"/>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Pr>
                <w:rFonts w:eastAsia="Times New Roman" w:cs="Times New Roman"/>
                <w:color w:val="000000"/>
                <w:szCs w:val="24"/>
              </w:rPr>
              <w:t>Cost P</w:t>
            </w:r>
            <w:r w:rsidRPr="00501D2A">
              <w:rPr>
                <w:rFonts w:eastAsia="Times New Roman" w:cs="Times New Roman"/>
                <w:color w:val="000000"/>
                <w:szCs w:val="24"/>
              </w:rPr>
              <w:t>er Person</w:t>
            </w:r>
          </w:p>
        </w:tc>
      </w:tr>
      <w:tr w:rsidR="00807EFE" w:rsidRPr="00501D2A" w:rsidTr="00426156">
        <w:trPr>
          <w:trHeight w:val="315"/>
        </w:trPr>
        <w:tc>
          <w:tcPr>
            <w:tcW w:w="0" w:type="auto"/>
            <w:tcBorders>
              <w:top w:val="single" w:sz="12" w:space="0" w:color="auto"/>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Nevada</w:t>
            </w:r>
          </w:p>
        </w:tc>
        <w:tc>
          <w:tcPr>
            <w:tcW w:w="0" w:type="auto"/>
            <w:tcBorders>
              <w:top w:val="single" w:sz="12" w:space="0" w:color="auto"/>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8,816,024</w:t>
            </w:r>
          </w:p>
        </w:tc>
        <w:tc>
          <w:tcPr>
            <w:tcW w:w="0" w:type="auto"/>
            <w:tcBorders>
              <w:top w:val="single" w:sz="12" w:space="0" w:color="auto"/>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1,247,837</w:t>
            </w:r>
          </w:p>
        </w:tc>
        <w:tc>
          <w:tcPr>
            <w:tcW w:w="0" w:type="auto"/>
            <w:tcBorders>
              <w:top w:val="single" w:sz="12" w:space="0" w:color="auto"/>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818,031</w:t>
            </w:r>
          </w:p>
        </w:tc>
        <w:tc>
          <w:tcPr>
            <w:tcW w:w="0" w:type="auto"/>
            <w:tcBorders>
              <w:top w:val="single" w:sz="12" w:space="0" w:color="auto"/>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1,776,403</w:t>
            </w:r>
          </w:p>
        </w:tc>
        <w:tc>
          <w:tcPr>
            <w:tcW w:w="0" w:type="auto"/>
            <w:tcBorders>
              <w:top w:val="single" w:sz="12" w:space="0" w:color="auto"/>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$3.40</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New Hampshire</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4,322,647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632,810</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329,843</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1,013,741</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$2.72</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Virginia</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24,082,528</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3,376,377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1,851,916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5,808,768</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$2.64</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Iowa</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11,196,485</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1,110,231</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513,207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2,263,375</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$2.53</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Ohio</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35,809,370</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3,390,991</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2,849,782</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8,644,958</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$2.53</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Colorado</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15,471,683</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1,573,946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938,777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3,654,045</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$2.36</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Wisconsin</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14,367,117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1,023,387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878,122</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4,233,992</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$1.82</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Florida</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35,738,414</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4,056,126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2,314,147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13,348,802</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$1.55</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North Carolina</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12,547,020</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1,304,697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1,153,806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6,970,868</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$1.18</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Pennsylvania</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16,433,988</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277,997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1,474,486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9,674,379</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$0.99</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Michigan</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7,681,325</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357,254</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1,039,975</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7,317,247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$0.78</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New Mexico</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1,015,489</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19,955</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1,432,375</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$0.25</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Utah</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1,447,579</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1,835,666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$0.24</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Missouri</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1,437,169</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131,016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4,410,813</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$0.19</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Maine</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400,402</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14,172</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1,047,901</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$0.16</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Minnesota</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669,269</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3,876,752</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$0.05</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Nebraska</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137,090</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8,535</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1,321,948</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$0.05</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Arizona</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368,962</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4,360,076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$0.03</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Massachusetts</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401,338</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4,781,421</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$0.03</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Vermont</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5,981</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495,866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$0.00</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Texas</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180,098</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16,100,196</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$0.00</w:t>
            </w:r>
          </w:p>
        </w:tc>
      </w:tr>
      <w:tr w:rsidR="00807EFE" w:rsidRPr="00501D2A" w:rsidTr="00426156">
        <w:trPr>
          <w:trHeight w:val="315"/>
        </w:trPr>
        <w:tc>
          <w:tcPr>
            <w:tcW w:w="0" w:type="auto"/>
            <w:tcBorders>
              <w:top w:val="nil"/>
              <w:left w:val="nil"/>
              <w:bottom w:val="nil"/>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Indiana</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22,047</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4,759,100</w:t>
            </w:r>
          </w:p>
        </w:tc>
        <w:tc>
          <w:tcPr>
            <w:tcW w:w="0" w:type="auto"/>
            <w:tcBorders>
              <w:top w:val="nil"/>
              <w:left w:val="nil"/>
              <w:bottom w:val="nil"/>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$0.00</w:t>
            </w:r>
          </w:p>
        </w:tc>
      </w:tr>
      <w:tr w:rsidR="00807EFE" w:rsidRPr="00501D2A" w:rsidTr="00426156">
        <w:trPr>
          <w:trHeight w:val="315"/>
        </w:trPr>
        <w:tc>
          <w:tcPr>
            <w:tcW w:w="0" w:type="auto"/>
            <w:tcBorders>
              <w:top w:val="nil"/>
              <w:left w:val="nil"/>
              <w:bottom w:val="single" w:sz="12" w:space="0" w:color="auto"/>
              <w:right w:val="nil"/>
            </w:tcBorders>
            <w:shd w:val="clear" w:color="auto" w:fill="auto"/>
            <w:noWrap/>
            <w:vAlign w:val="bottom"/>
            <w:hideMark/>
          </w:tcPr>
          <w:p w:rsidR="00807EFE" w:rsidRPr="00501D2A" w:rsidRDefault="00807EFE" w:rsidP="00426156">
            <w:pPr>
              <w:rPr>
                <w:rFonts w:eastAsia="Times New Roman" w:cs="Times New Roman"/>
                <w:color w:val="000000"/>
                <w:szCs w:val="24"/>
              </w:rPr>
            </w:pPr>
            <w:r w:rsidRPr="00501D2A">
              <w:rPr>
                <w:rFonts w:eastAsia="Times New Roman" w:cs="Times New Roman"/>
                <w:color w:val="000000"/>
                <w:szCs w:val="24"/>
              </w:rPr>
              <w:t>California</w:t>
            </w:r>
          </w:p>
        </w:tc>
        <w:tc>
          <w:tcPr>
            <w:tcW w:w="0" w:type="auto"/>
            <w:tcBorders>
              <w:top w:val="nil"/>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101,080</w:t>
            </w:r>
          </w:p>
        </w:tc>
        <w:tc>
          <w:tcPr>
            <w:tcW w:w="0" w:type="auto"/>
            <w:tcBorders>
              <w:top w:val="nil"/>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p>
        </w:tc>
        <w:tc>
          <w:tcPr>
            <w:tcW w:w="0" w:type="auto"/>
            <w:tcBorders>
              <w:top w:val="nil"/>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23,620,070</w:t>
            </w:r>
          </w:p>
        </w:tc>
        <w:tc>
          <w:tcPr>
            <w:tcW w:w="0" w:type="auto"/>
            <w:tcBorders>
              <w:top w:val="nil"/>
              <w:left w:val="nil"/>
              <w:bottom w:val="single" w:sz="12" w:space="0" w:color="auto"/>
              <w:right w:val="nil"/>
            </w:tcBorders>
            <w:shd w:val="clear" w:color="auto" w:fill="auto"/>
            <w:noWrap/>
            <w:vAlign w:val="bottom"/>
            <w:hideMark/>
          </w:tcPr>
          <w:p w:rsidR="00807EFE" w:rsidRPr="00501D2A" w:rsidRDefault="00807EFE" w:rsidP="00426156">
            <w:pPr>
              <w:jc w:val="center"/>
              <w:rPr>
                <w:rFonts w:eastAsia="Times New Roman" w:cs="Times New Roman"/>
                <w:color w:val="000000"/>
                <w:szCs w:val="24"/>
              </w:rPr>
            </w:pPr>
            <w:r w:rsidRPr="00501D2A">
              <w:rPr>
                <w:rFonts w:eastAsia="Times New Roman" w:cs="Times New Roman"/>
                <w:color w:val="000000"/>
                <w:szCs w:val="24"/>
              </w:rPr>
              <w:t>$0.00</w:t>
            </w:r>
          </w:p>
        </w:tc>
      </w:tr>
    </w:tbl>
    <w:p w:rsidR="00807EFE" w:rsidRDefault="00807EFE" w:rsidP="00807EFE">
      <w:pPr>
        <w:spacing w:line="276" w:lineRule="auto"/>
        <w:jc w:val="center"/>
        <w:rPr>
          <w:b/>
          <w:szCs w:val="24"/>
        </w:rPr>
      </w:pPr>
    </w:p>
    <w:p w:rsidR="00807EFE" w:rsidRDefault="00807EFE" w:rsidP="00807EFE">
      <w:pPr>
        <w:spacing w:line="276" w:lineRule="auto"/>
        <w:rPr>
          <w:b/>
          <w:szCs w:val="24"/>
        </w:rPr>
      </w:pPr>
      <w:r>
        <w:rPr>
          <w:b/>
          <w:szCs w:val="24"/>
        </w:rPr>
        <w:br w:type="page"/>
      </w:r>
    </w:p>
    <w:p w:rsidR="00807EFE" w:rsidRPr="00501D2A" w:rsidRDefault="00807EFE" w:rsidP="00807EFE">
      <w:pPr>
        <w:spacing w:line="276" w:lineRule="auto"/>
        <w:rPr>
          <w:b/>
          <w:szCs w:val="24"/>
        </w:rPr>
      </w:pPr>
      <w:r>
        <w:rPr>
          <w:b/>
        </w:rPr>
        <w:lastRenderedPageBreak/>
        <w:t xml:space="preserve">Maps of Variation in </w:t>
      </w:r>
      <w:r>
        <w:rPr>
          <w:b/>
          <w:i/>
        </w:rPr>
        <w:t>Battleground</w:t>
      </w:r>
      <w:r>
        <w:t xml:space="preserve"> </w:t>
      </w:r>
      <w:r>
        <w:rPr>
          <w:b/>
        </w:rPr>
        <w:t xml:space="preserve">and </w:t>
      </w:r>
      <w:r>
        <w:rPr>
          <w:b/>
          <w:i/>
        </w:rPr>
        <w:t>Obama Tier</w:t>
      </w:r>
      <w:r>
        <w:t xml:space="preserve"> </w:t>
      </w:r>
      <w:r>
        <w:rPr>
          <w:b/>
        </w:rPr>
        <w:t>Variables</w:t>
      </w:r>
    </w:p>
    <w:p w:rsidR="00807EFE" w:rsidRDefault="00807EFE" w:rsidP="00807EFE">
      <w:pPr>
        <w:jc w:val="center"/>
        <w:rPr>
          <w:rFonts w:cs="Tahoma"/>
          <w:b/>
          <w:noProof/>
          <w:szCs w:val="24"/>
        </w:rPr>
      </w:pPr>
    </w:p>
    <w:p w:rsidR="00807EFE" w:rsidRPr="001847E3" w:rsidRDefault="00807EFE" w:rsidP="00807EFE">
      <w:pPr>
        <w:jc w:val="center"/>
        <w:rPr>
          <w:rFonts w:cs="Tahoma"/>
          <w:b/>
          <w:noProof/>
          <w:szCs w:val="24"/>
        </w:rPr>
      </w:pPr>
      <w:r w:rsidRPr="006B4EB6">
        <w:rPr>
          <w:rFonts w:cs="Tahoma"/>
          <w:b/>
          <w:noProof/>
          <w:szCs w:val="24"/>
        </w:rPr>
        <w:t xml:space="preserve">Figure </w:t>
      </w:r>
      <w:r>
        <w:rPr>
          <w:rFonts w:cs="Tahoma"/>
          <w:b/>
          <w:noProof/>
          <w:szCs w:val="24"/>
        </w:rPr>
        <w:t>A2</w:t>
      </w:r>
      <w:r w:rsidRPr="006B4EB6">
        <w:rPr>
          <w:rFonts w:cs="Tahoma"/>
          <w:b/>
          <w:noProof/>
          <w:szCs w:val="24"/>
        </w:rPr>
        <w:t xml:space="preserve">: </w:t>
      </w:r>
      <w:r>
        <w:rPr>
          <w:rFonts w:cs="Tahoma"/>
          <w:b/>
          <w:i/>
          <w:noProof/>
          <w:szCs w:val="24"/>
        </w:rPr>
        <w:t>Battlground Status</w:t>
      </w:r>
      <w:r w:rsidRPr="006B4EB6">
        <w:rPr>
          <w:rFonts w:cs="Tahoma"/>
          <w:b/>
          <w:noProof/>
          <w:szCs w:val="24"/>
        </w:rPr>
        <w:t xml:space="preserve"> by State and Media Market</w:t>
      </w:r>
    </w:p>
    <w:p w:rsidR="00807EFE" w:rsidRDefault="00807EFE" w:rsidP="00807EFE">
      <w:pPr>
        <w:jc w:val="both"/>
        <w:rPr>
          <w:b/>
        </w:rPr>
      </w:pPr>
      <w:r>
        <w:rPr>
          <w:b/>
          <w:noProof/>
        </w:rPr>
        <w:drawing>
          <wp:inline distT="0" distB="0" distL="0" distR="0" wp14:anchorId="28D96A65" wp14:editId="37D37038">
            <wp:extent cx="5943600" cy="4011930"/>
            <wp:effectExtent l="0" t="0" r="0" b="7620"/>
            <wp:docPr id="4" name="Picture 4" descr="C:\Users\enos\Dropbox\GOTV Battleground\maps\map_bg_d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os\Dropbox\GOTV Battleground\maps\map_bg_d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11930"/>
                    </a:xfrm>
                    <a:prstGeom prst="rect">
                      <a:avLst/>
                    </a:prstGeom>
                    <a:noFill/>
                    <a:ln>
                      <a:noFill/>
                    </a:ln>
                  </pic:spPr>
                </pic:pic>
              </a:graphicData>
            </a:graphic>
          </wp:inline>
        </w:drawing>
      </w:r>
    </w:p>
    <w:p w:rsidR="00807EFE" w:rsidRPr="006B4EB6" w:rsidRDefault="00807EFE" w:rsidP="00807EFE">
      <w:pPr>
        <w:jc w:val="both"/>
        <w:rPr>
          <w:rFonts w:cs="Tahoma"/>
          <w:b/>
          <w:i/>
          <w:szCs w:val="24"/>
        </w:rPr>
      </w:pPr>
      <w:r w:rsidRPr="006B4EB6">
        <w:rPr>
          <w:rFonts w:cs="Tahoma"/>
          <w:i/>
        </w:rPr>
        <w:t xml:space="preserve">Media markets spanning states with different </w:t>
      </w:r>
      <w:r>
        <w:rPr>
          <w:rFonts w:cs="Tahoma"/>
          <w:i/>
        </w:rPr>
        <w:t>Battleground status</w:t>
      </w:r>
      <w:r w:rsidRPr="006B4EB6">
        <w:rPr>
          <w:rFonts w:cs="Tahoma"/>
          <w:i/>
        </w:rPr>
        <w:t xml:space="preserve"> are surrounded by thick black lines. </w:t>
      </w:r>
      <w:r>
        <w:rPr>
          <w:rFonts w:cs="Tahoma"/>
          <w:i/>
        </w:rPr>
        <w:t>Dark purple states are battleground states, while gray states are not</w:t>
      </w:r>
      <w:r w:rsidRPr="006B4EB6">
        <w:rPr>
          <w:rFonts w:cs="Tahoma"/>
          <w:i/>
        </w:rPr>
        <w:t xml:space="preserve">. So, for example, the Reno media market is </w:t>
      </w:r>
      <w:r>
        <w:rPr>
          <w:rFonts w:cs="Tahoma"/>
          <w:i/>
        </w:rPr>
        <w:t>dark purple in Nevada and gray in California</w:t>
      </w:r>
      <w:r w:rsidRPr="006B4EB6">
        <w:rPr>
          <w:rFonts w:cs="Tahoma"/>
          <w:i/>
        </w:rPr>
        <w:t xml:space="preserve">, representing the variation in </w:t>
      </w:r>
      <w:r>
        <w:rPr>
          <w:rFonts w:cs="Tahoma"/>
          <w:i/>
        </w:rPr>
        <w:t xml:space="preserve">Battleground </w:t>
      </w:r>
      <w:proofErr w:type="spellStart"/>
      <w:r>
        <w:rPr>
          <w:rFonts w:cs="Tahoma"/>
          <w:i/>
        </w:rPr>
        <w:t>stats</w:t>
      </w:r>
      <w:proofErr w:type="spellEnd"/>
      <w:r w:rsidRPr="006B4EB6">
        <w:rPr>
          <w:rFonts w:cs="Tahoma"/>
          <w:i/>
        </w:rPr>
        <w:t xml:space="preserve"> across those states.</w:t>
      </w:r>
      <w:r>
        <w:rPr>
          <w:rFonts w:cs="Tahoma"/>
          <w:i/>
        </w:rPr>
        <w:t xml:space="preserve"> </w:t>
      </w:r>
      <w:r w:rsidRPr="006B4EB6">
        <w:rPr>
          <w:rFonts w:cs="Tahoma"/>
          <w:i/>
        </w:rPr>
        <w:t xml:space="preserve">The media markets that do not span states with varying </w:t>
      </w:r>
      <w:r>
        <w:rPr>
          <w:rFonts w:cs="Tahoma"/>
          <w:i/>
        </w:rPr>
        <w:t>Battleground status</w:t>
      </w:r>
      <w:r w:rsidRPr="006B4EB6">
        <w:rPr>
          <w:rFonts w:cs="Tahoma"/>
          <w:i/>
        </w:rPr>
        <w:t xml:space="preserve"> (not included in our analysis) are indicated by diagonal lines. </w:t>
      </w:r>
    </w:p>
    <w:p w:rsidR="00807EFE" w:rsidRDefault="00807EFE" w:rsidP="00807EFE">
      <w:pPr>
        <w:spacing w:line="480" w:lineRule="auto"/>
        <w:jc w:val="both"/>
        <w:rPr>
          <w:b/>
        </w:rPr>
      </w:pPr>
    </w:p>
    <w:p w:rsidR="00807EFE" w:rsidRDefault="00807EFE" w:rsidP="00807EFE">
      <w:pPr>
        <w:spacing w:line="276" w:lineRule="auto"/>
        <w:rPr>
          <w:b/>
        </w:rPr>
      </w:pPr>
      <w:r>
        <w:rPr>
          <w:b/>
        </w:rPr>
        <w:br w:type="page"/>
      </w:r>
    </w:p>
    <w:p w:rsidR="00807EFE" w:rsidRDefault="00807EFE" w:rsidP="00807EFE">
      <w:pPr>
        <w:jc w:val="center"/>
        <w:rPr>
          <w:b/>
          <w:noProof/>
        </w:rPr>
      </w:pPr>
      <w:r w:rsidRPr="006B4EB6">
        <w:rPr>
          <w:rFonts w:cs="Tahoma"/>
          <w:b/>
          <w:noProof/>
          <w:szCs w:val="24"/>
        </w:rPr>
        <w:lastRenderedPageBreak/>
        <w:t xml:space="preserve">Figure </w:t>
      </w:r>
      <w:r>
        <w:rPr>
          <w:rFonts w:cs="Tahoma"/>
          <w:b/>
          <w:noProof/>
          <w:szCs w:val="24"/>
        </w:rPr>
        <w:t>A3</w:t>
      </w:r>
      <w:r w:rsidRPr="006B4EB6">
        <w:rPr>
          <w:rFonts w:cs="Tahoma"/>
          <w:b/>
          <w:noProof/>
          <w:szCs w:val="24"/>
        </w:rPr>
        <w:t xml:space="preserve">: </w:t>
      </w:r>
      <w:r>
        <w:rPr>
          <w:rFonts w:cs="Tahoma"/>
          <w:b/>
          <w:noProof/>
          <w:szCs w:val="24"/>
        </w:rPr>
        <w:t>Obama Tiers</w:t>
      </w:r>
      <w:r w:rsidRPr="006B4EB6">
        <w:rPr>
          <w:rFonts w:cs="Tahoma"/>
          <w:b/>
          <w:noProof/>
          <w:szCs w:val="24"/>
        </w:rPr>
        <w:t xml:space="preserve"> by State and Media Market</w:t>
      </w:r>
    </w:p>
    <w:p w:rsidR="00807EFE" w:rsidRDefault="00807EFE" w:rsidP="00807EFE">
      <w:pPr>
        <w:jc w:val="both"/>
        <w:rPr>
          <w:b/>
        </w:rPr>
      </w:pPr>
      <w:r>
        <w:rPr>
          <w:b/>
          <w:noProof/>
        </w:rPr>
        <w:drawing>
          <wp:inline distT="0" distB="0" distL="0" distR="0" wp14:anchorId="4584F1C8" wp14:editId="183C4C8B">
            <wp:extent cx="5943600" cy="4011930"/>
            <wp:effectExtent l="0" t="0" r="0" b="7620"/>
            <wp:docPr id="5" name="Picture 5" descr="C:\Users\enos\Dropbox\GOTV Battleground\maps\map_tiers_d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nos\Dropbox\GOTV Battleground\maps\map_tiers_d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11930"/>
                    </a:xfrm>
                    <a:prstGeom prst="rect">
                      <a:avLst/>
                    </a:prstGeom>
                    <a:noFill/>
                    <a:ln>
                      <a:noFill/>
                    </a:ln>
                  </pic:spPr>
                </pic:pic>
              </a:graphicData>
            </a:graphic>
          </wp:inline>
        </w:drawing>
      </w:r>
    </w:p>
    <w:p w:rsidR="00807EFE" w:rsidRPr="006B4EB6" w:rsidRDefault="00807EFE" w:rsidP="00807EFE">
      <w:pPr>
        <w:jc w:val="both"/>
        <w:rPr>
          <w:rFonts w:cs="Tahoma"/>
          <w:b/>
          <w:i/>
          <w:szCs w:val="24"/>
        </w:rPr>
      </w:pPr>
      <w:r w:rsidRPr="006B4EB6">
        <w:rPr>
          <w:rFonts w:cs="Tahoma"/>
          <w:i/>
        </w:rPr>
        <w:t xml:space="preserve">Media markets spanning states with different </w:t>
      </w:r>
      <w:r>
        <w:rPr>
          <w:rFonts w:cs="Tahoma"/>
          <w:i/>
        </w:rPr>
        <w:t>Obama Tiers</w:t>
      </w:r>
      <w:r w:rsidRPr="006B4EB6">
        <w:rPr>
          <w:rFonts w:cs="Tahoma"/>
          <w:i/>
        </w:rPr>
        <w:t xml:space="preserve"> are surrounded by thick black lines.</w:t>
      </w:r>
      <w:r>
        <w:rPr>
          <w:rFonts w:cs="Tahoma"/>
          <w:i/>
        </w:rPr>
        <w:t xml:space="preserve"> The priority of the states in tiers are indicated by shades of purple, with the highest tier states being the darkest, while gray states are states that had no status in the Obama tiers</w:t>
      </w:r>
      <w:r w:rsidRPr="006B4EB6">
        <w:rPr>
          <w:rFonts w:cs="Tahoma"/>
          <w:i/>
        </w:rPr>
        <w:t xml:space="preserve">. So, for example, the Reno media market is </w:t>
      </w:r>
      <w:r>
        <w:rPr>
          <w:rFonts w:cs="Tahoma"/>
          <w:i/>
        </w:rPr>
        <w:t>dark purple in Nevada and gray in California</w:t>
      </w:r>
      <w:r w:rsidRPr="006B4EB6">
        <w:rPr>
          <w:rFonts w:cs="Tahoma"/>
          <w:i/>
        </w:rPr>
        <w:t>, representing t</w:t>
      </w:r>
      <w:r>
        <w:rPr>
          <w:rFonts w:cs="Tahoma"/>
          <w:i/>
        </w:rPr>
        <w:t>hat Nevada was in Tier 1, while California was in no tier</w:t>
      </w:r>
      <w:r w:rsidRPr="006B4EB6">
        <w:rPr>
          <w:rFonts w:cs="Tahoma"/>
          <w:i/>
        </w:rPr>
        <w:t>.</w:t>
      </w:r>
      <w:r>
        <w:rPr>
          <w:rFonts w:cs="Tahoma"/>
          <w:i/>
        </w:rPr>
        <w:t xml:space="preserve"> </w:t>
      </w:r>
      <w:r w:rsidRPr="006B4EB6">
        <w:rPr>
          <w:rFonts w:cs="Tahoma"/>
          <w:i/>
        </w:rPr>
        <w:t xml:space="preserve">The media markets that do not span states with varying </w:t>
      </w:r>
      <w:r>
        <w:rPr>
          <w:rFonts w:cs="Tahoma"/>
          <w:i/>
        </w:rPr>
        <w:t xml:space="preserve">Obama Tiers </w:t>
      </w:r>
      <w:r w:rsidRPr="006B4EB6">
        <w:rPr>
          <w:rFonts w:cs="Tahoma"/>
          <w:i/>
        </w:rPr>
        <w:t xml:space="preserve">(not included in our analysis) are indicated by diagonal lines. </w:t>
      </w:r>
    </w:p>
    <w:p w:rsidR="00807EFE" w:rsidRDefault="00807EFE" w:rsidP="00807EFE">
      <w:pPr>
        <w:spacing w:line="480" w:lineRule="auto"/>
        <w:jc w:val="both"/>
        <w:rPr>
          <w:b/>
        </w:rPr>
      </w:pPr>
    </w:p>
    <w:p w:rsidR="00807EFE" w:rsidRDefault="00807EFE" w:rsidP="00807EFE">
      <w:pPr>
        <w:spacing w:line="480" w:lineRule="auto"/>
        <w:jc w:val="both"/>
        <w:rPr>
          <w:b/>
        </w:rPr>
      </w:pPr>
    </w:p>
    <w:p w:rsidR="00807EFE" w:rsidRPr="00D128EB" w:rsidRDefault="00807EFE" w:rsidP="00807EFE">
      <w:pPr>
        <w:spacing w:line="480" w:lineRule="auto"/>
        <w:jc w:val="both"/>
        <w:rPr>
          <w:b/>
        </w:rPr>
      </w:pPr>
    </w:p>
    <w:p w:rsidR="00807EFE" w:rsidRDefault="00807EFE" w:rsidP="00807EFE">
      <w:pPr>
        <w:spacing w:line="276" w:lineRule="auto"/>
        <w:rPr>
          <w:b/>
        </w:rPr>
      </w:pPr>
      <w:r>
        <w:rPr>
          <w:b/>
        </w:rPr>
        <w:br w:type="page"/>
      </w:r>
    </w:p>
    <w:p w:rsidR="00807EFE" w:rsidRPr="000A0D85" w:rsidRDefault="00807EFE" w:rsidP="00807EFE">
      <w:pPr>
        <w:spacing w:line="480" w:lineRule="auto"/>
        <w:jc w:val="both"/>
        <w:rPr>
          <w:b/>
        </w:rPr>
      </w:pPr>
      <w:r>
        <w:rPr>
          <w:b/>
        </w:rPr>
        <w:lastRenderedPageBreak/>
        <w:t xml:space="preserve">Placebo Tests </w:t>
      </w:r>
    </w:p>
    <w:p w:rsidR="00807EFE" w:rsidRDefault="00807EFE" w:rsidP="00807EFE">
      <w:pPr>
        <w:spacing w:line="480" w:lineRule="auto"/>
        <w:jc w:val="both"/>
      </w:pPr>
      <w:r>
        <w:tab/>
        <w:t xml:space="preserve">Table A2 shows the results of our placebo tests using voter turnout in 2010. Columns 1-3 show results for Equation 1 where we compare battleground and non-battleground states. Columns 4-6 show the results for Equation 2 comparing the 4 different tiers of states. Columns 7-9 show results for Equation 3 examining turnout across </w:t>
      </w:r>
      <w:proofErr w:type="spellStart"/>
      <w:r>
        <w:rPr>
          <w:i/>
        </w:rPr>
        <w:t>RomneyEffort</w:t>
      </w:r>
      <w:proofErr w:type="spellEnd"/>
      <w:r>
        <w:t xml:space="preserve">. All regressions include media market fixed effects, and columns 2, 5, and 8 include individual-level controls for gender, race, and income. Columns 3, 6, and 9 additionally include a control variable indicating whether a state had, according to Real Clear Politics, a toss-up senatorial or gubernatorial race in 2010. The sample sizes vary across the three different estimation strategies because we only include media markets for which there is variation in the treatment variable. For example, the regressions associated with Equation 1 (Columns 1-3) only include media markets that span both a battleground and non-battleground state. This includes approximately 50 million individuals living in 38 media markets spanning 34 states. For Equation 2, we include all individuals living in media markets which span states in different tiers (88 million individuals in 49 media markets spanning 44 states). For Equation 3, we include all individuals living in media markets which span states receiving different levels of effort from the Romney campaign (119 million individuals in 74 media markets spanning 48 states—Washington, DC is included as a state). </w:t>
      </w:r>
    </w:p>
    <w:p w:rsidR="00807EFE" w:rsidRDefault="00807EFE" w:rsidP="00807EFE">
      <w:pPr>
        <w:spacing w:line="480" w:lineRule="auto"/>
        <w:jc w:val="both"/>
      </w:pPr>
      <w:r>
        <w:tab/>
        <w:t xml:space="preserve">Examining our specifications with no individual-level control variables (Columns 1, 4, and 7), we see no meaningful differences between individuals in targeted and non-targeted states in their turnout levels in 2010. All point estimates are statistically indistinguishable from zero, suggesting that individuals within the same media market but spanning state boundaries appear to have similar underlying propensities to vote. When we add individual control variables—gender, race, and predicted family income—to these regressions (Columns 2, 5, and 8) or state-level controls for salient elections (Columns 3, 7, and 9), the point estimates are virtually unchanged because these </w:t>
      </w:r>
      <w:r>
        <w:lastRenderedPageBreak/>
        <w:t>covariates are well balanced across targeted and non-targeted states.</w:t>
      </w:r>
      <w:r>
        <w:rPr>
          <w:rStyle w:val="FootnoteReference"/>
        </w:rPr>
        <w:footnoteReference w:id="1"/>
      </w:r>
      <w:r>
        <w:t xml:space="preserve"> Most of the point estimates are small relative to our main results using 2012 turnout, so these differences are unlikely to meaningfully bias our main results. Moreover, our main results are unchanged by the inclusion of 2010 voter turnout as a control variable, further bolstering confidence in our design and results.</w:t>
      </w:r>
      <w:r>
        <w:rPr>
          <w:rStyle w:val="FootnoteReference"/>
        </w:rPr>
        <w:footnoteReference w:id="2"/>
      </w:r>
      <w:r>
        <w:t xml:space="preserve"> These placebo tests support the plausibility of our empirical design. Voters within the same media market but spanning states that received differential levels of presidential campaigning are similar in their baseline levels of participation. </w:t>
      </w:r>
    </w:p>
    <w:p w:rsidR="00807EFE" w:rsidRPr="00A82E0B" w:rsidRDefault="00807EFE" w:rsidP="00807EFE">
      <w:pPr>
        <w:spacing w:line="480" w:lineRule="auto"/>
        <w:jc w:val="both"/>
      </w:pPr>
      <w:r>
        <w:tab/>
        <w:t xml:space="preserve">The results in Table A2 alleviate concerns that our comparison units are not fundamentally comparable in their underlying propensity to participate in elections. However, these results do not address additional concerns about factors specific to presidential elections that may lead voters in battleground states to participate more. For example, battleground voters may participate more, even in the absence of campaigning because they believe their vote is more likely to be pivotal. To address these issues, we present additional placebo tests using survey data from 2012 to measure differences between battleground and non-battleground voters in their underlying interests in voting. </w:t>
      </w:r>
      <w:r>
        <w:rPr>
          <w:szCs w:val="24"/>
        </w:rPr>
        <w:t xml:space="preserve">The 2012 CCAP surveyed approximately 1,000 different individuals in each week of 2012 before the November election. We focus on the surveys from the first 16 weeks—before the RNC declared Romney as the presumptive nominee on April 25th. During this period, there was little general </w:t>
      </w:r>
      <w:r>
        <w:rPr>
          <w:szCs w:val="24"/>
        </w:rPr>
        <w:lastRenderedPageBreak/>
        <w:t>election campaign activity, so any differences between voters in battleground and non-battleground states are unlikely to be attributable to campaigning.</w:t>
      </w:r>
      <w:r>
        <w:rPr>
          <w:rStyle w:val="FootnoteReference"/>
          <w:szCs w:val="24"/>
        </w:rPr>
        <w:footnoteReference w:id="3"/>
      </w:r>
      <w:r>
        <w:rPr>
          <w:szCs w:val="24"/>
        </w:rPr>
        <w:t xml:space="preserve"> </w:t>
      </w:r>
    </w:p>
    <w:p w:rsidR="00807EFE" w:rsidRDefault="00807EFE" w:rsidP="00807EFE">
      <w:pPr>
        <w:spacing w:line="480" w:lineRule="auto"/>
        <w:jc w:val="both"/>
        <w:rPr>
          <w:szCs w:val="24"/>
        </w:rPr>
      </w:pPr>
      <w:r>
        <w:rPr>
          <w:szCs w:val="24"/>
        </w:rPr>
        <w:tab/>
        <w:t>The CCAP asked two questions each week that are useful for detecting any underlying differences that might plague the results of our study. First, they asked each respondent about their level of interest in politics/current events, allowing respondents to say that they are “very much interested,” “somewhat interest,” “not much interested,” or “not sure.” Just over half of the respondents report that they are very much interested, so we code a binary variable indicating whether each respondent chose that particular option. The CCAP also asked each respondent who they would support in the presidential election. Respondents could choose among the following choices: “The Democratic Party candidate,” “The Republican Party candidate,” “Other,” “Not sure,” or “I would not vote.” We code a binary variable indicating whether a respondent reported that they would not vote. For an alternate approach (Table A5), we also code a binary variable indicating whether a respondent reported that they would vote for the Democratic or Republican candidate.</w:t>
      </w:r>
    </w:p>
    <w:p w:rsidR="00807EFE" w:rsidRDefault="00807EFE" w:rsidP="00807EFE">
      <w:pPr>
        <w:spacing w:line="480" w:lineRule="auto"/>
        <w:jc w:val="both"/>
        <w:rPr>
          <w:szCs w:val="24"/>
        </w:rPr>
      </w:pPr>
      <w:r>
        <w:rPr>
          <w:szCs w:val="24"/>
        </w:rPr>
        <w:tab/>
        <w:t xml:space="preserve">Tables A3, A4, and A5 below present a series of placebo regressions testing whether individuals in targeted states reported greater levels of interest in politics or greater intentions to vote before the general election campaigns got underway. If voters in targeted states are more likely to turn out even in the absence of campaigning, we would expect to find large differences in these surveys. However, if there are no meaningful differences before campaigning began, then we can more confidently attribute our main results to campaigning. Because we cannot match the CCAP respondents to low levels of geography, we do not include media market fixed effects in these placebo analyses. Also, because we pool survey responses from different weeks, we include week fixed effects to account for any changes over time in these attitudinal variables. In all other respects, </w:t>
      </w:r>
      <w:r>
        <w:rPr>
          <w:szCs w:val="24"/>
        </w:rPr>
        <w:lastRenderedPageBreak/>
        <w:t>these regressions mimic those in Table A2. For each outcome and for each measure of campaign effort across states, we present three separate regressions. The first has no controls. The second includes individual controls for age, race, and gender. The third also includes a control variable indicating whether the respondent’s state held an early primary (before Super Tuesday). In total, across all three tables, we obtain 45 placebo estimates. Only 2 of these estimates are statistically significant (we would expect 2.25 by chance), and they go in the opposite direction that we would expect if battleground voters were more motivated to vote independent of campaigns.</w:t>
      </w:r>
      <w:r>
        <w:rPr>
          <w:rStyle w:val="FootnoteReference"/>
          <w:szCs w:val="24"/>
        </w:rPr>
        <w:footnoteReference w:id="4"/>
      </w:r>
      <w:r>
        <w:rPr>
          <w:szCs w:val="24"/>
        </w:rPr>
        <w:t xml:space="preserve"> </w:t>
      </w:r>
    </w:p>
    <w:p w:rsidR="00807EFE" w:rsidRDefault="00807EFE" w:rsidP="00807EFE">
      <w:pPr>
        <w:spacing w:line="480" w:lineRule="auto"/>
        <w:jc w:val="both"/>
        <w:rPr>
          <w:szCs w:val="24"/>
        </w:rPr>
      </w:pPr>
      <w:r>
        <w:rPr>
          <w:szCs w:val="24"/>
        </w:rPr>
        <w:tab/>
        <w:t>Some readers may notice that our placebo tests are imperfect, because most of the states targeted in 2012 were also targeted in 2008, and if 2008 campaigning was effective, we might expect to see differences in 2010 and early 2012 since voting is known to be habitual.</w:t>
      </w:r>
      <w:r>
        <w:rPr>
          <w:rStyle w:val="FootnoteReference"/>
          <w:szCs w:val="24"/>
        </w:rPr>
        <w:footnoteReference w:id="5"/>
      </w:r>
      <w:r>
        <w:rPr>
          <w:szCs w:val="24"/>
        </w:rPr>
        <w:t xml:space="preserve"> However, the extent of this bias is likely small. Meredith (2009) estimates that the effect of voting in one election on turnout in a subsequent election is about 5 percentage points. If we assume that campaigning in 2008 increased turnout by 7 percentage points (consistent with our point estimate in 2012), then the propagating effect of 2008 campaigning on subsequent turnout is 0.35 percentage points (.05*.07 = .0035), a negligible effect. </w:t>
      </w:r>
    </w:p>
    <w:p w:rsidR="00807EFE" w:rsidRDefault="00807EFE" w:rsidP="00807EFE">
      <w:pPr>
        <w:spacing w:line="480" w:lineRule="auto"/>
        <w:jc w:val="both"/>
        <w:rPr>
          <w:szCs w:val="24"/>
        </w:rPr>
      </w:pPr>
      <w:r>
        <w:rPr>
          <w:szCs w:val="24"/>
        </w:rPr>
        <w:tab/>
        <w:t xml:space="preserve">In Table A6, we also present placebo tests using demographic covariates from </w:t>
      </w:r>
      <w:proofErr w:type="spellStart"/>
      <w:r>
        <w:rPr>
          <w:szCs w:val="24"/>
        </w:rPr>
        <w:t>Catalist</w:t>
      </w:r>
      <w:proofErr w:type="spellEnd"/>
      <w:r>
        <w:rPr>
          <w:szCs w:val="24"/>
        </w:rPr>
        <w:t xml:space="preserve"> as our outcomes of interest. None of these placebo results are statistically or substantively significant. We also predict each individual’s propensity to vote based on their gender, race, and income, and we find no differences in predicted vote propensity between battleground and non-battleground residents within the same media market.</w:t>
      </w:r>
    </w:p>
    <w:p w:rsidR="00807EFE" w:rsidRDefault="00807EFE" w:rsidP="00807EFE">
      <w:pPr>
        <w:spacing w:line="480" w:lineRule="auto"/>
        <w:jc w:val="both"/>
        <w:rPr>
          <w:szCs w:val="24"/>
        </w:rPr>
      </w:pPr>
      <w:r>
        <w:rPr>
          <w:szCs w:val="24"/>
        </w:rPr>
        <w:lastRenderedPageBreak/>
        <w:tab/>
        <w:t xml:space="preserve">In short, we find no evidence that individuals in targeted states had different turnout behaviors, intentions to vote, or levels of political interest before presidential campaigning began. These results suggest that our identifying assumptions are sound and that our subsequent results can be attributed to campaigning as opposed to spurious factors and independent effects of battleground environments. </w:t>
      </w:r>
    </w:p>
    <w:p w:rsidR="00807EFE" w:rsidRDefault="00807EFE" w:rsidP="00807EFE">
      <w:pPr>
        <w:spacing w:line="276" w:lineRule="auto"/>
        <w:rPr>
          <w:szCs w:val="24"/>
        </w:rPr>
      </w:pPr>
      <w:r>
        <w:rPr>
          <w:szCs w:val="24"/>
        </w:rPr>
        <w:br w:type="page"/>
      </w:r>
    </w:p>
    <w:p w:rsidR="00807EFE" w:rsidRDefault="00807EFE" w:rsidP="00807EFE">
      <w:pPr>
        <w:ind w:left="720" w:hanging="720"/>
        <w:jc w:val="center"/>
        <w:rPr>
          <w:b/>
        </w:rPr>
        <w:sectPr w:rsidR="00807EFE" w:rsidSect="00426156">
          <w:footerReference w:type="default" r:id="rId9"/>
          <w:pgSz w:w="12240" w:h="15840"/>
          <w:pgMar w:top="1440" w:right="1440" w:bottom="1440" w:left="1440" w:header="720" w:footer="720" w:gutter="0"/>
          <w:cols w:space="720"/>
          <w:docGrid w:linePitch="360"/>
        </w:sectPr>
      </w:pPr>
    </w:p>
    <w:p w:rsidR="00807EFE" w:rsidRPr="00520F9A" w:rsidRDefault="00807EFE" w:rsidP="00807EFE">
      <w:pPr>
        <w:ind w:left="720" w:hanging="720"/>
        <w:jc w:val="center"/>
        <w:rPr>
          <w:b/>
        </w:rPr>
      </w:pPr>
      <w:r>
        <w:rPr>
          <w:b/>
        </w:rPr>
        <w:lastRenderedPageBreak/>
        <w:t>Table A2</w:t>
      </w:r>
      <w:r w:rsidRPr="00520F9A">
        <w:rPr>
          <w:b/>
        </w:rPr>
        <w:t xml:space="preserve">. </w:t>
      </w:r>
      <w:r>
        <w:rPr>
          <w:b/>
        </w:rPr>
        <w:t>Placebo Tests using 2010</w:t>
      </w:r>
      <w:r w:rsidRPr="00520F9A">
        <w:rPr>
          <w:b/>
        </w:rPr>
        <w:t xml:space="preserve"> Voter Turnout</w:t>
      </w:r>
    </w:p>
    <w:tbl>
      <w:tblPr>
        <w:tblW w:w="0" w:type="auto"/>
        <w:jc w:val="center"/>
        <w:tblInd w:w="93" w:type="dxa"/>
        <w:tblLook w:val="04A0" w:firstRow="1" w:lastRow="0" w:firstColumn="1" w:lastColumn="0" w:noHBand="0" w:noVBand="1"/>
      </w:tblPr>
      <w:tblGrid>
        <w:gridCol w:w="3034"/>
        <w:gridCol w:w="746"/>
        <w:gridCol w:w="746"/>
        <w:gridCol w:w="746"/>
        <w:gridCol w:w="746"/>
        <w:gridCol w:w="746"/>
        <w:gridCol w:w="746"/>
        <w:gridCol w:w="746"/>
        <w:gridCol w:w="746"/>
        <w:gridCol w:w="746"/>
      </w:tblGrid>
      <w:tr w:rsidR="00807EFE" w:rsidRPr="00A34EAB" w:rsidTr="00426156">
        <w:trPr>
          <w:trHeight w:val="300"/>
          <w:jc w:val="center"/>
        </w:trPr>
        <w:tc>
          <w:tcPr>
            <w:tcW w:w="0" w:type="auto"/>
            <w:tcBorders>
              <w:top w:val="single" w:sz="12" w:space="0" w:color="auto"/>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tcBorders>
          </w:tcPr>
          <w:p w:rsidR="00807EFE" w:rsidRDefault="00807EFE" w:rsidP="00426156">
            <w:pPr>
              <w:jc w:val="center"/>
              <w:rPr>
                <w:rFonts w:eastAsia="Times New Roman" w:cs="Times New Roman"/>
                <w:color w:val="000000"/>
                <w:szCs w:val="24"/>
              </w:rPr>
            </w:pPr>
          </w:p>
        </w:tc>
        <w:tc>
          <w:tcPr>
            <w:tcW w:w="0" w:type="auto"/>
            <w:tcBorders>
              <w:top w:val="single" w:sz="12" w:space="0" w:color="auto"/>
            </w:tcBorders>
          </w:tcPr>
          <w:p w:rsidR="00807EFE" w:rsidRDefault="00807EFE" w:rsidP="00426156">
            <w:pPr>
              <w:jc w:val="center"/>
              <w:rPr>
                <w:rFonts w:eastAsia="Times New Roman" w:cs="Times New Roman"/>
                <w:color w:val="000000"/>
                <w:szCs w:val="24"/>
              </w:rPr>
            </w:pPr>
          </w:p>
        </w:tc>
        <w:tc>
          <w:tcPr>
            <w:tcW w:w="0" w:type="auto"/>
            <w:gridSpan w:val="7"/>
            <w:tcBorders>
              <w:top w:val="single" w:sz="12" w:space="0" w:color="auto"/>
              <w:bottom w:val="single" w:sz="12" w:space="0" w:color="auto"/>
            </w:tcBorders>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DV = 2010 Voter Turnout</w:t>
            </w:r>
          </w:p>
        </w:tc>
      </w:tr>
      <w:tr w:rsidR="00807EFE" w:rsidRPr="00A34EAB" w:rsidTr="00426156">
        <w:trPr>
          <w:trHeight w:val="300"/>
          <w:jc w:val="center"/>
        </w:trPr>
        <w:tc>
          <w:tcPr>
            <w:tcW w:w="0" w:type="auto"/>
            <w:tcBorders>
              <w:bottom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bottom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1</w:t>
            </w:r>
            <w:r>
              <w:rPr>
                <w:rFonts w:eastAsia="Times New Roman" w:cs="Times New Roman"/>
                <w:color w:val="000000"/>
                <w:szCs w:val="24"/>
              </w:rPr>
              <w:t>)</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(2)</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(3)</w:t>
            </w:r>
          </w:p>
        </w:tc>
        <w:tc>
          <w:tcPr>
            <w:tcW w:w="0" w:type="auto"/>
            <w:tcBorders>
              <w:top w:val="single" w:sz="12" w:space="0" w:color="auto"/>
              <w:bottom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(4)</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(5)</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(6)</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(8)</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(9)</w:t>
            </w:r>
          </w:p>
        </w:tc>
      </w:tr>
      <w:tr w:rsidR="00807EFE" w:rsidRPr="00A34EAB" w:rsidTr="00426156">
        <w:trPr>
          <w:trHeight w:val="300"/>
          <w:jc w:val="center"/>
        </w:trPr>
        <w:tc>
          <w:tcPr>
            <w:tcW w:w="0" w:type="auto"/>
            <w:tcBorders>
              <w:top w:val="single" w:sz="12" w:space="0" w:color="auto"/>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Battleground</w:t>
            </w:r>
          </w:p>
        </w:tc>
        <w:tc>
          <w:tcPr>
            <w:tcW w:w="0" w:type="auto"/>
            <w:tcBorders>
              <w:top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.003</w:t>
            </w: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.001</w:t>
            </w: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.001</w:t>
            </w:r>
          </w:p>
        </w:tc>
        <w:tc>
          <w:tcPr>
            <w:tcW w:w="0" w:type="auto"/>
            <w:tcBorders>
              <w:top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(.007)</w:t>
            </w: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1</w:t>
            </w: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.014</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.010</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(.016)</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(.015)</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(.007)</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2</w:t>
            </w: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.024</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.027</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.004</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3</w:t>
            </w: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.029</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.018</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.009</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(.017)</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(.019)</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(.018)</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Romney Effort</w:t>
            </w:r>
          </w:p>
        </w:tc>
        <w:tc>
          <w:tcPr>
            <w:tcW w:w="0" w:type="auto"/>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.014</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(.020)</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(.019)</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(.009)</w:t>
            </w: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Media Market Fixed Effects</w:t>
            </w: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shd w:val="clear" w:color="auto" w:fill="auto"/>
            <w:noWrap/>
            <w:vAlign w:val="bottom"/>
            <w:hideMark/>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Individual Controls</w:t>
            </w:r>
          </w:p>
        </w:tc>
        <w:tc>
          <w:tcPr>
            <w:tcW w:w="0" w:type="auto"/>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Control for Sen. or Gov. Race</w:t>
            </w:r>
          </w:p>
        </w:tc>
        <w:tc>
          <w:tcPr>
            <w:tcW w:w="0" w:type="auto"/>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N individuals</w:t>
            </w:r>
          </w:p>
        </w:tc>
        <w:tc>
          <w:tcPr>
            <w:tcW w:w="0" w:type="auto"/>
            <w:gridSpan w:val="3"/>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49,549,516</w:t>
            </w:r>
          </w:p>
        </w:tc>
        <w:tc>
          <w:tcPr>
            <w:tcW w:w="0" w:type="auto"/>
            <w:gridSpan w:val="3"/>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87,650,509</w:t>
            </w:r>
          </w:p>
        </w:tc>
        <w:tc>
          <w:tcPr>
            <w:tcW w:w="0" w:type="auto"/>
            <w:gridSpan w:val="3"/>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118,645,707</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media markets</w:t>
            </w:r>
          </w:p>
        </w:tc>
        <w:tc>
          <w:tcPr>
            <w:tcW w:w="0" w:type="auto"/>
            <w:gridSpan w:val="3"/>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38</w:t>
            </w:r>
          </w:p>
        </w:tc>
        <w:tc>
          <w:tcPr>
            <w:tcW w:w="0" w:type="auto"/>
            <w:gridSpan w:val="3"/>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49</w:t>
            </w:r>
          </w:p>
        </w:tc>
        <w:tc>
          <w:tcPr>
            <w:tcW w:w="0" w:type="auto"/>
            <w:gridSpan w:val="3"/>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74</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states</w:t>
            </w:r>
          </w:p>
        </w:tc>
        <w:tc>
          <w:tcPr>
            <w:tcW w:w="0" w:type="auto"/>
            <w:gridSpan w:val="3"/>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34</w:t>
            </w:r>
          </w:p>
        </w:tc>
        <w:tc>
          <w:tcPr>
            <w:tcW w:w="0" w:type="auto"/>
            <w:gridSpan w:val="3"/>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44</w:t>
            </w:r>
          </w:p>
        </w:tc>
        <w:tc>
          <w:tcPr>
            <w:tcW w:w="0" w:type="auto"/>
            <w:gridSpan w:val="3"/>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48</w:t>
            </w:r>
          </w:p>
        </w:tc>
      </w:tr>
      <w:tr w:rsidR="00807EFE" w:rsidRPr="00A34EAB" w:rsidTr="00426156">
        <w:trPr>
          <w:trHeight w:val="300"/>
          <w:jc w:val="center"/>
        </w:trPr>
        <w:tc>
          <w:tcPr>
            <w:tcW w:w="0" w:type="auto"/>
            <w:tcBorders>
              <w:bottom w:val="single" w:sz="12" w:space="0" w:color="auto"/>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R-squared</w:t>
            </w:r>
          </w:p>
        </w:tc>
        <w:tc>
          <w:tcPr>
            <w:tcW w:w="0" w:type="auto"/>
            <w:tcBorders>
              <w:bottom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.108</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.108</w:t>
            </w:r>
          </w:p>
        </w:tc>
        <w:tc>
          <w:tcPr>
            <w:tcW w:w="0" w:type="auto"/>
            <w:tcBorders>
              <w:bottom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.099</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.099</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.014</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.099</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.099</w:t>
            </w:r>
          </w:p>
        </w:tc>
      </w:tr>
    </w:tbl>
    <w:p w:rsidR="00807EFE" w:rsidRPr="00FA3534" w:rsidRDefault="00807EFE" w:rsidP="00807EFE">
      <w:pPr>
        <w:jc w:val="both"/>
        <w:rPr>
          <w:b/>
          <w:szCs w:val="24"/>
        </w:rPr>
      </w:pPr>
      <w:r>
        <w:rPr>
          <w:i/>
        </w:rPr>
        <w:t>All variables are defined as in Table 1</w:t>
      </w:r>
      <w:r w:rsidRPr="00FA3534">
        <w:rPr>
          <w:i/>
          <w:szCs w:val="24"/>
        </w:rPr>
        <w:t>.</w:t>
      </w:r>
      <w:r>
        <w:rPr>
          <w:i/>
          <w:szCs w:val="24"/>
        </w:rPr>
        <w:t xml:space="preserve"> </w:t>
      </w:r>
      <w:r w:rsidRPr="00FA3534">
        <w:rPr>
          <w:i/>
          <w:szCs w:val="24"/>
        </w:rPr>
        <w:t xml:space="preserve">Because the dependent variable is voter turnout in 2010, a year where there was no presidential campaigning, these regressions constitute placebo tests, indicating whether there are underlying differences between targeted and non-targeted states. All of the point estimates are substantively small, and all but one </w:t>
      </w:r>
      <w:proofErr w:type="gramStart"/>
      <w:r w:rsidRPr="00FA3534">
        <w:rPr>
          <w:i/>
          <w:szCs w:val="24"/>
        </w:rPr>
        <w:t>are</w:t>
      </w:r>
      <w:proofErr w:type="gramEnd"/>
      <w:r w:rsidRPr="00FA3534">
        <w:rPr>
          <w:i/>
          <w:szCs w:val="24"/>
        </w:rPr>
        <w:t xml:space="preserve"> statistically indistinguishable fr</w:t>
      </w:r>
      <w:r>
        <w:rPr>
          <w:i/>
          <w:szCs w:val="24"/>
        </w:rPr>
        <w:t>om zero. The results are</w:t>
      </w:r>
      <w:r w:rsidRPr="00FA3534">
        <w:rPr>
          <w:i/>
          <w:szCs w:val="24"/>
        </w:rPr>
        <w:t xml:space="preserve"> consistent with the underlying assumptions of our empirical strategies.</w:t>
      </w:r>
      <w:r>
        <w:rPr>
          <w:i/>
          <w:szCs w:val="24"/>
        </w:rPr>
        <w:t xml:space="preserve"> </w:t>
      </w:r>
      <w:r w:rsidRPr="00FA3534">
        <w:rPr>
          <w:i/>
          <w:szCs w:val="24"/>
        </w:rPr>
        <w:t>Standard errors, clustere</w:t>
      </w:r>
      <w:r>
        <w:rPr>
          <w:i/>
          <w:szCs w:val="24"/>
        </w:rPr>
        <w:t>d by state, are in parentheses.</w:t>
      </w:r>
    </w:p>
    <w:p w:rsidR="00807EFE" w:rsidRDefault="00807EFE" w:rsidP="00807EFE">
      <w:pPr>
        <w:spacing w:line="276" w:lineRule="auto"/>
        <w:rPr>
          <w:b/>
        </w:rPr>
      </w:pPr>
      <w:r>
        <w:rPr>
          <w:b/>
        </w:rPr>
        <w:br w:type="page"/>
      </w:r>
    </w:p>
    <w:p w:rsidR="00807EFE" w:rsidRPr="00520F9A" w:rsidRDefault="00807EFE" w:rsidP="00807EFE">
      <w:pPr>
        <w:ind w:left="720" w:hanging="720"/>
        <w:jc w:val="center"/>
        <w:rPr>
          <w:b/>
        </w:rPr>
      </w:pPr>
      <w:r>
        <w:rPr>
          <w:b/>
        </w:rPr>
        <w:lastRenderedPageBreak/>
        <w:t>Table A3</w:t>
      </w:r>
      <w:r w:rsidRPr="00520F9A">
        <w:rPr>
          <w:b/>
        </w:rPr>
        <w:t xml:space="preserve">. </w:t>
      </w:r>
      <w:r>
        <w:rPr>
          <w:b/>
        </w:rPr>
        <w:t>Placebo Tests Using Political Interest before the General Election Campaign</w:t>
      </w:r>
    </w:p>
    <w:tbl>
      <w:tblPr>
        <w:tblW w:w="0" w:type="auto"/>
        <w:jc w:val="center"/>
        <w:tblInd w:w="93" w:type="dxa"/>
        <w:tblLook w:val="04A0" w:firstRow="1" w:lastRow="0" w:firstColumn="1" w:lastColumn="0" w:noHBand="0" w:noVBand="1"/>
      </w:tblPr>
      <w:tblGrid>
        <w:gridCol w:w="2736"/>
        <w:gridCol w:w="766"/>
        <w:gridCol w:w="766"/>
        <w:gridCol w:w="766"/>
        <w:gridCol w:w="766"/>
        <w:gridCol w:w="766"/>
        <w:gridCol w:w="766"/>
        <w:gridCol w:w="766"/>
        <w:gridCol w:w="766"/>
        <w:gridCol w:w="766"/>
      </w:tblGrid>
      <w:tr w:rsidR="00807EFE" w:rsidRPr="00A34EAB" w:rsidTr="00426156">
        <w:trPr>
          <w:trHeight w:val="300"/>
          <w:jc w:val="center"/>
        </w:trPr>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gridSpan w:val="9"/>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DV = “very much interested” in politics and current events</w:t>
            </w:r>
          </w:p>
        </w:tc>
      </w:tr>
      <w:tr w:rsidR="00807EFE" w:rsidRPr="00A34EAB" w:rsidTr="00426156">
        <w:trPr>
          <w:trHeight w:val="300"/>
          <w:jc w:val="center"/>
        </w:trPr>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1</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2</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3</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4</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5</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6</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w:t>
            </w:r>
          </w:p>
        </w:tc>
        <w:tc>
          <w:tcPr>
            <w:tcW w:w="0" w:type="auto"/>
            <w:tcBorders>
              <w:top w:val="single" w:sz="12" w:space="0" w:color="auto"/>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(8)</w:t>
            </w:r>
          </w:p>
        </w:tc>
        <w:tc>
          <w:tcPr>
            <w:tcW w:w="0" w:type="auto"/>
            <w:tcBorders>
              <w:top w:val="single" w:sz="12" w:space="0" w:color="auto"/>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(9)</w:t>
            </w:r>
          </w:p>
        </w:tc>
      </w:tr>
      <w:tr w:rsidR="00807EFE" w:rsidRPr="00A34EAB" w:rsidTr="00426156">
        <w:trPr>
          <w:trHeight w:val="300"/>
          <w:jc w:val="center"/>
        </w:trPr>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Battleground</w:t>
            </w: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−.005</w:t>
            </w: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−.004</w:t>
            </w: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(.014)</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1</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−.003</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.000</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−.006</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(.018)</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(.020)</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(.019)</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2</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−.005</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−.019</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(.017)</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(.014)</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3</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.046</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.031</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.020</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(.030)</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(.024)</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(.025)</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Romney Effort</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−.021</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(.023)</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(.022)</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(.022)</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Early Primary State</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.025</w:t>
            </w: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.021</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.025</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(.015)</w:t>
            </w: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(.014)</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(.014)</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Individual Controls</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Survey Week Fixed Effects</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Observations</w:t>
            </w:r>
          </w:p>
        </w:tc>
        <w:tc>
          <w:tcPr>
            <w:tcW w:w="0" w:type="auto"/>
            <w:gridSpan w:val="9"/>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15,998</w:t>
            </w:r>
          </w:p>
        </w:tc>
      </w:tr>
      <w:tr w:rsidR="00807EFE" w:rsidRPr="00A34EAB" w:rsidTr="00426156">
        <w:trPr>
          <w:trHeight w:val="300"/>
          <w:jc w:val="center"/>
        </w:trPr>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R-squared</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.001</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.106</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.106</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.002</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.106</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.106</w:t>
            </w:r>
          </w:p>
        </w:tc>
        <w:tc>
          <w:tcPr>
            <w:tcW w:w="0" w:type="auto"/>
            <w:tcBorders>
              <w:top w:val="nil"/>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.001</w:t>
            </w:r>
          </w:p>
        </w:tc>
        <w:tc>
          <w:tcPr>
            <w:tcW w:w="0" w:type="auto"/>
            <w:tcBorders>
              <w:top w:val="nil"/>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.106</w:t>
            </w:r>
          </w:p>
        </w:tc>
        <w:tc>
          <w:tcPr>
            <w:tcW w:w="0" w:type="auto"/>
            <w:tcBorders>
              <w:top w:val="nil"/>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.106</w:t>
            </w:r>
          </w:p>
        </w:tc>
      </w:tr>
    </w:tbl>
    <w:p w:rsidR="00807EFE" w:rsidRDefault="00807EFE" w:rsidP="00807EFE">
      <w:pPr>
        <w:jc w:val="both"/>
        <w:rPr>
          <w:i/>
          <w:szCs w:val="24"/>
        </w:rPr>
      </w:pPr>
      <w:r>
        <w:rPr>
          <w:i/>
        </w:rPr>
        <w:t xml:space="preserve">All variables are defined as in Table 1. Data is from the 2012 CCAP. We analyze responses for the first 16 weeks of 2012, before Romney was the presumptive nominee and before general election campaigning got underway. We find no detectable differences in political interest between battleground and non-battleground voters before general election campaigning, providing empirical support for our assumptions that these individuals are comparable in terms of their underlying interests and intentions to vote. </w:t>
      </w:r>
      <w:r w:rsidRPr="00FA3534">
        <w:rPr>
          <w:i/>
          <w:szCs w:val="24"/>
        </w:rPr>
        <w:t>Standard errors, clustered by state, are in parentheses</w:t>
      </w:r>
      <w:r>
        <w:rPr>
          <w:i/>
          <w:szCs w:val="24"/>
        </w:rPr>
        <w:t>.</w:t>
      </w:r>
    </w:p>
    <w:p w:rsidR="00807EFE" w:rsidRDefault="00807EFE" w:rsidP="00807EFE">
      <w:pPr>
        <w:spacing w:line="276" w:lineRule="auto"/>
        <w:jc w:val="both"/>
        <w:rPr>
          <w:b/>
        </w:rPr>
      </w:pPr>
      <w:r>
        <w:rPr>
          <w:b/>
        </w:rPr>
        <w:br w:type="page"/>
      </w:r>
    </w:p>
    <w:p w:rsidR="00807EFE" w:rsidRPr="00520F9A" w:rsidRDefault="00807EFE" w:rsidP="00807EFE">
      <w:pPr>
        <w:ind w:left="720" w:hanging="720"/>
        <w:jc w:val="center"/>
        <w:rPr>
          <w:b/>
        </w:rPr>
      </w:pPr>
      <w:r>
        <w:rPr>
          <w:b/>
        </w:rPr>
        <w:lastRenderedPageBreak/>
        <w:t>Table A4</w:t>
      </w:r>
      <w:r w:rsidRPr="00520F9A">
        <w:rPr>
          <w:b/>
        </w:rPr>
        <w:t xml:space="preserve">. </w:t>
      </w:r>
      <w:r>
        <w:rPr>
          <w:b/>
        </w:rPr>
        <w:t>Placebo Tests Using Vote Intention before the General Election Campaign</w:t>
      </w:r>
    </w:p>
    <w:tbl>
      <w:tblPr>
        <w:tblW w:w="0" w:type="auto"/>
        <w:jc w:val="center"/>
        <w:tblInd w:w="93" w:type="dxa"/>
        <w:tblLook w:val="04A0" w:firstRow="1" w:lastRow="0" w:firstColumn="1" w:lastColumn="0" w:noHBand="0" w:noVBand="1"/>
      </w:tblPr>
      <w:tblGrid>
        <w:gridCol w:w="2736"/>
        <w:gridCol w:w="746"/>
        <w:gridCol w:w="746"/>
        <w:gridCol w:w="766"/>
        <w:gridCol w:w="766"/>
        <w:gridCol w:w="766"/>
        <w:gridCol w:w="766"/>
        <w:gridCol w:w="746"/>
        <w:gridCol w:w="746"/>
        <w:gridCol w:w="766"/>
      </w:tblGrid>
      <w:tr w:rsidR="00807EFE" w:rsidRPr="00A34EAB" w:rsidTr="00426156">
        <w:trPr>
          <w:trHeight w:val="300"/>
          <w:jc w:val="center"/>
        </w:trPr>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gridSpan w:val="9"/>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DV = “will not vote” in 2012</w:t>
            </w:r>
          </w:p>
        </w:tc>
      </w:tr>
      <w:tr w:rsidR="00807EFE" w:rsidRPr="00A34EAB" w:rsidTr="00426156">
        <w:trPr>
          <w:trHeight w:val="300"/>
          <w:jc w:val="center"/>
        </w:trPr>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1</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2</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3</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4</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5</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6</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w:t>
            </w:r>
          </w:p>
        </w:tc>
        <w:tc>
          <w:tcPr>
            <w:tcW w:w="0" w:type="auto"/>
            <w:tcBorders>
              <w:top w:val="single" w:sz="12" w:space="0" w:color="auto"/>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(8)</w:t>
            </w:r>
          </w:p>
        </w:tc>
        <w:tc>
          <w:tcPr>
            <w:tcW w:w="0" w:type="auto"/>
            <w:tcBorders>
              <w:top w:val="single" w:sz="12" w:space="0" w:color="auto"/>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(9)</w:t>
            </w:r>
          </w:p>
        </w:tc>
      </w:tr>
      <w:tr w:rsidR="00807EFE" w:rsidRPr="00A34EAB" w:rsidTr="00426156">
        <w:trPr>
          <w:trHeight w:val="300"/>
          <w:jc w:val="center"/>
        </w:trPr>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Battleground</w:t>
            </w: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.007</w:t>
            </w: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.007</w:t>
            </w: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(.009)</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1</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.005</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.002</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.005</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(.007)</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2</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.019</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.022</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.026</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(.010)</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(.009)</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3</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−.015</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−.018</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(.009)</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(.010)</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Romney Effort</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.010</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.014</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(.010)</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(.012)</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Early Primary State</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−.011</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Individual Controls</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Survey Week Fixed Effects</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Observations</w:t>
            </w:r>
          </w:p>
        </w:tc>
        <w:tc>
          <w:tcPr>
            <w:tcW w:w="0" w:type="auto"/>
            <w:gridSpan w:val="9"/>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15,998</w:t>
            </w:r>
          </w:p>
        </w:tc>
      </w:tr>
      <w:tr w:rsidR="00807EFE" w:rsidRPr="00A34EAB" w:rsidTr="00426156">
        <w:trPr>
          <w:trHeight w:val="300"/>
          <w:jc w:val="center"/>
        </w:trPr>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R-squared</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.002</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.033</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.033</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.003</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.034</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.034</w:t>
            </w:r>
          </w:p>
        </w:tc>
        <w:tc>
          <w:tcPr>
            <w:tcW w:w="0" w:type="auto"/>
            <w:tcBorders>
              <w:top w:val="nil"/>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.002</w:t>
            </w:r>
          </w:p>
        </w:tc>
        <w:tc>
          <w:tcPr>
            <w:tcW w:w="0" w:type="auto"/>
            <w:tcBorders>
              <w:top w:val="nil"/>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.033</w:t>
            </w:r>
          </w:p>
        </w:tc>
        <w:tc>
          <w:tcPr>
            <w:tcW w:w="0" w:type="auto"/>
            <w:tcBorders>
              <w:top w:val="nil"/>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.033</w:t>
            </w:r>
          </w:p>
        </w:tc>
      </w:tr>
    </w:tbl>
    <w:p w:rsidR="00807EFE" w:rsidRDefault="00807EFE" w:rsidP="00807EFE">
      <w:pPr>
        <w:jc w:val="both"/>
        <w:rPr>
          <w:i/>
          <w:szCs w:val="24"/>
        </w:rPr>
      </w:pPr>
      <w:r>
        <w:rPr>
          <w:i/>
        </w:rPr>
        <w:t xml:space="preserve">All variables are defined as in Table 1. Data is from the 2012 CCAP. We analyze responses for the first 16 weeks of 2012, before Romney was the presumptive nominee and before general election campaigning got underway. We find no detectable differences in vote intentions between battleground and non-battleground voters before general election campaigning, providing empirical support for our assumptions that these individuals are comparable in terms of their underlying interests and intentions to vote. For the two statistically significant coefficients, the point estimate is in the “wrong” direction (tier 2 voters are more likely to say that they will not vote), and the substantive size is small. These differences are most likely attributable to chance and multiple testing. Out of 60 placebo tests in Tables A2, A3, A4, and A5, we obtain 3 statistically significant coefficients, exactly what we would expect by chance. </w:t>
      </w:r>
      <w:r w:rsidRPr="00FA3534">
        <w:rPr>
          <w:i/>
          <w:szCs w:val="24"/>
        </w:rPr>
        <w:t>Standard errors, clustere</w:t>
      </w:r>
      <w:r>
        <w:rPr>
          <w:i/>
          <w:szCs w:val="24"/>
        </w:rPr>
        <w:t>d by state, are in parentheses.</w:t>
      </w:r>
    </w:p>
    <w:p w:rsidR="00807EFE" w:rsidRDefault="00807EFE" w:rsidP="00807EFE">
      <w:pPr>
        <w:spacing w:after="200" w:line="276" w:lineRule="auto"/>
        <w:rPr>
          <w:i/>
          <w:szCs w:val="24"/>
        </w:rPr>
      </w:pPr>
      <w:r>
        <w:rPr>
          <w:i/>
          <w:szCs w:val="24"/>
        </w:rPr>
        <w:br w:type="page"/>
      </w:r>
    </w:p>
    <w:p w:rsidR="00807EFE" w:rsidRPr="00520F9A" w:rsidRDefault="00807EFE" w:rsidP="00807EFE">
      <w:pPr>
        <w:ind w:left="720" w:hanging="720"/>
        <w:jc w:val="center"/>
        <w:rPr>
          <w:b/>
        </w:rPr>
      </w:pPr>
      <w:r>
        <w:rPr>
          <w:b/>
        </w:rPr>
        <w:lastRenderedPageBreak/>
        <w:t>Table A5</w:t>
      </w:r>
      <w:r w:rsidRPr="00520F9A">
        <w:rPr>
          <w:b/>
        </w:rPr>
        <w:t xml:space="preserve">. </w:t>
      </w:r>
      <w:r>
        <w:rPr>
          <w:b/>
        </w:rPr>
        <w:t>Placebo Tests Using Vote Intention before the General Election Campaign (Alternate Coding)</w:t>
      </w:r>
    </w:p>
    <w:tbl>
      <w:tblPr>
        <w:tblW w:w="0" w:type="auto"/>
        <w:jc w:val="center"/>
        <w:tblInd w:w="93" w:type="dxa"/>
        <w:tblLook w:val="04A0" w:firstRow="1" w:lastRow="0" w:firstColumn="1" w:lastColumn="0" w:noHBand="0" w:noVBand="1"/>
      </w:tblPr>
      <w:tblGrid>
        <w:gridCol w:w="2736"/>
        <w:gridCol w:w="766"/>
        <w:gridCol w:w="766"/>
        <w:gridCol w:w="766"/>
        <w:gridCol w:w="766"/>
        <w:gridCol w:w="766"/>
        <w:gridCol w:w="766"/>
        <w:gridCol w:w="766"/>
        <w:gridCol w:w="766"/>
        <w:gridCol w:w="766"/>
      </w:tblGrid>
      <w:tr w:rsidR="00807EFE" w:rsidRPr="00A34EAB" w:rsidTr="00426156">
        <w:trPr>
          <w:trHeight w:val="300"/>
          <w:jc w:val="center"/>
        </w:trPr>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gridSpan w:val="9"/>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DV = plan to vote for Dem. or Rep. in 2012</w:t>
            </w:r>
          </w:p>
        </w:tc>
      </w:tr>
      <w:tr w:rsidR="00807EFE" w:rsidRPr="00A34EAB" w:rsidTr="00426156">
        <w:trPr>
          <w:trHeight w:val="300"/>
          <w:jc w:val="center"/>
        </w:trPr>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1</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2</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3</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4</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5</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w:t>
            </w:r>
            <w:r w:rsidRPr="00A34EAB">
              <w:rPr>
                <w:rFonts w:eastAsia="Times New Roman" w:cs="Times New Roman"/>
                <w:color w:val="000000"/>
                <w:szCs w:val="24"/>
              </w:rPr>
              <w:t>6</w:t>
            </w:r>
            <w:r>
              <w:rPr>
                <w:rFonts w:eastAsia="Times New Roman" w:cs="Times New Roman"/>
                <w:color w:val="000000"/>
                <w:szCs w:val="24"/>
              </w:rPr>
              <w:t>)</w:t>
            </w:r>
          </w:p>
        </w:tc>
        <w:tc>
          <w:tcPr>
            <w:tcW w:w="0" w:type="auto"/>
            <w:tcBorders>
              <w:top w:val="single" w:sz="12" w:space="0" w:color="auto"/>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w:t>
            </w:r>
          </w:p>
        </w:tc>
        <w:tc>
          <w:tcPr>
            <w:tcW w:w="0" w:type="auto"/>
            <w:tcBorders>
              <w:top w:val="single" w:sz="12" w:space="0" w:color="auto"/>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(8)</w:t>
            </w:r>
          </w:p>
        </w:tc>
        <w:tc>
          <w:tcPr>
            <w:tcW w:w="0" w:type="auto"/>
            <w:tcBorders>
              <w:top w:val="single" w:sz="12" w:space="0" w:color="auto"/>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(9)</w:t>
            </w:r>
          </w:p>
        </w:tc>
      </w:tr>
      <w:tr w:rsidR="00807EFE" w:rsidRPr="00A34EAB" w:rsidTr="00426156">
        <w:trPr>
          <w:trHeight w:val="300"/>
          <w:jc w:val="center"/>
        </w:trPr>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Battleground</w:t>
            </w:r>
          </w:p>
        </w:tc>
        <w:tc>
          <w:tcPr>
            <w:tcW w:w="0" w:type="auto"/>
            <w:tcBorders>
              <w:top w:val="single" w:sz="12" w:space="0" w:color="auto"/>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tcBorders>
              <w:top w:val="single" w:sz="12" w:space="0" w:color="auto"/>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tcBorders>
              <w:top w:val="single" w:sz="12" w:space="0" w:color="auto"/>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−.016</w:t>
            </w: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Default="00807EFE" w:rsidP="00426156">
            <w:pPr>
              <w:jc w:val="center"/>
            </w:pPr>
            <w:r w:rsidRPr="008A47B9">
              <w:rPr>
                <w:rFonts w:eastAsia="Times New Roman" w:cs="Times New Roman"/>
                <w:color w:val="000000"/>
                <w:szCs w:val="24"/>
              </w:rPr>
              <w:t>(</w:t>
            </w:r>
            <w:r>
              <w:rPr>
                <w:rFonts w:eastAsia="Times New Roman" w:cs="Times New Roman"/>
                <w:color w:val="000000"/>
                <w:szCs w:val="24"/>
              </w:rPr>
              <w:t>.016</w:t>
            </w:r>
            <w:r w:rsidRPr="008A47B9">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Default="00807EFE" w:rsidP="00426156">
            <w:pPr>
              <w:jc w:val="center"/>
            </w:pPr>
            <w:r w:rsidRPr="008A47B9">
              <w:rPr>
                <w:rFonts w:eastAsia="Times New Roman" w:cs="Times New Roman"/>
                <w:color w:val="000000"/>
                <w:szCs w:val="24"/>
              </w:rPr>
              <w:t>(</w:t>
            </w:r>
            <w:r>
              <w:rPr>
                <w:rFonts w:eastAsia="Times New Roman" w:cs="Times New Roman"/>
                <w:color w:val="000000"/>
                <w:szCs w:val="24"/>
              </w:rPr>
              <w:t>.016</w:t>
            </w:r>
            <w:r w:rsidRPr="008A47B9">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Default="00807EFE" w:rsidP="00426156">
            <w:pPr>
              <w:jc w:val="center"/>
            </w:pPr>
            <w:r w:rsidRPr="008A47B9">
              <w:rPr>
                <w:rFonts w:eastAsia="Times New Roman" w:cs="Times New Roman"/>
                <w:color w:val="000000"/>
                <w:szCs w:val="24"/>
              </w:rPr>
              <w:t>(</w:t>
            </w:r>
            <w:r>
              <w:rPr>
                <w:rFonts w:eastAsia="Times New Roman" w:cs="Times New Roman"/>
                <w:color w:val="000000"/>
                <w:szCs w:val="24"/>
              </w:rPr>
              <w:t>.016</w:t>
            </w:r>
            <w:r w:rsidRPr="008A47B9">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1</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−.010</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−.005</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−.010</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pPr>
            <w:r w:rsidRPr="00E32C38">
              <w:rPr>
                <w:rFonts w:eastAsia="Times New Roman" w:cs="Times New Roman"/>
                <w:color w:val="000000"/>
                <w:szCs w:val="24"/>
              </w:rPr>
              <w:t>(</w:t>
            </w:r>
            <w:r>
              <w:rPr>
                <w:rFonts w:eastAsia="Times New Roman" w:cs="Times New Roman"/>
                <w:color w:val="000000"/>
                <w:szCs w:val="24"/>
              </w:rPr>
              <w:t>.018</w:t>
            </w:r>
            <w:r w:rsidRPr="00E32C38">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tcPr>
          <w:p w:rsidR="00807EFE" w:rsidRDefault="00807EFE" w:rsidP="00426156">
            <w:pPr>
              <w:jc w:val="center"/>
            </w:pPr>
            <w:r w:rsidRPr="00E32C38">
              <w:rPr>
                <w:rFonts w:eastAsia="Times New Roman" w:cs="Times New Roman"/>
                <w:color w:val="000000"/>
                <w:szCs w:val="24"/>
              </w:rPr>
              <w:t>(</w:t>
            </w:r>
            <w:r>
              <w:rPr>
                <w:rFonts w:eastAsia="Times New Roman" w:cs="Times New Roman"/>
                <w:color w:val="000000"/>
                <w:szCs w:val="24"/>
              </w:rPr>
              <w:t>.019</w:t>
            </w:r>
            <w:r w:rsidRPr="00E32C38">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tcPr>
          <w:p w:rsidR="00807EFE" w:rsidRDefault="00807EFE" w:rsidP="00426156">
            <w:pPr>
              <w:jc w:val="center"/>
            </w:pPr>
            <w:r w:rsidRPr="00E32C38">
              <w:rPr>
                <w:rFonts w:eastAsia="Times New Roman" w:cs="Times New Roman"/>
                <w:color w:val="000000"/>
                <w:szCs w:val="24"/>
              </w:rPr>
              <w:t>(</w:t>
            </w:r>
            <w:r>
              <w:rPr>
                <w:rFonts w:eastAsia="Times New Roman" w:cs="Times New Roman"/>
                <w:color w:val="000000"/>
                <w:szCs w:val="24"/>
              </w:rPr>
              <w:t>.017</w:t>
            </w:r>
            <w:r w:rsidRPr="00E32C38">
              <w:rPr>
                <w:rFonts w:eastAsia="Times New Roman" w:cs="Times New Roman"/>
                <w:color w:val="000000"/>
                <w:szCs w:val="24"/>
              </w:rPr>
              <w:t>)</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2</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−.017</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−.021</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−.027</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(.021)</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(.020)</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(.020)</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Tier 3</w:t>
            </w: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.003</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.005</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(.018)</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(.019)</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(.020)</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Romney Effort</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−.019</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−.017</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−.024</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(.022)</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(.022)</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(.022)</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Early Primary State</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.015</w:t>
            </w: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.014</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.014</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(.016)</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(.017)</w:t>
            </w: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(.015)</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Individual Controls</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Survey Week Fixed Effects</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c>
          <w:tcPr>
            <w:tcW w:w="0" w:type="auto"/>
            <w:tcBorders>
              <w:top w:val="nil"/>
              <w:left w:val="nil"/>
              <w:bottom w:val="nil"/>
              <w:right w:val="nil"/>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X</w:t>
            </w:r>
          </w:p>
        </w:tc>
      </w:tr>
      <w:tr w:rsidR="00807EFE" w:rsidRPr="00A34EAB" w:rsidTr="00426156">
        <w:trPr>
          <w:trHeight w:val="300"/>
          <w:jc w:val="center"/>
        </w:trPr>
        <w:tc>
          <w:tcPr>
            <w:tcW w:w="0" w:type="auto"/>
            <w:tcBorders>
              <w:top w:val="nil"/>
              <w:left w:val="nil"/>
              <w:bottom w:val="nil"/>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Observations</w:t>
            </w:r>
          </w:p>
        </w:tc>
        <w:tc>
          <w:tcPr>
            <w:tcW w:w="0" w:type="auto"/>
            <w:gridSpan w:val="9"/>
            <w:tcBorders>
              <w:top w:val="nil"/>
              <w:left w:val="nil"/>
              <w:bottom w:val="nil"/>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15,998</w:t>
            </w:r>
          </w:p>
        </w:tc>
      </w:tr>
      <w:tr w:rsidR="00807EFE" w:rsidRPr="00A34EAB" w:rsidTr="00426156">
        <w:trPr>
          <w:trHeight w:val="300"/>
          <w:jc w:val="center"/>
        </w:trPr>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R-squared</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.001</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.037</w:t>
            </w:r>
          </w:p>
        </w:tc>
        <w:tc>
          <w:tcPr>
            <w:tcW w:w="0" w:type="auto"/>
            <w:tcBorders>
              <w:top w:val="nil"/>
              <w:left w:val="nil"/>
              <w:bottom w:val="single" w:sz="12" w:space="0" w:color="auto"/>
              <w:right w:val="nil"/>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.037</w:t>
            </w:r>
          </w:p>
        </w:tc>
        <w:tc>
          <w:tcPr>
            <w:tcW w:w="0" w:type="auto"/>
            <w:tcBorders>
              <w:top w:val="nil"/>
              <w:left w:val="nil"/>
              <w:bottom w:val="single" w:sz="12" w:space="0" w:color="auto"/>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.001</w:t>
            </w:r>
          </w:p>
        </w:tc>
        <w:tc>
          <w:tcPr>
            <w:tcW w:w="0" w:type="auto"/>
            <w:tcBorders>
              <w:top w:val="nil"/>
              <w:left w:val="nil"/>
              <w:bottom w:val="single" w:sz="12" w:space="0" w:color="auto"/>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.037</w:t>
            </w:r>
          </w:p>
        </w:tc>
        <w:tc>
          <w:tcPr>
            <w:tcW w:w="0" w:type="auto"/>
            <w:tcBorders>
              <w:top w:val="nil"/>
              <w:left w:val="nil"/>
              <w:bottom w:val="single" w:sz="12" w:space="0" w:color="auto"/>
              <w:right w:val="nil"/>
            </w:tcBorders>
            <w:shd w:val="clear" w:color="auto" w:fill="auto"/>
            <w:noWrap/>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.037</w:t>
            </w:r>
          </w:p>
        </w:tc>
        <w:tc>
          <w:tcPr>
            <w:tcW w:w="0" w:type="auto"/>
            <w:tcBorders>
              <w:top w:val="nil"/>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.001</w:t>
            </w:r>
          </w:p>
        </w:tc>
        <w:tc>
          <w:tcPr>
            <w:tcW w:w="0" w:type="auto"/>
            <w:tcBorders>
              <w:top w:val="nil"/>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.037</w:t>
            </w:r>
          </w:p>
        </w:tc>
        <w:tc>
          <w:tcPr>
            <w:tcW w:w="0" w:type="auto"/>
            <w:tcBorders>
              <w:top w:val="nil"/>
              <w:left w:val="nil"/>
              <w:bottom w:val="single" w:sz="12" w:space="0" w:color="auto"/>
              <w:right w:val="nil"/>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.037</w:t>
            </w:r>
          </w:p>
        </w:tc>
      </w:tr>
    </w:tbl>
    <w:p w:rsidR="00807EFE" w:rsidRDefault="00807EFE" w:rsidP="00807EFE">
      <w:pPr>
        <w:jc w:val="both"/>
        <w:rPr>
          <w:i/>
          <w:szCs w:val="24"/>
        </w:rPr>
      </w:pPr>
      <w:r>
        <w:rPr>
          <w:i/>
        </w:rPr>
        <w:t xml:space="preserve">All variables are defined as in Table 1. Data is from the 2012 CCAP. We analyze responses for the first 16 weeks of 2012, before Romney was the presumptive nominee and before general election campaigning got underway. We find no detectable differences in vote intentions between battleground and non-battleground voters before general election campaigning, providing empirical support for our assumptions that these individuals are comparable in terms of their underlying interests and intentions to vote. </w:t>
      </w:r>
      <w:r w:rsidRPr="00FA3534">
        <w:rPr>
          <w:i/>
          <w:szCs w:val="24"/>
        </w:rPr>
        <w:t>Standard errors, clustere</w:t>
      </w:r>
      <w:r>
        <w:rPr>
          <w:i/>
          <w:szCs w:val="24"/>
        </w:rPr>
        <w:t>d by state, are in parentheses.</w:t>
      </w:r>
    </w:p>
    <w:p w:rsidR="00807EFE" w:rsidRDefault="00807EFE" w:rsidP="00807EFE">
      <w:pPr>
        <w:spacing w:after="200" w:line="276" w:lineRule="auto"/>
        <w:rPr>
          <w:i/>
          <w:szCs w:val="24"/>
        </w:rPr>
      </w:pPr>
      <w:r>
        <w:rPr>
          <w:i/>
          <w:szCs w:val="24"/>
        </w:rPr>
        <w:br w:type="page"/>
      </w:r>
    </w:p>
    <w:p w:rsidR="00807EFE" w:rsidRPr="008F4CEB" w:rsidRDefault="00807EFE" w:rsidP="00807EFE">
      <w:pPr>
        <w:jc w:val="center"/>
        <w:rPr>
          <w:b/>
          <w:szCs w:val="24"/>
        </w:rPr>
      </w:pPr>
      <w:r>
        <w:rPr>
          <w:b/>
          <w:szCs w:val="24"/>
        </w:rPr>
        <w:lastRenderedPageBreak/>
        <w:t>Table A6. Placebo Tests using Demographics</w:t>
      </w:r>
    </w:p>
    <w:tbl>
      <w:tblPr>
        <w:tblW w:w="0" w:type="auto"/>
        <w:tblInd w:w="93" w:type="dxa"/>
        <w:tblLook w:val="04A0" w:firstRow="1" w:lastRow="0" w:firstColumn="1" w:lastColumn="0" w:noHBand="0" w:noVBand="1"/>
      </w:tblPr>
      <w:tblGrid>
        <w:gridCol w:w="2819"/>
        <w:gridCol w:w="889"/>
        <w:gridCol w:w="776"/>
        <w:gridCol w:w="766"/>
        <w:gridCol w:w="1039"/>
        <w:gridCol w:w="766"/>
        <w:gridCol w:w="1194"/>
        <w:gridCol w:w="1194"/>
        <w:gridCol w:w="1306"/>
        <w:gridCol w:w="1726"/>
      </w:tblGrid>
      <w:tr w:rsidR="00807EFE" w:rsidRPr="008F4CEB" w:rsidTr="00426156">
        <w:trPr>
          <w:trHeight w:val="300"/>
        </w:trPr>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rPr>
                <w:rFonts w:eastAsia="Times New Roman" w:cs="Times New Roman"/>
                <w:color w:val="000000"/>
                <w:szCs w:val="24"/>
              </w:rPr>
            </w:pPr>
          </w:p>
        </w:tc>
        <w:tc>
          <w:tcPr>
            <w:tcW w:w="0" w:type="auto"/>
            <w:gridSpan w:val="9"/>
            <w:tcBorders>
              <w:top w:val="single" w:sz="12" w:space="0" w:color="auto"/>
              <w:left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Dependent Variable</w:t>
            </w:r>
          </w:p>
        </w:tc>
      </w:tr>
      <w:tr w:rsidR="00807EFE" w:rsidRPr="008F4CEB" w:rsidTr="00426156">
        <w:trPr>
          <w:trHeight w:val="300"/>
        </w:trPr>
        <w:tc>
          <w:tcPr>
            <w:tcW w:w="0" w:type="auto"/>
            <w:tcBorders>
              <w:top w:val="nil"/>
              <w:left w:val="nil"/>
              <w:bottom w:val="nil"/>
              <w:right w:val="nil"/>
            </w:tcBorders>
            <w:shd w:val="clear" w:color="auto" w:fill="auto"/>
            <w:noWrap/>
            <w:vAlign w:val="bottom"/>
            <w:hideMark/>
          </w:tcPr>
          <w:p w:rsidR="00807EFE" w:rsidRPr="008F4CEB" w:rsidRDefault="00807EFE" w:rsidP="00426156">
            <w:pPr>
              <w:rPr>
                <w:rFonts w:eastAsia="Times New Roman" w:cs="Times New Roman"/>
                <w:color w:val="000000"/>
                <w:szCs w:val="24"/>
              </w:rPr>
            </w:pPr>
          </w:p>
        </w:tc>
        <w:tc>
          <w:tcPr>
            <w:tcW w:w="0" w:type="auto"/>
            <w:tcBorders>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Female</w:t>
            </w:r>
          </w:p>
        </w:tc>
        <w:tc>
          <w:tcPr>
            <w:tcW w:w="0" w:type="auto"/>
            <w:tcBorders>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White</w:t>
            </w:r>
          </w:p>
        </w:tc>
        <w:tc>
          <w:tcPr>
            <w:tcW w:w="0" w:type="auto"/>
            <w:tcBorders>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Black</w:t>
            </w:r>
          </w:p>
        </w:tc>
        <w:tc>
          <w:tcPr>
            <w:tcW w:w="0" w:type="auto"/>
            <w:tcBorders>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Hispanic</w:t>
            </w:r>
          </w:p>
        </w:tc>
        <w:tc>
          <w:tcPr>
            <w:tcW w:w="0" w:type="auto"/>
            <w:tcBorders>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Asian</w:t>
            </w:r>
          </w:p>
        </w:tc>
        <w:tc>
          <w:tcPr>
            <w:tcW w:w="0" w:type="auto"/>
            <w:tcBorders>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Inc. &gt; 20k</w:t>
            </w:r>
          </w:p>
        </w:tc>
        <w:tc>
          <w:tcPr>
            <w:tcW w:w="0" w:type="auto"/>
            <w:tcBorders>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Inc. &gt; 40k</w:t>
            </w:r>
          </w:p>
        </w:tc>
        <w:tc>
          <w:tcPr>
            <w:tcW w:w="0" w:type="auto"/>
            <w:tcBorders>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Inc. &gt; 100k</w:t>
            </w:r>
          </w:p>
        </w:tc>
        <w:tc>
          <w:tcPr>
            <w:tcW w:w="0" w:type="auto"/>
            <w:tcBorders>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Vote Propensity</w:t>
            </w:r>
          </w:p>
        </w:tc>
      </w:tr>
      <w:tr w:rsidR="00807EFE" w:rsidRPr="008F4CEB" w:rsidTr="00426156">
        <w:trPr>
          <w:trHeight w:val="300"/>
        </w:trPr>
        <w:tc>
          <w:tcPr>
            <w:tcW w:w="0" w:type="auto"/>
            <w:tcBorders>
              <w:top w:val="nil"/>
              <w:left w:val="nil"/>
              <w:bottom w:val="nil"/>
              <w:right w:val="nil"/>
            </w:tcBorders>
            <w:shd w:val="clear" w:color="auto" w:fill="auto"/>
            <w:noWrap/>
            <w:vAlign w:val="bottom"/>
            <w:hideMark/>
          </w:tcPr>
          <w:p w:rsidR="00807EFE" w:rsidRPr="008F4CEB" w:rsidRDefault="00807EFE" w:rsidP="00426156">
            <w:pPr>
              <w:rPr>
                <w:rFonts w:eastAsia="Times New Roman" w:cs="Times New Roman"/>
                <w:color w:val="000000"/>
                <w:szCs w:val="24"/>
              </w:rPr>
            </w:pPr>
            <w:r w:rsidRPr="008F4CEB">
              <w:rPr>
                <w:rFonts w:eastAsia="Times New Roman" w:cs="Times New Roman"/>
                <w:color w:val="000000"/>
                <w:szCs w:val="24"/>
              </w:rPr>
              <w:t>Romney</w:t>
            </w:r>
            <w:r>
              <w:rPr>
                <w:rFonts w:eastAsia="Times New Roman" w:cs="Times New Roman"/>
                <w:color w:val="000000"/>
                <w:szCs w:val="24"/>
              </w:rPr>
              <w:t xml:space="preserve"> </w:t>
            </w:r>
            <w:r w:rsidRPr="008F4CEB">
              <w:rPr>
                <w:rFonts w:eastAsia="Times New Roman" w:cs="Times New Roman"/>
                <w:color w:val="000000"/>
                <w:szCs w:val="24"/>
              </w:rPr>
              <w:t>Effort</w:t>
            </w:r>
          </w:p>
        </w:tc>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.046</w:t>
            </w:r>
          </w:p>
        </w:tc>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−.018</w:t>
            </w:r>
          </w:p>
        </w:tc>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−.020</w:t>
            </w:r>
          </w:p>
        </w:tc>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−.007</w:t>
            </w:r>
          </w:p>
        </w:tc>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−.004</w:t>
            </w:r>
          </w:p>
        </w:tc>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−.006</w:t>
            </w:r>
          </w:p>
        </w:tc>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−.005</w:t>
            </w:r>
          </w:p>
        </w:tc>
        <w:tc>
          <w:tcPr>
            <w:tcW w:w="0" w:type="auto"/>
            <w:tcBorders>
              <w:top w:val="single" w:sz="12" w:space="0" w:color="auto"/>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.003</w:t>
            </w:r>
          </w:p>
        </w:tc>
      </w:tr>
      <w:tr w:rsidR="00807EFE" w:rsidRPr="008F4CEB" w:rsidTr="00426156">
        <w:trPr>
          <w:trHeight w:val="300"/>
        </w:trPr>
        <w:tc>
          <w:tcPr>
            <w:tcW w:w="0" w:type="auto"/>
            <w:tcBorders>
              <w:top w:val="nil"/>
              <w:left w:val="nil"/>
              <w:bottom w:val="nil"/>
              <w:right w:val="nil"/>
            </w:tcBorders>
            <w:shd w:val="clear" w:color="auto" w:fill="auto"/>
            <w:noWrap/>
            <w:vAlign w:val="bottom"/>
            <w:hideMark/>
          </w:tcPr>
          <w:p w:rsidR="00807EFE" w:rsidRPr="008F4CEB" w:rsidRDefault="00807EFE" w:rsidP="00426156">
            <w:pPr>
              <w:rPr>
                <w:rFonts w:eastAsia="Times New Roman" w:cs="Times New Roman"/>
                <w:color w:val="000000"/>
                <w:szCs w:val="24"/>
              </w:rPr>
            </w:pP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t>
            </w:r>
            <w:r>
              <w:rPr>
                <w:rFonts w:eastAsia="Times New Roman" w:cs="Times New Roman"/>
                <w:color w:val="000000"/>
                <w:szCs w:val="24"/>
              </w:rPr>
              <w:t>.004</w:t>
            </w:r>
            <w:r w:rsidRPr="008F4CEB">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t>
            </w:r>
            <w:r>
              <w:rPr>
                <w:rFonts w:eastAsia="Times New Roman" w:cs="Times New Roman"/>
                <w:color w:val="000000"/>
                <w:szCs w:val="24"/>
              </w:rPr>
              <w:t>.035</w:t>
            </w:r>
            <w:r w:rsidRPr="008F4CEB">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t>
            </w:r>
            <w:r>
              <w:rPr>
                <w:rFonts w:eastAsia="Times New Roman" w:cs="Times New Roman"/>
                <w:color w:val="000000"/>
                <w:szCs w:val="24"/>
              </w:rPr>
              <w:t>.021</w:t>
            </w:r>
            <w:r w:rsidRPr="008F4CEB">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t>
            </w:r>
            <w:r>
              <w:rPr>
                <w:rFonts w:eastAsia="Times New Roman" w:cs="Times New Roman"/>
                <w:color w:val="000000"/>
                <w:szCs w:val="24"/>
              </w:rPr>
              <w:t>.012</w:t>
            </w:r>
            <w:r w:rsidRPr="008F4CEB">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t>
            </w:r>
            <w:r>
              <w:rPr>
                <w:rFonts w:eastAsia="Times New Roman" w:cs="Times New Roman"/>
                <w:color w:val="000000"/>
                <w:szCs w:val="24"/>
              </w:rPr>
              <w:t>.006</w:t>
            </w:r>
            <w:r w:rsidRPr="008F4CEB">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t>
            </w:r>
            <w:r>
              <w:rPr>
                <w:rFonts w:eastAsia="Times New Roman" w:cs="Times New Roman"/>
                <w:color w:val="000000"/>
                <w:szCs w:val="24"/>
              </w:rPr>
              <w:t>.012</w:t>
            </w:r>
            <w:r w:rsidRPr="008F4CEB">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t>
            </w:r>
            <w:r>
              <w:rPr>
                <w:rFonts w:eastAsia="Times New Roman" w:cs="Times New Roman"/>
                <w:color w:val="000000"/>
                <w:szCs w:val="24"/>
              </w:rPr>
              <w:t>.012</w:t>
            </w:r>
            <w:r w:rsidRPr="008F4CEB">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t>
            </w:r>
            <w:r>
              <w:rPr>
                <w:rFonts w:eastAsia="Times New Roman" w:cs="Times New Roman"/>
                <w:color w:val="000000"/>
                <w:szCs w:val="24"/>
              </w:rPr>
              <w:t>.016</w:t>
            </w:r>
            <w:r w:rsidRPr="008F4CEB">
              <w:rPr>
                <w:rFonts w:eastAsia="Times New Roman" w:cs="Times New Roman"/>
                <w:color w:val="000000"/>
                <w:szCs w:val="24"/>
              </w:rPr>
              <w:t>)</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w:t>
            </w:r>
            <w:r>
              <w:rPr>
                <w:rFonts w:eastAsia="Times New Roman" w:cs="Times New Roman"/>
                <w:color w:val="000000"/>
                <w:szCs w:val="24"/>
              </w:rPr>
              <w:t>.003</w:t>
            </w:r>
            <w:r w:rsidRPr="008F4CEB">
              <w:rPr>
                <w:rFonts w:eastAsia="Times New Roman" w:cs="Times New Roman"/>
                <w:color w:val="000000"/>
                <w:szCs w:val="24"/>
              </w:rPr>
              <w:t>)</w:t>
            </w:r>
          </w:p>
        </w:tc>
      </w:tr>
      <w:tr w:rsidR="00807EFE" w:rsidRPr="008F4CEB" w:rsidTr="00426156">
        <w:trPr>
          <w:trHeight w:val="300"/>
        </w:trPr>
        <w:tc>
          <w:tcPr>
            <w:tcW w:w="0" w:type="auto"/>
            <w:tcBorders>
              <w:top w:val="nil"/>
              <w:left w:val="nil"/>
              <w:bottom w:val="nil"/>
              <w:right w:val="nil"/>
            </w:tcBorders>
            <w:shd w:val="clear" w:color="auto" w:fill="auto"/>
            <w:noWrap/>
            <w:vAlign w:val="bottom"/>
            <w:hideMark/>
          </w:tcPr>
          <w:p w:rsidR="00807EFE" w:rsidRPr="008F4CEB" w:rsidRDefault="00807EFE" w:rsidP="00426156">
            <w:pPr>
              <w:rPr>
                <w:rFonts w:eastAsia="Times New Roman" w:cs="Times New Roman"/>
                <w:color w:val="000000"/>
                <w:szCs w:val="24"/>
              </w:rPr>
            </w:pPr>
            <w:r w:rsidRPr="008F4CEB">
              <w:rPr>
                <w:rFonts w:eastAsia="Times New Roman" w:cs="Times New Roman"/>
                <w:color w:val="000000"/>
                <w:szCs w:val="24"/>
              </w:rPr>
              <w:t>Media Market Fixed Effects</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X</w:t>
            </w:r>
          </w:p>
        </w:tc>
        <w:tc>
          <w:tcPr>
            <w:tcW w:w="0" w:type="auto"/>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X</w:t>
            </w:r>
          </w:p>
        </w:tc>
      </w:tr>
      <w:tr w:rsidR="00807EFE" w:rsidRPr="008F4CEB" w:rsidTr="00426156">
        <w:trPr>
          <w:trHeight w:val="300"/>
        </w:trPr>
        <w:tc>
          <w:tcPr>
            <w:tcW w:w="0" w:type="auto"/>
            <w:tcBorders>
              <w:top w:val="nil"/>
              <w:left w:val="nil"/>
              <w:bottom w:val="nil"/>
              <w:right w:val="nil"/>
            </w:tcBorders>
            <w:shd w:val="clear" w:color="auto" w:fill="auto"/>
            <w:noWrap/>
            <w:vAlign w:val="bottom"/>
            <w:hideMark/>
          </w:tcPr>
          <w:p w:rsidR="00807EFE" w:rsidRPr="008F4CEB" w:rsidRDefault="00807EFE" w:rsidP="00426156">
            <w:pPr>
              <w:rPr>
                <w:rFonts w:eastAsia="Times New Roman" w:cs="Times New Roman"/>
                <w:color w:val="000000"/>
                <w:szCs w:val="24"/>
              </w:rPr>
            </w:pPr>
            <w:r w:rsidRPr="008F4CEB">
              <w:rPr>
                <w:rFonts w:eastAsia="Times New Roman" w:cs="Times New Roman"/>
                <w:color w:val="000000"/>
                <w:szCs w:val="24"/>
              </w:rPr>
              <w:t>N individuals</w:t>
            </w:r>
          </w:p>
        </w:tc>
        <w:tc>
          <w:tcPr>
            <w:tcW w:w="0" w:type="auto"/>
            <w:gridSpan w:val="9"/>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118</w:t>
            </w:r>
            <w:r>
              <w:rPr>
                <w:rFonts w:eastAsia="Times New Roman" w:cs="Times New Roman"/>
                <w:color w:val="000000"/>
                <w:szCs w:val="24"/>
              </w:rPr>
              <w:t>,</w:t>
            </w:r>
            <w:r w:rsidRPr="008F4CEB">
              <w:rPr>
                <w:rFonts w:eastAsia="Times New Roman" w:cs="Times New Roman"/>
                <w:color w:val="000000"/>
                <w:szCs w:val="24"/>
              </w:rPr>
              <w:t>645</w:t>
            </w:r>
            <w:r>
              <w:rPr>
                <w:rFonts w:eastAsia="Times New Roman" w:cs="Times New Roman"/>
                <w:color w:val="000000"/>
                <w:szCs w:val="24"/>
              </w:rPr>
              <w:t>,</w:t>
            </w:r>
            <w:r w:rsidRPr="008F4CEB">
              <w:rPr>
                <w:rFonts w:eastAsia="Times New Roman" w:cs="Times New Roman"/>
                <w:color w:val="000000"/>
                <w:szCs w:val="24"/>
              </w:rPr>
              <w:t>707</w:t>
            </w:r>
          </w:p>
        </w:tc>
      </w:tr>
      <w:tr w:rsidR="00807EFE" w:rsidRPr="008F4CEB" w:rsidTr="00426156">
        <w:trPr>
          <w:trHeight w:val="300"/>
        </w:trPr>
        <w:tc>
          <w:tcPr>
            <w:tcW w:w="0" w:type="auto"/>
            <w:tcBorders>
              <w:top w:val="nil"/>
              <w:left w:val="nil"/>
              <w:bottom w:val="nil"/>
              <w:right w:val="nil"/>
            </w:tcBorders>
            <w:shd w:val="clear" w:color="auto" w:fill="auto"/>
            <w:noWrap/>
            <w:vAlign w:val="bottom"/>
            <w:hideMark/>
          </w:tcPr>
          <w:p w:rsidR="00807EFE" w:rsidRPr="008F4CEB" w:rsidRDefault="00807EFE" w:rsidP="00426156">
            <w:pPr>
              <w:rPr>
                <w:rFonts w:eastAsia="Times New Roman" w:cs="Times New Roman"/>
                <w:color w:val="000000"/>
                <w:szCs w:val="24"/>
              </w:rPr>
            </w:pPr>
            <w:r w:rsidRPr="008F4CEB">
              <w:rPr>
                <w:rFonts w:eastAsia="Times New Roman" w:cs="Times New Roman"/>
                <w:color w:val="000000"/>
                <w:szCs w:val="24"/>
              </w:rPr>
              <w:t>N media markets</w:t>
            </w:r>
          </w:p>
        </w:tc>
        <w:tc>
          <w:tcPr>
            <w:tcW w:w="0" w:type="auto"/>
            <w:gridSpan w:val="9"/>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74</w:t>
            </w:r>
          </w:p>
        </w:tc>
      </w:tr>
      <w:tr w:rsidR="00807EFE" w:rsidRPr="008F4CEB" w:rsidTr="00426156">
        <w:trPr>
          <w:trHeight w:val="300"/>
        </w:trPr>
        <w:tc>
          <w:tcPr>
            <w:tcW w:w="0" w:type="auto"/>
            <w:tcBorders>
              <w:top w:val="nil"/>
              <w:left w:val="nil"/>
              <w:bottom w:val="nil"/>
              <w:right w:val="nil"/>
            </w:tcBorders>
            <w:shd w:val="clear" w:color="auto" w:fill="auto"/>
            <w:noWrap/>
            <w:vAlign w:val="bottom"/>
            <w:hideMark/>
          </w:tcPr>
          <w:p w:rsidR="00807EFE" w:rsidRPr="008F4CEB" w:rsidRDefault="00807EFE" w:rsidP="00426156">
            <w:pPr>
              <w:rPr>
                <w:rFonts w:eastAsia="Times New Roman" w:cs="Times New Roman"/>
                <w:color w:val="000000"/>
                <w:szCs w:val="24"/>
              </w:rPr>
            </w:pPr>
            <w:r w:rsidRPr="008F4CEB">
              <w:rPr>
                <w:rFonts w:eastAsia="Times New Roman" w:cs="Times New Roman"/>
                <w:color w:val="000000"/>
                <w:szCs w:val="24"/>
              </w:rPr>
              <w:t>N states</w:t>
            </w:r>
          </w:p>
        </w:tc>
        <w:tc>
          <w:tcPr>
            <w:tcW w:w="0" w:type="auto"/>
            <w:gridSpan w:val="9"/>
            <w:tcBorders>
              <w:top w:val="nil"/>
              <w:left w:val="nil"/>
              <w:bottom w:val="nil"/>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sidRPr="008F4CEB">
              <w:rPr>
                <w:rFonts w:eastAsia="Times New Roman" w:cs="Times New Roman"/>
                <w:color w:val="000000"/>
                <w:szCs w:val="24"/>
              </w:rPr>
              <w:t>48</w:t>
            </w:r>
          </w:p>
        </w:tc>
      </w:tr>
      <w:tr w:rsidR="00807EFE" w:rsidRPr="008F4CEB" w:rsidTr="00426156">
        <w:trPr>
          <w:trHeight w:val="300"/>
        </w:trPr>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rPr>
                <w:rFonts w:eastAsia="Times New Roman" w:cs="Times New Roman"/>
                <w:color w:val="000000"/>
                <w:szCs w:val="24"/>
              </w:rPr>
            </w:pPr>
            <w:r w:rsidRPr="008F4CEB">
              <w:rPr>
                <w:rFonts w:eastAsia="Times New Roman" w:cs="Times New Roman"/>
                <w:color w:val="000000"/>
                <w:szCs w:val="24"/>
              </w:rPr>
              <w:t>R-squared</w:t>
            </w:r>
          </w:p>
        </w:tc>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.001</w:t>
            </w:r>
          </w:p>
        </w:tc>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.100</w:t>
            </w:r>
          </w:p>
        </w:tc>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.088</w:t>
            </w:r>
          </w:p>
        </w:tc>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.092</w:t>
            </w:r>
          </w:p>
        </w:tc>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.010</w:t>
            </w:r>
          </w:p>
        </w:tc>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.011</w:t>
            </w:r>
          </w:p>
        </w:tc>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.020</w:t>
            </w:r>
          </w:p>
        </w:tc>
        <w:tc>
          <w:tcPr>
            <w:tcW w:w="0" w:type="auto"/>
            <w:tcBorders>
              <w:top w:val="nil"/>
              <w:left w:val="nil"/>
              <w:bottom w:val="single" w:sz="12" w:space="0" w:color="auto"/>
              <w:right w:val="nil"/>
            </w:tcBorders>
            <w:shd w:val="clear" w:color="auto" w:fill="auto"/>
            <w:noWrap/>
            <w:vAlign w:val="bottom"/>
            <w:hideMark/>
          </w:tcPr>
          <w:p w:rsidR="00807EFE" w:rsidRPr="008F4CEB" w:rsidRDefault="00807EFE" w:rsidP="00426156">
            <w:pPr>
              <w:jc w:val="center"/>
              <w:rPr>
                <w:rFonts w:eastAsia="Times New Roman" w:cs="Times New Roman"/>
                <w:color w:val="000000"/>
                <w:szCs w:val="24"/>
              </w:rPr>
            </w:pPr>
            <w:r>
              <w:rPr>
                <w:rFonts w:eastAsia="Times New Roman" w:cs="Times New Roman"/>
                <w:color w:val="000000"/>
                <w:szCs w:val="24"/>
              </w:rPr>
              <w:t>.016</w:t>
            </w:r>
          </w:p>
        </w:tc>
      </w:tr>
    </w:tbl>
    <w:p w:rsidR="00807EFE" w:rsidRPr="008F4CEB" w:rsidRDefault="00807EFE" w:rsidP="00807EFE">
      <w:pPr>
        <w:rPr>
          <w:i/>
          <w:szCs w:val="24"/>
        </w:rPr>
      </w:pPr>
      <w:r w:rsidRPr="008F4CEB">
        <w:rPr>
          <w:i/>
          <w:szCs w:val="24"/>
        </w:rPr>
        <w:t>Standard errors, clustered by state, are in parentheses.</w:t>
      </w:r>
    </w:p>
    <w:p w:rsidR="00807EFE" w:rsidRDefault="00807EFE" w:rsidP="00807EFE">
      <w:pPr>
        <w:jc w:val="both"/>
        <w:rPr>
          <w:i/>
          <w:szCs w:val="24"/>
        </w:rPr>
      </w:pPr>
    </w:p>
    <w:p w:rsidR="00807EFE" w:rsidRPr="00F72A22" w:rsidRDefault="00807EFE" w:rsidP="00807EFE">
      <w:pPr>
        <w:spacing w:line="480" w:lineRule="auto"/>
        <w:jc w:val="both"/>
        <w:rPr>
          <w:szCs w:val="24"/>
        </w:rPr>
      </w:pPr>
    </w:p>
    <w:p w:rsidR="00807EFE" w:rsidRDefault="00807EFE" w:rsidP="00807EFE">
      <w:pPr>
        <w:spacing w:line="480" w:lineRule="auto"/>
        <w:jc w:val="center"/>
        <w:rPr>
          <w:b/>
          <w:szCs w:val="24"/>
        </w:rPr>
      </w:pPr>
    </w:p>
    <w:p w:rsidR="00807EFE" w:rsidRDefault="00807EFE" w:rsidP="00807EFE">
      <w:pPr>
        <w:spacing w:line="276" w:lineRule="auto"/>
        <w:rPr>
          <w:b/>
          <w:szCs w:val="24"/>
        </w:rPr>
      </w:pPr>
      <w:r>
        <w:rPr>
          <w:b/>
          <w:szCs w:val="24"/>
        </w:rPr>
        <w:br w:type="page"/>
      </w:r>
    </w:p>
    <w:p w:rsidR="00807EFE" w:rsidRDefault="00807EFE" w:rsidP="00807EFE">
      <w:pPr>
        <w:spacing w:line="480" w:lineRule="auto"/>
        <w:jc w:val="both"/>
        <w:rPr>
          <w:b/>
          <w:szCs w:val="24"/>
        </w:rPr>
        <w:sectPr w:rsidR="00807EFE" w:rsidSect="00426156">
          <w:pgSz w:w="15840" w:h="12240" w:orient="landscape"/>
          <w:pgMar w:top="1440" w:right="1440" w:bottom="1440" w:left="1440" w:header="720" w:footer="720" w:gutter="0"/>
          <w:cols w:space="720"/>
          <w:docGrid w:linePitch="360"/>
        </w:sectPr>
      </w:pPr>
    </w:p>
    <w:p w:rsidR="00807EFE" w:rsidRPr="00D378A9" w:rsidRDefault="00807EFE" w:rsidP="00807EFE">
      <w:pPr>
        <w:spacing w:line="480" w:lineRule="auto"/>
        <w:jc w:val="both"/>
        <w:rPr>
          <w:b/>
        </w:rPr>
      </w:pPr>
      <w:r w:rsidRPr="00D378A9">
        <w:rPr>
          <w:b/>
        </w:rPr>
        <w:lastRenderedPageBreak/>
        <w:t xml:space="preserve">Separating the Effects of Internet Advertising </w:t>
      </w:r>
      <w:r>
        <w:rPr>
          <w:b/>
        </w:rPr>
        <w:t>and the Ground Campaign</w:t>
      </w:r>
    </w:p>
    <w:p w:rsidR="00807EFE" w:rsidRDefault="00807EFE" w:rsidP="00807EFE">
      <w:pPr>
        <w:spacing w:line="480" w:lineRule="auto"/>
        <w:jc w:val="both"/>
        <w:rPr>
          <w:szCs w:val="24"/>
        </w:rPr>
      </w:pPr>
      <w:r>
        <w:tab/>
        <w:t xml:space="preserve">We test the relative importance of digital vs. ground campaigning by utilizing data from the Obama campaign on their digital campaigning activities in each state. </w:t>
      </w:r>
      <w:r>
        <w:rPr>
          <w:szCs w:val="24"/>
        </w:rPr>
        <w:t>Specifically, we acquired information on dollars spent on digital campaigning and advertisements run in each state.</w:t>
      </w:r>
      <w:r>
        <w:rPr>
          <w:rStyle w:val="FootnoteReference"/>
          <w:szCs w:val="24"/>
        </w:rPr>
        <w:footnoteReference w:id="6"/>
      </w:r>
      <w:r>
        <w:rPr>
          <w:szCs w:val="24"/>
        </w:rPr>
        <w:t xml:space="preserve"> As with ground campaign effort, we divide the dollars spent by the voting-eligible population in each state and rescale this variable to range from 0 to 1. Table A7 presents the total digital expenditures of the Obama campaign in each state. The campaign also spent 1.8 million dollars on nationwide digital advertising (not included in the table) that was not geographically targeted, explaining why residents of other states may have seen some digital ads. As expected, digital advertising varied significantly across states with virtually no such activity in 41 states or DC. In Iowa, the Obama campaign spent almost one dollar per eligible voter, and they also made significant digital efforts in Colorado, Nevada, Ohio, and New Hampshire. Also as expected, digital and GOTV campaign effort are highly correlated across states, but enough variation exists that we can include both in a regression to estimate the relative importance of each strategy. Specifically, we repeat the regressions from Columns 7-9 of Table 1 but also include the continuous variable indicating digital effort which also ranges from 0 to 1. In other words, we </w:t>
      </w:r>
      <w:proofErr w:type="gramStart"/>
      <w:r>
        <w:rPr>
          <w:szCs w:val="24"/>
        </w:rPr>
        <w:t>regress</w:t>
      </w:r>
      <w:proofErr w:type="gramEnd"/>
      <w:r>
        <w:rPr>
          <w:szCs w:val="24"/>
        </w:rPr>
        <w:t xml:space="preserve"> voter turnout on continuous measures of ground effort and digital effort along with media market fixed effects and several control variables. Table A8 presents the results. </w:t>
      </w:r>
    </w:p>
    <w:p w:rsidR="00807EFE" w:rsidRDefault="00807EFE" w:rsidP="00807EFE">
      <w:pPr>
        <w:spacing w:line="480" w:lineRule="auto"/>
        <w:jc w:val="both"/>
        <w:rPr>
          <w:szCs w:val="24"/>
        </w:rPr>
      </w:pPr>
      <w:r>
        <w:rPr>
          <w:szCs w:val="24"/>
        </w:rPr>
        <w:tab/>
        <w:t>Consistent with our previous claim that our results are largely explained by traditional ground campaigning, we see that the coefficients for ground effort are similar to those in Table 1, while the coefficients for digital campaign effort are actually negative.</w:t>
      </w:r>
      <w:r>
        <w:rPr>
          <w:rStyle w:val="FootnoteReference"/>
          <w:szCs w:val="24"/>
        </w:rPr>
        <w:footnoteReference w:id="7"/>
      </w:r>
      <w:r>
        <w:rPr>
          <w:szCs w:val="24"/>
        </w:rPr>
        <w:t xml:space="preserve"> Of course, the strong </w:t>
      </w:r>
      <w:r>
        <w:rPr>
          <w:szCs w:val="24"/>
        </w:rPr>
        <w:lastRenderedPageBreak/>
        <w:t>correlations between ground and digital effort mean that these results should not be interpreted too strongly. Nonetheless, to the extent that we detect effects of campaigning on turnout, it appears to be attributable to the traditional forms of GOTV campaigning that have consistently been shown to boost turnout in experimental studies.</w:t>
      </w:r>
    </w:p>
    <w:p w:rsidR="00807EFE" w:rsidRPr="009F4E08" w:rsidRDefault="00807EFE" w:rsidP="00807EFE">
      <w:pPr>
        <w:spacing w:line="480" w:lineRule="auto"/>
        <w:jc w:val="both"/>
        <w:rPr>
          <w:szCs w:val="24"/>
        </w:rPr>
      </w:pPr>
    </w:p>
    <w:p w:rsidR="00807EFE" w:rsidRDefault="00807EFE" w:rsidP="00807EFE">
      <w:pPr>
        <w:spacing w:after="200" w:line="276" w:lineRule="auto"/>
        <w:rPr>
          <w:b/>
          <w:szCs w:val="24"/>
        </w:rPr>
      </w:pPr>
      <w:r>
        <w:rPr>
          <w:b/>
          <w:szCs w:val="24"/>
        </w:rPr>
        <w:br w:type="page"/>
      </w:r>
    </w:p>
    <w:p w:rsidR="00807EFE" w:rsidRDefault="00807EFE" w:rsidP="00807EFE">
      <w:pPr>
        <w:jc w:val="center"/>
        <w:rPr>
          <w:b/>
          <w:szCs w:val="24"/>
        </w:rPr>
      </w:pPr>
      <w:r>
        <w:rPr>
          <w:b/>
          <w:szCs w:val="24"/>
        </w:rPr>
        <w:lastRenderedPageBreak/>
        <w:t>Table A7. Data on Obama Digital Expenditures by State</w:t>
      </w:r>
    </w:p>
    <w:tbl>
      <w:tblPr>
        <w:tblW w:w="0" w:type="auto"/>
        <w:jc w:val="center"/>
        <w:tblInd w:w="93" w:type="dxa"/>
        <w:tblLook w:val="04A0" w:firstRow="1" w:lastRow="0" w:firstColumn="1" w:lastColumn="0" w:noHBand="0" w:noVBand="1"/>
      </w:tblPr>
      <w:tblGrid>
        <w:gridCol w:w="1754"/>
        <w:gridCol w:w="2144"/>
        <w:gridCol w:w="2718"/>
        <w:gridCol w:w="1731"/>
      </w:tblGrid>
      <w:tr w:rsidR="00807EFE" w:rsidRPr="009F4E08" w:rsidTr="00426156">
        <w:trPr>
          <w:trHeight w:val="315"/>
          <w:jc w:val="center"/>
        </w:trPr>
        <w:tc>
          <w:tcPr>
            <w:tcW w:w="0" w:type="auto"/>
            <w:tcBorders>
              <w:top w:val="single" w:sz="12" w:space="0" w:color="auto"/>
              <w:left w:val="nil"/>
              <w:bottom w:val="single" w:sz="12" w:space="0" w:color="auto"/>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State</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Digital Expenditures</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Voting-Eligible Population</w:t>
            </w:r>
          </w:p>
        </w:tc>
        <w:tc>
          <w:tcPr>
            <w:tcW w:w="0" w:type="auto"/>
            <w:tcBorders>
              <w:top w:val="single" w:sz="12" w:space="0" w:color="auto"/>
              <w:left w:val="nil"/>
              <w:bottom w:val="single" w:sz="12" w:space="0" w:color="auto"/>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Cost Per Person</w:t>
            </w:r>
          </w:p>
        </w:tc>
      </w:tr>
      <w:tr w:rsidR="00807EFE" w:rsidRPr="009F4E08" w:rsidTr="00426156">
        <w:trPr>
          <w:trHeight w:val="315"/>
          <w:jc w:val="center"/>
        </w:trPr>
        <w:tc>
          <w:tcPr>
            <w:tcW w:w="0" w:type="auto"/>
            <w:tcBorders>
              <w:top w:val="single" w:sz="12" w:space="0" w:color="auto"/>
              <w:left w:val="nil"/>
              <w:bottom w:val="nil"/>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Iowa</w:t>
            </w:r>
          </w:p>
        </w:tc>
        <w:tc>
          <w:tcPr>
            <w:tcW w:w="0" w:type="auto"/>
            <w:tcBorders>
              <w:top w:val="single" w:sz="12" w:space="0" w:color="auto"/>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Pr>
                <w:rFonts w:eastAsia="Times New Roman" w:cs="Times New Roman"/>
                <w:color w:val="000000"/>
                <w:szCs w:val="24"/>
              </w:rPr>
              <w:t>$</w:t>
            </w:r>
            <w:r w:rsidRPr="009F4E08">
              <w:rPr>
                <w:rFonts w:eastAsia="Times New Roman" w:cs="Times New Roman"/>
                <w:color w:val="000000"/>
                <w:szCs w:val="24"/>
              </w:rPr>
              <w:t>2,152,923</w:t>
            </w:r>
          </w:p>
        </w:tc>
        <w:tc>
          <w:tcPr>
            <w:tcW w:w="0" w:type="auto"/>
            <w:tcBorders>
              <w:top w:val="single" w:sz="12" w:space="0" w:color="auto"/>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2,263,375</w:t>
            </w:r>
          </w:p>
        </w:tc>
        <w:tc>
          <w:tcPr>
            <w:tcW w:w="0" w:type="auto"/>
            <w:tcBorders>
              <w:top w:val="single" w:sz="12" w:space="0" w:color="auto"/>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 xml:space="preserve">$0.95 </w:t>
            </w:r>
          </w:p>
        </w:tc>
      </w:tr>
      <w:tr w:rsidR="00807EFE" w:rsidRPr="009F4E08" w:rsidTr="00426156">
        <w:trPr>
          <w:trHeight w:val="315"/>
          <w:jc w:val="center"/>
        </w:trPr>
        <w:tc>
          <w:tcPr>
            <w:tcW w:w="0" w:type="auto"/>
            <w:tcBorders>
              <w:top w:val="nil"/>
              <w:left w:val="nil"/>
              <w:bottom w:val="nil"/>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Colorado</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Pr>
                <w:rFonts w:eastAsia="Times New Roman" w:cs="Times New Roman"/>
                <w:color w:val="000000"/>
                <w:szCs w:val="24"/>
              </w:rPr>
              <w:t>$</w:t>
            </w:r>
            <w:r w:rsidRPr="009F4E08">
              <w:rPr>
                <w:rFonts w:eastAsia="Times New Roman" w:cs="Times New Roman"/>
                <w:color w:val="000000"/>
                <w:szCs w:val="24"/>
              </w:rPr>
              <w:t>1,203,553</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3,654,045</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 xml:space="preserve">$0.33 </w:t>
            </w:r>
          </w:p>
        </w:tc>
      </w:tr>
      <w:tr w:rsidR="00807EFE" w:rsidRPr="009F4E08" w:rsidTr="00426156">
        <w:trPr>
          <w:trHeight w:val="315"/>
          <w:jc w:val="center"/>
        </w:trPr>
        <w:tc>
          <w:tcPr>
            <w:tcW w:w="0" w:type="auto"/>
            <w:tcBorders>
              <w:top w:val="nil"/>
              <w:left w:val="nil"/>
              <w:bottom w:val="nil"/>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Nevada</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Pr>
                <w:rFonts w:eastAsia="Times New Roman" w:cs="Times New Roman"/>
                <w:color w:val="000000"/>
                <w:szCs w:val="24"/>
              </w:rPr>
              <w:t>$</w:t>
            </w:r>
            <w:r w:rsidRPr="009F4E08">
              <w:rPr>
                <w:rFonts w:eastAsia="Times New Roman" w:cs="Times New Roman"/>
                <w:color w:val="000000"/>
                <w:szCs w:val="24"/>
              </w:rPr>
              <w:t>341,847</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1,776,403</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 xml:space="preserve">$0.19 </w:t>
            </w:r>
          </w:p>
        </w:tc>
      </w:tr>
      <w:tr w:rsidR="00807EFE" w:rsidRPr="009F4E08" w:rsidTr="00426156">
        <w:trPr>
          <w:trHeight w:val="315"/>
          <w:jc w:val="center"/>
        </w:trPr>
        <w:tc>
          <w:tcPr>
            <w:tcW w:w="0" w:type="auto"/>
            <w:tcBorders>
              <w:top w:val="nil"/>
              <w:left w:val="nil"/>
              <w:bottom w:val="nil"/>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Ohio</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Pr>
                <w:rFonts w:eastAsia="Times New Roman" w:cs="Times New Roman"/>
                <w:color w:val="000000"/>
                <w:szCs w:val="24"/>
              </w:rPr>
              <w:t>$</w:t>
            </w:r>
            <w:r w:rsidRPr="009F4E08">
              <w:rPr>
                <w:rFonts w:eastAsia="Times New Roman" w:cs="Times New Roman"/>
                <w:color w:val="000000"/>
                <w:szCs w:val="24"/>
              </w:rPr>
              <w:t>942,067</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8,644,958</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 xml:space="preserve">$0.11 </w:t>
            </w:r>
          </w:p>
        </w:tc>
      </w:tr>
      <w:tr w:rsidR="00807EFE" w:rsidRPr="009F4E08" w:rsidTr="00426156">
        <w:trPr>
          <w:trHeight w:val="315"/>
          <w:jc w:val="center"/>
        </w:trPr>
        <w:tc>
          <w:tcPr>
            <w:tcW w:w="0" w:type="auto"/>
            <w:tcBorders>
              <w:top w:val="nil"/>
              <w:left w:val="nil"/>
              <w:bottom w:val="nil"/>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New Hampshire</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Pr>
                <w:rFonts w:eastAsia="Times New Roman" w:cs="Times New Roman"/>
                <w:color w:val="000000"/>
                <w:szCs w:val="24"/>
              </w:rPr>
              <w:t>$</w:t>
            </w:r>
            <w:r w:rsidRPr="009F4E08">
              <w:rPr>
                <w:rFonts w:eastAsia="Times New Roman" w:cs="Times New Roman"/>
                <w:color w:val="000000"/>
                <w:szCs w:val="24"/>
              </w:rPr>
              <w:t>107,297</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1,013,741</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 xml:space="preserve">$0.11 </w:t>
            </w:r>
          </w:p>
        </w:tc>
      </w:tr>
      <w:tr w:rsidR="00807EFE" w:rsidRPr="009F4E08" w:rsidTr="00426156">
        <w:trPr>
          <w:trHeight w:val="315"/>
          <w:jc w:val="center"/>
        </w:trPr>
        <w:tc>
          <w:tcPr>
            <w:tcW w:w="0" w:type="auto"/>
            <w:tcBorders>
              <w:top w:val="nil"/>
              <w:left w:val="nil"/>
              <w:bottom w:val="nil"/>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Wisconsin</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Pr>
                <w:rFonts w:eastAsia="Times New Roman" w:cs="Times New Roman"/>
                <w:color w:val="000000"/>
                <w:szCs w:val="24"/>
              </w:rPr>
              <w:t>$</w:t>
            </w:r>
            <w:r w:rsidRPr="009F4E08">
              <w:rPr>
                <w:rFonts w:eastAsia="Times New Roman" w:cs="Times New Roman"/>
                <w:color w:val="000000"/>
                <w:szCs w:val="24"/>
              </w:rPr>
              <w:t>328,833</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4,233,992</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 xml:space="preserve">$0.08 </w:t>
            </w:r>
          </w:p>
        </w:tc>
      </w:tr>
      <w:tr w:rsidR="00807EFE" w:rsidRPr="009F4E08" w:rsidTr="00426156">
        <w:trPr>
          <w:trHeight w:val="315"/>
          <w:jc w:val="center"/>
        </w:trPr>
        <w:tc>
          <w:tcPr>
            <w:tcW w:w="0" w:type="auto"/>
            <w:tcBorders>
              <w:top w:val="nil"/>
              <w:left w:val="nil"/>
              <w:bottom w:val="nil"/>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Virginia</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Pr>
                <w:rFonts w:eastAsia="Times New Roman" w:cs="Times New Roman"/>
                <w:color w:val="000000"/>
                <w:szCs w:val="24"/>
              </w:rPr>
              <w:t>$</w:t>
            </w:r>
            <w:r w:rsidRPr="009F4E08">
              <w:rPr>
                <w:rFonts w:eastAsia="Times New Roman" w:cs="Times New Roman"/>
                <w:color w:val="000000"/>
                <w:szCs w:val="24"/>
              </w:rPr>
              <w:t>353,110</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5,808,768</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 xml:space="preserve">$0.06 </w:t>
            </w:r>
          </w:p>
        </w:tc>
      </w:tr>
      <w:tr w:rsidR="00807EFE" w:rsidRPr="009F4E08" w:rsidTr="00426156">
        <w:trPr>
          <w:trHeight w:val="315"/>
          <w:jc w:val="center"/>
        </w:trPr>
        <w:tc>
          <w:tcPr>
            <w:tcW w:w="0" w:type="auto"/>
            <w:tcBorders>
              <w:top w:val="nil"/>
              <w:left w:val="nil"/>
              <w:bottom w:val="nil"/>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Florida</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Pr>
                <w:rFonts w:eastAsia="Times New Roman" w:cs="Times New Roman"/>
                <w:color w:val="000000"/>
                <w:szCs w:val="24"/>
              </w:rPr>
              <w:t>$</w:t>
            </w:r>
            <w:r w:rsidRPr="009F4E08">
              <w:rPr>
                <w:rFonts w:eastAsia="Times New Roman" w:cs="Times New Roman"/>
                <w:color w:val="000000"/>
                <w:szCs w:val="24"/>
              </w:rPr>
              <w:t>803,499</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13,348,802</w:t>
            </w:r>
          </w:p>
        </w:tc>
        <w:tc>
          <w:tcPr>
            <w:tcW w:w="0" w:type="auto"/>
            <w:tcBorders>
              <w:top w:val="nil"/>
              <w:left w:val="nil"/>
              <w:bottom w:val="nil"/>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 xml:space="preserve">$0.06 </w:t>
            </w:r>
          </w:p>
        </w:tc>
      </w:tr>
      <w:tr w:rsidR="00807EFE" w:rsidRPr="009F4E08" w:rsidTr="00426156">
        <w:trPr>
          <w:trHeight w:val="315"/>
          <w:jc w:val="center"/>
        </w:trPr>
        <w:tc>
          <w:tcPr>
            <w:tcW w:w="0" w:type="auto"/>
            <w:tcBorders>
              <w:top w:val="nil"/>
              <w:left w:val="nil"/>
              <w:bottom w:val="single" w:sz="12" w:space="0" w:color="auto"/>
              <w:right w:val="nil"/>
            </w:tcBorders>
            <w:shd w:val="clear" w:color="auto" w:fill="auto"/>
            <w:noWrap/>
            <w:vAlign w:val="bottom"/>
            <w:hideMark/>
          </w:tcPr>
          <w:p w:rsidR="00807EFE" w:rsidRPr="009F4E08" w:rsidRDefault="00807EFE" w:rsidP="00426156">
            <w:pPr>
              <w:rPr>
                <w:rFonts w:eastAsia="Times New Roman" w:cs="Times New Roman"/>
                <w:color w:val="000000"/>
                <w:szCs w:val="24"/>
              </w:rPr>
            </w:pPr>
            <w:r w:rsidRPr="009F4E08">
              <w:rPr>
                <w:rFonts w:eastAsia="Times New Roman" w:cs="Times New Roman"/>
                <w:color w:val="000000"/>
                <w:szCs w:val="24"/>
              </w:rPr>
              <w:t>North Carolina</w:t>
            </w:r>
          </w:p>
        </w:tc>
        <w:tc>
          <w:tcPr>
            <w:tcW w:w="0" w:type="auto"/>
            <w:tcBorders>
              <w:top w:val="nil"/>
              <w:left w:val="nil"/>
              <w:bottom w:val="single" w:sz="12" w:space="0" w:color="auto"/>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Pr>
                <w:rFonts w:eastAsia="Times New Roman" w:cs="Times New Roman"/>
                <w:color w:val="000000"/>
                <w:szCs w:val="24"/>
              </w:rPr>
              <w:t>$</w:t>
            </w:r>
            <w:r w:rsidRPr="009F4E08">
              <w:rPr>
                <w:rFonts w:eastAsia="Times New Roman" w:cs="Times New Roman"/>
                <w:color w:val="000000"/>
                <w:szCs w:val="24"/>
              </w:rPr>
              <w:t>331,661</w:t>
            </w:r>
          </w:p>
        </w:tc>
        <w:tc>
          <w:tcPr>
            <w:tcW w:w="0" w:type="auto"/>
            <w:tcBorders>
              <w:top w:val="nil"/>
              <w:left w:val="nil"/>
              <w:bottom w:val="single" w:sz="12" w:space="0" w:color="auto"/>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6,970,868</w:t>
            </w:r>
          </w:p>
        </w:tc>
        <w:tc>
          <w:tcPr>
            <w:tcW w:w="0" w:type="auto"/>
            <w:tcBorders>
              <w:top w:val="nil"/>
              <w:left w:val="nil"/>
              <w:bottom w:val="single" w:sz="12" w:space="0" w:color="auto"/>
              <w:right w:val="nil"/>
            </w:tcBorders>
            <w:shd w:val="clear" w:color="auto" w:fill="auto"/>
            <w:noWrap/>
            <w:vAlign w:val="bottom"/>
            <w:hideMark/>
          </w:tcPr>
          <w:p w:rsidR="00807EFE" w:rsidRPr="009F4E08" w:rsidRDefault="00807EFE" w:rsidP="00426156">
            <w:pPr>
              <w:jc w:val="center"/>
              <w:rPr>
                <w:rFonts w:eastAsia="Times New Roman" w:cs="Times New Roman"/>
                <w:color w:val="000000"/>
                <w:szCs w:val="24"/>
              </w:rPr>
            </w:pPr>
            <w:r w:rsidRPr="009F4E08">
              <w:rPr>
                <w:rFonts w:eastAsia="Times New Roman" w:cs="Times New Roman"/>
                <w:color w:val="000000"/>
                <w:szCs w:val="24"/>
              </w:rPr>
              <w:t xml:space="preserve">$0.05 </w:t>
            </w:r>
          </w:p>
        </w:tc>
      </w:tr>
    </w:tbl>
    <w:p w:rsidR="00807EFE" w:rsidRDefault="00807EFE" w:rsidP="00807EFE">
      <w:pPr>
        <w:jc w:val="center"/>
        <w:rPr>
          <w:b/>
          <w:szCs w:val="24"/>
        </w:rPr>
      </w:pPr>
    </w:p>
    <w:p w:rsidR="00807EFE" w:rsidRDefault="00807EFE" w:rsidP="00807EFE">
      <w:pPr>
        <w:jc w:val="center"/>
        <w:rPr>
          <w:b/>
          <w:szCs w:val="24"/>
        </w:rPr>
      </w:pPr>
    </w:p>
    <w:p w:rsidR="00807EFE" w:rsidRDefault="00807EFE" w:rsidP="00807EFE">
      <w:pPr>
        <w:ind w:left="720" w:hanging="720"/>
        <w:jc w:val="center"/>
        <w:rPr>
          <w:b/>
          <w:szCs w:val="24"/>
        </w:rPr>
      </w:pPr>
    </w:p>
    <w:p w:rsidR="00807EFE" w:rsidRDefault="00807EFE" w:rsidP="00807EFE">
      <w:pPr>
        <w:ind w:left="720" w:hanging="720"/>
        <w:jc w:val="center"/>
        <w:rPr>
          <w:b/>
          <w:szCs w:val="24"/>
        </w:rPr>
      </w:pPr>
      <w:r>
        <w:rPr>
          <w:b/>
          <w:szCs w:val="24"/>
        </w:rPr>
        <w:t>Table A8. Separating Effects of the Digital Campaign and Traditional GOTV</w:t>
      </w:r>
    </w:p>
    <w:tbl>
      <w:tblPr>
        <w:tblW w:w="0" w:type="auto"/>
        <w:jc w:val="center"/>
        <w:tblInd w:w="93" w:type="dxa"/>
        <w:tblLook w:val="04A0" w:firstRow="1" w:lastRow="0" w:firstColumn="1" w:lastColumn="0" w:noHBand="0" w:noVBand="1"/>
      </w:tblPr>
      <w:tblGrid>
        <w:gridCol w:w="2819"/>
        <w:gridCol w:w="909"/>
        <w:gridCol w:w="909"/>
        <w:gridCol w:w="909"/>
      </w:tblGrid>
      <w:tr w:rsidR="00807EFE" w:rsidRPr="00A34EAB" w:rsidTr="00426156">
        <w:trPr>
          <w:trHeight w:val="300"/>
          <w:jc w:val="center"/>
        </w:trPr>
        <w:tc>
          <w:tcPr>
            <w:tcW w:w="0" w:type="auto"/>
            <w:tcBorders>
              <w:top w:val="single" w:sz="12" w:space="0" w:color="auto"/>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gridSpan w:val="3"/>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DV = 2012 Voter Turnout</w:t>
            </w:r>
          </w:p>
        </w:tc>
      </w:tr>
      <w:tr w:rsidR="00807EFE" w:rsidRPr="00A34EAB" w:rsidTr="00426156">
        <w:trPr>
          <w:trHeight w:val="300"/>
          <w:jc w:val="center"/>
        </w:trPr>
        <w:tc>
          <w:tcPr>
            <w:tcW w:w="0" w:type="auto"/>
            <w:tcBorders>
              <w:bottom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(2)</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(3)</w:t>
            </w:r>
          </w:p>
        </w:tc>
      </w:tr>
      <w:tr w:rsidR="00807EFE" w:rsidRPr="00A34EAB" w:rsidTr="00426156">
        <w:trPr>
          <w:trHeight w:val="300"/>
          <w:jc w:val="center"/>
        </w:trPr>
        <w:tc>
          <w:tcPr>
            <w:tcW w:w="0" w:type="auto"/>
            <w:tcBorders>
              <w:top w:val="single" w:sz="12" w:space="0" w:color="auto"/>
            </w:tcBorders>
            <w:shd w:val="clear" w:color="auto" w:fill="auto"/>
            <w:noWrap/>
            <w:vAlign w:val="bottom"/>
            <w:hideMark/>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Ground Effort</w:t>
            </w: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.091</w:t>
            </w: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.091</w:t>
            </w: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.080</w:t>
            </w: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(.014)</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(.016)</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Digital Effort</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−.041</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−.044</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−.042</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(.014)</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(.015)</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(.015)</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Media Market Fixed Effects</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Individual Controls</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Control for 2010 Turnout</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individuals</w:t>
            </w:r>
          </w:p>
        </w:tc>
        <w:tc>
          <w:tcPr>
            <w:tcW w:w="0" w:type="auto"/>
            <w:gridSpan w:val="3"/>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118,645,707</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media markets</w:t>
            </w:r>
          </w:p>
        </w:tc>
        <w:tc>
          <w:tcPr>
            <w:tcW w:w="0" w:type="auto"/>
            <w:gridSpan w:val="3"/>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74</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states</w:t>
            </w:r>
          </w:p>
        </w:tc>
        <w:tc>
          <w:tcPr>
            <w:tcW w:w="0" w:type="auto"/>
            <w:gridSpan w:val="3"/>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48</w:t>
            </w:r>
          </w:p>
        </w:tc>
      </w:tr>
      <w:tr w:rsidR="00807EFE" w:rsidRPr="00A34EAB" w:rsidTr="00426156">
        <w:trPr>
          <w:trHeight w:val="300"/>
          <w:jc w:val="center"/>
        </w:trPr>
        <w:tc>
          <w:tcPr>
            <w:tcW w:w="0" w:type="auto"/>
            <w:tcBorders>
              <w:bottom w:val="single" w:sz="12" w:space="0" w:color="auto"/>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R-squared</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.019</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.104</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.624</w:t>
            </w:r>
          </w:p>
        </w:tc>
      </w:tr>
    </w:tbl>
    <w:p w:rsidR="00807EFE" w:rsidRDefault="00807EFE" w:rsidP="00807EFE">
      <w:pPr>
        <w:jc w:val="both"/>
        <w:rPr>
          <w:i/>
          <w:szCs w:val="24"/>
        </w:rPr>
      </w:pPr>
      <w:r>
        <w:rPr>
          <w:i/>
          <w:szCs w:val="24"/>
        </w:rPr>
        <w:t xml:space="preserve">The table mirrors Columns 7-9 of Table 1 with the exception of one new variable. “Ground Effort” is the Romney Effort variable, indicating the level of ground campaigning in each state. “Digital Effort” is a continuous measure, ranging from 0 to 1, indicating the dollars per person that the Obama campaign spent on internet ads in each state. Virtually all of the previous estimates appear to be attributable to ground campaigning as opposed to digital campaigning. </w:t>
      </w:r>
      <w:r w:rsidRPr="00FA3534">
        <w:rPr>
          <w:i/>
          <w:szCs w:val="24"/>
        </w:rPr>
        <w:t>Standard errors, clustered by state, are in p</w:t>
      </w:r>
      <w:r>
        <w:rPr>
          <w:i/>
          <w:szCs w:val="24"/>
        </w:rPr>
        <w:t>arentheses.</w:t>
      </w:r>
    </w:p>
    <w:p w:rsidR="00807EFE" w:rsidRDefault="00807EFE" w:rsidP="00807EFE">
      <w:pPr>
        <w:spacing w:line="276" w:lineRule="auto"/>
        <w:rPr>
          <w:b/>
          <w:szCs w:val="24"/>
        </w:rPr>
      </w:pPr>
      <w:r>
        <w:rPr>
          <w:b/>
          <w:szCs w:val="24"/>
        </w:rPr>
        <w:br w:type="page"/>
      </w:r>
    </w:p>
    <w:p w:rsidR="00807EFE" w:rsidRDefault="00807EFE" w:rsidP="00807EFE">
      <w:pPr>
        <w:spacing w:line="480" w:lineRule="auto"/>
        <w:jc w:val="both"/>
        <w:rPr>
          <w:b/>
          <w:szCs w:val="24"/>
        </w:rPr>
      </w:pPr>
      <w:r>
        <w:rPr>
          <w:b/>
          <w:szCs w:val="24"/>
        </w:rPr>
        <w:lastRenderedPageBreak/>
        <w:t>Effects of TV Advertising on Turnout in 2012</w:t>
      </w:r>
    </w:p>
    <w:p w:rsidR="00807EFE" w:rsidRDefault="00807EFE" w:rsidP="00807EFE">
      <w:pPr>
        <w:spacing w:line="480" w:lineRule="auto"/>
        <w:jc w:val="both"/>
        <w:rPr>
          <w:szCs w:val="24"/>
        </w:rPr>
      </w:pPr>
      <w:r>
        <w:rPr>
          <w:b/>
          <w:szCs w:val="24"/>
        </w:rPr>
        <w:tab/>
      </w:r>
      <w:r>
        <w:rPr>
          <w:szCs w:val="24"/>
        </w:rPr>
        <w:t xml:space="preserve">In order to assess the effects of television advertising, we conduct two sets of analyses, shown in Tables A9 and A10. First, we replicate the analysis of </w:t>
      </w:r>
      <w:proofErr w:type="spellStart"/>
      <w:r>
        <w:rPr>
          <w:szCs w:val="24"/>
        </w:rPr>
        <w:t>Krasno</w:t>
      </w:r>
      <w:proofErr w:type="spellEnd"/>
      <w:r>
        <w:rPr>
          <w:szCs w:val="24"/>
        </w:rPr>
        <w:t xml:space="preserve"> and Green (2008) using our individual-level data from 2012. This design allows us to generate precise and credible estimates of the effect of television advertising on turnout in non-battleground states. Second, to address the possibility that the effects of television advertising are greater in battleground states, perhaps because they interact with ground campaigning, we present a second research design exploiting plausibly exogenous variation in television advertising, coming from the fact that some media markets have only a small share of residents in a battleground state, meaning that advertising there is less efficient.</w:t>
      </w:r>
    </w:p>
    <w:p w:rsidR="00807EFE" w:rsidRDefault="00807EFE" w:rsidP="00807EFE">
      <w:pPr>
        <w:spacing w:line="480" w:lineRule="auto"/>
        <w:ind w:firstLine="720"/>
        <w:jc w:val="both"/>
        <w:rPr>
          <w:szCs w:val="24"/>
        </w:rPr>
      </w:pPr>
      <w:r>
        <w:rPr>
          <w:szCs w:val="24"/>
        </w:rPr>
        <w:t xml:space="preserve">In our first approach, following </w:t>
      </w:r>
      <w:proofErr w:type="spellStart"/>
      <w:r>
        <w:rPr>
          <w:szCs w:val="24"/>
        </w:rPr>
        <w:t>Krasno</w:t>
      </w:r>
      <w:proofErr w:type="spellEnd"/>
      <w:r>
        <w:rPr>
          <w:szCs w:val="24"/>
        </w:rPr>
        <w:t xml:space="preserve"> and Green (2008), we exploit the fact that television advertising is intended for battleground states but spills over into the non-battleground states that share a media market with a battleground state. This spillover provides arguable exogenous variation in television advertising, allowing us to estimate the effect of television advertising on turnout in non-battleground states. We restrict our attention to voters in non-battleground states where some media markets overlap with a battleground state and others do not—there are 24 such states that fit these criteria. We compare the turnout behavior of voters in the media markets that share territory with a battleground state to that of voters in the non-battleground media markets in the same state. To do this, we regress 2012 turnout on an indicator for a “battleground media market” (a media market that shares territory with a battleground state) and state fixed effects. Columns 1-3 of Table A9 present the results. In column 2 we add controls for race, income, age, and gender, and in column 3 we include 2010 turnout as an additional control variable.</w:t>
      </w:r>
    </w:p>
    <w:p w:rsidR="00807EFE" w:rsidRDefault="00807EFE" w:rsidP="00807EFE">
      <w:pPr>
        <w:spacing w:line="480" w:lineRule="auto"/>
        <w:ind w:firstLine="720"/>
        <w:jc w:val="both"/>
        <w:rPr>
          <w:szCs w:val="24"/>
        </w:rPr>
      </w:pPr>
      <w:r>
        <w:rPr>
          <w:szCs w:val="24"/>
        </w:rPr>
        <w:lastRenderedPageBreak/>
        <w:t>To provide a more precise test of the effect of television in non-battleground states, we collected data on presidential ads aired in each media market.</w:t>
      </w:r>
      <w:r>
        <w:rPr>
          <w:rStyle w:val="FootnoteReference"/>
          <w:szCs w:val="24"/>
        </w:rPr>
        <w:footnoteReference w:id="8"/>
      </w:r>
      <w:r>
        <w:rPr>
          <w:szCs w:val="24"/>
        </w:rPr>
        <w:t xml:space="preserve"> In addition to our binary indicator for battleground and non-battleground media markets, we code two additional explanatory variables which capture the extent of television advertising in each market. We code a variable indicating the total number of ads aired in each media market, which, within this sample, ranges from 0 to 57,466 and takes a mean value of 1,046 in non-battleground media markets and a mean value of 9,097 in battleground media markets. We rescale this variable to range from 0 to 1 and call it “Total Ads.” </w:t>
      </w:r>
      <w:proofErr w:type="gramStart"/>
      <w:r>
        <w:rPr>
          <w:szCs w:val="24"/>
        </w:rPr>
        <w:t>Columns 4-6 of Table A9 replicates</w:t>
      </w:r>
      <w:proofErr w:type="gramEnd"/>
      <w:r>
        <w:rPr>
          <w:szCs w:val="24"/>
        </w:rPr>
        <w:t xml:space="preserve"> our analysis from Columns 1-3 using this variable as our primary explanatory variable. We also code a variable indicating the number of advertising dollars per capita spent in each media market, which, within this sample, ranges from 0 to 23.6 and takes an average value of 0.43 in the non-battleground media markets and an average value of 3.11 in battleground media markets. Again, we rescale this variable to range from 0 to 1 and call it “Advertising Dollars per Capita.” Columns 7-9 present results using this variable as our primary explanatory variable. </w:t>
      </w:r>
    </w:p>
    <w:p w:rsidR="00807EFE" w:rsidRDefault="00807EFE" w:rsidP="00807EFE">
      <w:pPr>
        <w:spacing w:line="480" w:lineRule="auto"/>
        <w:jc w:val="both"/>
        <w:rPr>
          <w:szCs w:val="24"/>
        </w:rPr>
      </w:pPr>
      <w:r>
        <w:rPr>
          <w:szCs w:val="24"/>
        </w:rPr>
        <w:tab/>
        <w:t xml:space="preserve">Consistent with </w:t>
      </w:r>
      <w:proofErr w:type="spellStart"/>
      <w:r>
        <w:rPr>
          <w:szCs w:val="24"/>
        </w:rPr>
        <w:t>Krasno</w:t>
      </w:r>
      <w:proofErr w:type="spellEnd"/>
      <w:r>
        <w:rPr>
          <w:szCs w:val="24"/>
        </w:rPr>
        <w:t xml:space="preserve"> and Green (2008), we find no evidence that television advertising increases turnout in non-battleground states across all specifications. The point estimate for each specification is substantively tiny and precisely estimated. Moving from no advertising to the maximal level of advertising has no detectable effect, and the point estimates are less than a single percentage point in all but one specification.</w:t>
      </w:r>
    </w:p>
    <w:p w:rsidR="00807EFE" w:rsidRDefault="00807EFE" w:rsidP="00807EFE">
      <w:pPr>
        <w:spacing w:line="480" w:lineRule="auto"/>
        <w:jc w:val="both"/>
        <w:rPr>
          <w:szCs w:val="24"/>
        </w:rPr>
      </w:pPr>
      <w:r>
        <w:rPr>
          <w:szCs w:val="24"/>
        </w:rPr>
        <w:tab/>
        <w:t xml:space="preserve">Although television advertising appears to have no effect in non-battleground states, perhaps the effect is larger in battleground states, perhaps because television advertising interacts with ground campaigning. To address this possibility, we present a second research design in order to </w:t>
      </w:r>
      <w:r>
        <w:rPr>
          <w:szCs w:val="24"/>
        </w:rPr>
        <w:lastRenderedPageBreak/>
        <w:t>estimate the effect of television advertising on turnout in battleground states. Here, we exploit the fact that some media markets are less efficient targets, because much of their territory covers non-battleground states. For example, all of the Las Vegas media market lies within Nevada, a key swing state, making it a prime target for advertising. As a result, the presidential campaigns aired 56,538 ads and spent $28.84 per capita in this market. Alternatively, the Salt Lake City media market spills into Nevada, but only 2 percent of the market’s residents live in the battleground state, meaning that advertising in the Salt Lake City media market is highly inefficient. For this reason, the presidential campaigns spent no money in the Salt Lake City media market. Therefore, a comparison of demographically similar individuals within Nevada residing in either the Las Vegas or Salt Lake City media markets may provide credible estimates of the effect of television advertising in battleground states. Our subsequent design leverages situations like this for all battleground states, always restricting our comparisons within states.</w:t>
      </w:r>
    </w:p>
    <w:p w:rsidR="00807EFE" w:rsidRDefault="00807EFE" w:rsidP="00807EFE">
      <w:pPr>
        <w:spacing w:line="480" w:lineRule="auto"/>
        <w:jc w:val="both"/>
        <w:rPr>
          <w:szCs w:val="24"/>
        </w:rPr>
      </w:pPr>
      <w:r>
        <w:rPr>
          <w:szCs w:val="24"/>
        </w:rPr>
        <w:tab/>
        <w:t xml:space="preserve">We code a continuous variable indicating the proportion of residents in each media market who reside in a battleground state. Within battleground states, this variable is arguably exogenous to participation, yet it strongly predicts the extent of advertising in a media market, because spending advertising to an audience largely outside of a battleground state is highly inefficient. Therefore, we use this variable as an instrument for the extent of advertising in each media market, measured in each of the two ways described above (total ads or dollars per capita). Specifically, we estimate the effect of television advertising on voter turnout in battleground states through two-stage least squares regressions where the proportion of battleground residents in a media market is used as an instrument for advertising effort. We include state fixed effects in all specifications, confining all comparisons within states, and some specifications include demographic controls and a control for turnout in 2010. </w:t>
      </w:r>
    </w:p>
    <w:p w:rsidR="00807EFE" w:rsidRDefault="00807EFE" w:rsidP="00807EFE">
      <w:pPr>
        <w:spacing w:line="480" w:lineRule="auto"/>
        <w:jc w:val="both"/>
        <w:rPr>
          <w:szCs w:val="24"/>
        </w:rPr>
      </w:pPr>
      <w:r>
        <w:rPr>
          <w:szCs w:val="24"/>
        </w:rPr>
        <w:lastRenderedPageBreak/>
        <w:tab/>
        <w:t xml:space="preserve">Table A10 presents the results of these analyses. These estimates are less precise than those in Table 19, but we similarly detect no effect of television advertising on turnout in battleground states. The first-stage F-statistics are all large, suggesting that the proportion of battleground residents in a media market is indeed a strong predictor of television advertising. As in Table A9, the explanatory variables are recoded to range from 0 to 1, so the coefficients can be interpreted as the estimated effect of going from no advertising to the greatest observed level of advertising in any state. None of the point estimates are statistically significant, although some specifications are imprecise. Nonetheless, we fail to find evidence that television increases turnout in battleground or non-battleground states, and for some specifications, we can statistically reject any hypothesized effect of television advertising greater than one or two percentage points. Taken together, these analyses suggest that the air campaign has little effect on participation, and most likely, the large differences we observe between battleground and non-battleground states are most likely attributable to ground campaigning. </w:t>
      </w:r>
    </w:p>
    <w:p w:rsidR="00807EFE" w:rsidRDefault="00807EFE" w:rsidP="00807EFE">
      <w:pPr>
        <w:spacing w:line="480" w:lineRule="auto"/>
        <w:jc w:val="both"/>
        <w:rPr>
          <w:szCs w:val="24"/>
        </w:rPr>
      </w:pPr>
      <w:r>
        <w:rPr>
          <w:szCs w:val="24"/>
        </w:rPr>
        <w:tab/>
      </w:r>
    </w:p>
    <w:p w:rsidR="00807EFE" w:rsidRDefault="00807EFE" w:rsidP="00807EFE">
      <w:pPr>
        <w:jc w:val="center"/>
        <w:rPr>
          <w:b/>
          <w:szCs w:val="24"/>
        </w:rPr>
        <w:sectPr w:rsidR="00807EFE" w:rsidSect="00426156">
          <w:pgSz w:w="12240" w:h="15840"/>
          <w:pgMar w:top="1440" w:right="1440" w:bottom="1440" w:left="1440" w:header="720" w:footer="720" w:gutter="0"/>
          <w:cols w:space="720"/>
          <w:docGrid w:linePitch="360"/>
        </w:sectPr>
      </w:pPr>
    </w:p>
    <w:p w:rsidR="00807EFE" w:rsidRPr="00E12E04" w:rsidRDefault="00807EFE" w:rsidP="00807EFE">
      <w:pPr>
        <w:jc w:val="center"/>
        <w:rPr>
          <w:szCs w:val="24"/>
        </w:rPr>
      </w:pPr>
      <w:r>
        <w:rPr>
          <w:b/>
          <w:szCs w:val="24"/>
        </w:rPr>
        <w:lastRenderedPageBreak/>
        <w:t>Table A9. Effects of TV Advertising in Non-Battleground States</w:t>
      </w:r>
    </w:p>
    <w:tbl>
      <w:tblPr>
        <w:tblW w:w="0" w:type="auto"/>
        <w:jc w:val="center"/>
        <w:tblInd w:w="93" w:type="dxa"/>
        <w:tblLook w:val="04A0" w:firstRow="1" w:lastRow="0" w:firstColumn="1" w:lastColumn="0" w:noHBand="0" w:noVBand="1"/>
      </w:tblPr>
      <w:tblGrid>
        <w:gridCol w:w="3049"/>
        <w:gridCol w:w="746"/>
        <w:gridCol w:w="746"/>
        <w:gridCol w:w="746"/>
        <w:gridCol w:w="746"/>
        <w:gridCol w:w="746"/>
        <w:gridCol w:w="746"/>
        <w:gridCol w:w="746"/>
        <w:gridCol w:w="766"/>
        <w:gridCol w:w="746"/>
      </w:tblGrid>
      <w:tr w:rsidR="00807EFE" w:rsidRPr="00A34EAB" w:rsidTr="00426156">
        <w:trPr>
          <w:trHeight w:val="300"/>
          <w:jc w:val="center"/>
        </w:trPr>
        <w:tc>
          <w:tcPr>
            <w:tcW w:w="0" w:type="auto"/>
            <w:tcBorders>
              <w:top w:val="single" w:sz="12" w:space="0" w:color="auto"/>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gridSpan w:val="9"/>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OLS, DV = 2012 Voter Turnout</w:t>
            </w:r>
          </w:p>
        </w:tc>
      </w:tr>
      <w:tr w:rsidR="00807EFE" w:rsidRPr="00A34EAB" w:rsidTr="00426156">
        <w:trPr>
          <w:trHeight w:val="300"/>
          <w:jc w:val="center"/>
        </w:trPr>
        <w:tc>
          <w:tcPr>
            <w:tcW w:w="0" w:type="auto"/>
            <w:tcBorders>
              <w:bottom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(2)</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(3)</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(4)</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(5)</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(6)</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(8)</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(9)</w:t>
            </w:r>
          </w:p>
        </w:tc>
      </w:tr>
      <w:tr w:rsidR="00807EFE" w:rsidRPr="00A34EAB" w:rsidTr="00426156">
        <w:trPr>
          <w:trHeight w:val="300"/>
          <w:jc w:val="center"/>
        </w:trPr>
        <w:tc>
          <w:tcPr>
            <w:tcW w:w="0" w:type="auto"/>
            <w:tcBorders>
              <w:top w:val="single" w:sz="12" w:space="0" w:color="auto"/>
            </w:tcBorders>
            <w:shd w:val="clear" w:color="auto" w:fill="auto"/>
            <w:noWrap/>
            <w:vAlign w:val="bottom"/>
            <w:hideMark/>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Battleground Media Market</w:t>
            </w: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.007</w:t>
            </w: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.002</w:t>
            </w:r>
          </w:p>
        </w:tc>
        <w:tc>
          <w:tcPr>
            <w:tcW w:w="0" w:type="auto"/>
            <w:tcBorders>
              <w:top w:val="single" w:sz="12" w:space="0" w:color="auto"/>
            </w:tcBorders>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.005</w:t>
            </w:r>
          </w:p>
        </w:tc>
        <w:tc>
          <w:tcPr>
            <w:tcW w:w="0" w:type="auto"/>
            <w:tcBorders>
              <w:top w:val="single" w:sz="12" w:space="0" w:color="auto"/>
            </w:tcBorders>
            <w:vAlign w:val="bottom"/>
          </w:tcPr>
          <w:p w:rsidR="00807EFE"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Default="00807EFE" w:rsidP="00426156">
            <w:pPr>
              <w:jc w:val="center"/>
              <w:rPr>
                <w:rFonts w:eastAsia="Times New Roman" w:cs="Times New Roman"/>
                <w:color w:val="000000"/>
                <w:szCs w:val="24"/>
              </w:rPr>
            </w:pPr>
          </w:p>
        </w:tc>
        <w:tc>
          <w:tcPr>
            <w:tcW w:w="0" w:type="auto"/>
            <w:tcBorders>
              <w:top w:val="single" w:sz="12" w:space="0" w:color="auto"/>
            </w:tcBorders>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(.006)</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(.005)</w:t>
            </w:r>
          </w:p>
        </w:tc>
        <w:tc>
          <w:tcPr>
            <w:tcW w:w="0" w:type="auto"/>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(.003)</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Total Ads</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.002</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(.016)</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(.009)</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Advertising Dollars per Capita</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.004</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.001</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(.010)</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(.008)</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State Fixed Effects</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Individual Controls</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Control for 2010 Turnout</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individuals</w:t>
            </w:r>
          </w:p>
        </w:tc>
        <w:tc>
          <w:tcPr>
            <w:tcW w:w="0" w:type="auto"/>
            <w:gridSpan w:val="9"/>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141,886,753</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media markets</w:t>
            </w:r>
          </w:p>
        </w:tc>
        <w:tc>
          <w:tcPr>
            <w:tcW w:w="0" w:type="auto"/>
            <w:gridSpan w:val="9"/>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139</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states</w:t>
            </w:r>
          </w:p>
        </w:tc>
        <w:tc>
          <w:tcPr>
            <w:tcW w:w="0" w:type="auto"/>
            <w:gridSpan w:val="9"/>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24</w:t>
            </w:r>
          </w:p>
        </w:tc>
      </w:tr>
      <w:tr w:rsidR="00807EFE" w:rsidRPr="00A34EAB" w:rsidTr="00426156">
        <w:trPr>
          <w:trHeight w:val="300"/>
          <w:jc w:val="center"/>
        </w:trPr>
        <w:tc>
          <w:tcPr>
            <w:tcW w:w="0" w:type="auto"/>
            <w:tcBorders>
              <w:bottom w:val="single" w:sz="12" w:space="0" w:color="auto"/>
            </w:tcBorders>
            <w:shd w:val="clear" w:color="auto" w:fill="auto"/>
            <w:noWrap/>
            <w:vAlign w:val="bottom"/>
            <w:hideMark/>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R-squared</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.301</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.709</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.301</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.709</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.012</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.301</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.709</w:t>
            </w:r>
          </w:p>
        </w:tc>
      </w:tr>
    </w:tbl>
    <w:p w:rsidR="00807EFE" w:rsidRDefault="00807EFE" w:rsidP="00807EFE">
      <w:pPr>
        <w:ind w:left="720" w:hanging="720"/>
        <w:jc w:val="both"/>
        <w:rPr>
          <w:i/>
          <w:szCs w:val="24"/>
        </w:rPr>
      </w:pPr>
      <w:r>
        <w:rPr>
          <w:i/>
          <w:szCs w:val="24"/>
        </w:rPr>
        <w:t>Standard errors, clustered by media market, are in parentheses.</w:t>
      </w:r>
    </w:p>
    <w:p w:rsidR="00807EFE" w:rsidRDefault="00807EFE" w:rsidP="00807EFE">
      <w:pPr>
        <w:spacing w:after="200" w:line="276" w:lineRule="auto"/>
        <w:rPr>
          <w:i/>
          <w:szCs w:val="24"/>
        </w:rPr>
      </w:pPr>
      <w:r>
        <w:rPr>
          <w:i/>
          <w:szCs w:val="24"/>
        </w:rPr>
        <w:br w:type="page"/>
      </w:r>
    </w:p>
    <w:p w:rsidR="00807EFE" w:rsidRPr="00E12E04" w:rsidRDefault="00807EFE" w:rsidP="00807EFE">
      <w:pPr>
        <w:jc w:val="center"/>
        <w:rPr>
          <w:szCs w:val="24"/>
        </w:rPr>
      </w:pPr>
      <w:r>
        <w:rPr>
          <w:b/>
          <w:szCs w:val="24"/>
        </w:rPr>
        <w:lastRenderedPageBreak/>
        <w:t>Table A10. Effects of TV Advertising in Battleground States</w:t>
      </w:r>
    </w:p>
    <w:tbl>
      <w:tblPr>
        <w:tblW w:w="0" w:type="auto"/>
        <w:jc w:val="center"/>
        <w:tblInd w:w="93" w:type="dxa"/>
        <w:tblLook w:val="04A0" w:firstRow="1" w:lastRow="0" w:firstColumn="1" w:lastColumn="0" w:noHBand="0" w:noVBand="1"/>
      </w:tblPr>
      <w:tblGrid>
        <w:gridCol w:w="3049"/>
        <w:gridCol w:w="746"/>
        <w:gridCol w:w="746"/>
        <w:gridCol w:w="746"/>
        <w:gridCol w:w="746"/>
        <w:gridCol w:w="746"/>
        <w:gridCol w:w="746"/>
      </w:tblGrid>
      <w:tr w:rsidR="00807EFE" w:rsidRPr="00A34EAB" w:rsidTr="00426156">
        <w:trPr>
          <w:trHeight w:val="300"/>
          <w:jc w:val="center"/>
        </w:trPr>
        <w:tc>
          <w:tcPr>
            <w:tcW w:w="0" w:type="auto"/>
            <w:vMerge w:val="restart"/>
            <w:tcBorders>
              <w:top w:val="single" w:sz="12" w:space="0" w:color="auto"/>
            </w:tcBorders>
            <w:shd w:val="clear" w:color="auto" w:fill="auto"/>
            <w:noWrap/>
            <w:vAlign w:val="bottom"/>
          </w:tcPr>
          <w:p w:rsidR="00807EFE" w:rsidRPr="00A34EAB" w:rsidRDefault="00807EFE" w:rsidP="00426156">
            <w:pPr>
              <w:jc w:val="center"/>
              <w:rPr>
                <w:rFonts w:eastAsia="Times New Roman" w:cs="Times New Roman"/>
                <w:color w:val="000000"/>
                <w:szCs w:val="24"/>
              </w:rPr>
            </w:pPr>
          </w:p>
        </w:tc>
        <w:tc>
          <w:tcPr>
            <w:tcW w:w="0" w:type="auto"/>
            <w:gridSpan w:val="6"/>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2SLS, DV = 2012 Voter Turnout</w:t>
            </w:r>
          </w:p>
        </w:tc>
      </w:tr>
      <w:tr w:rsidR="00807EFE" w:rsidRPr="00A34EAB" w:rsidTr="00426156">
        <w:trPr>
          <w:trHeight w:val="300"/>
          <w:jc w:val="center"/>
        </w:trPr>
        <w:tc>
          <w:tcPr>
            <w:tcW w:w="0" w:type="auto"/>
            <w:vMerge/>
            <w:tcBorders>
              <w:bottom w:val="single" w:sz="12" w:space="0" w:color="auto"/>
            </w:tcBorders>
            <w:shd w:val="clear" w:color="auto" w:fill="auto"/>
            <w:noWrap/>
            <w:vAlign w:val="bottom"/>
            <w:hideMark/>
          </w:tcPr>
          <w:p w:rsidR="00807EFE" w:rsidRPr="00A34EAB" w:rsidRDefault="00807EFE" w:rsidP="00426156">
            <w:pPr>
              <w:jc w:val="center"/>
              <w:rPr>
                <w:rFonts w:eastAsia="Times New Roman" w:cs="Times New Roman"/>
                <w:color w:val="000000"/>
                <w:szCs w:val="24"/>
              </w:rPr>
            </w:pP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(2)</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(3)</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(4)</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(5)</w:t>
            </w:r>
          </w:p>
        </w:tc>
        <w:tc>
          <w:tcPr>
            <w:tcW w:w="0" w:type="auto"/>
            <w:tcBorders>
              <w:top w:val="single" w:sz="12" w:space="0" w:color="auto"/>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(6)</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Total Ads</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.023</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.041</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.013</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(.031)</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(.030)</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(.019)</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Advertising Dollars per Capita</w:t>
            </w: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.042</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.076</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.023</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(.057)</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(.056)</w:t>
            </w:r>
          </w:p>
        </w:tc>
        <w:tc>
          <w:tcPr>
            <w:tcW w:w="0" w:type="auto"/>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(.035)</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State Fixed Effects</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tcPr>
          <w:p w:rsidR="00807EFE" w:rsidRPr="00A34EAB" w:rsidRDefault="00807EFE" w:rsidP="00426156">
            <w:pPr>
              <w:rPr>
                <w:rFonts w:eastAsia="Times New Roman" w:cs="Times New Roman"/>
                <w:color w:val="000000"/>
                <w:szCs w:val="24"/>
              </w:rPr>
            </w:pPr>
            <w:r w:rsidRPr="00A34EAB">
              <w:rPr>
                <w:rFonts w:eastAsia="Times New Roman" w:cs="Times New Roman"/>
                <w:color w:val="000000"/>
                <w:szCs w:val="24"/>
              </w:rPr>
              <w:t>Individual Controls</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hideMark/>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Control for 2010 Turnout</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p>
        </w:tc>
        <w:tc>
          <w:tcPr>
            <w:tcW w:w="0" w:type="auto"/>
            <w:vAlign w:val="bottom"/>
          </w:tcPr>
          <w:p w:rsidR="00807EFE" w:rsidRPr="00A34EAB" w:rsidRDefault="00807EFE" w:rsidP="00426156">
            <w:pPr>
              <w:jc w:val="center"/>
              <w:rPr>
                <w:rFonts w:eastAsia="Times New Roman" w:cs="Times New Roman"/>
                <w:color w:val="000000"/>
                <w:szCs w:val="24"/>
              </w:rPr>
            </w:pPr>
            <w:r w:rsidRPr="00A34EAB">
              <w:rPr>
                <w:rFonts w:eastAsia="Times New Roman" w:cs="Times New Roman"/>
                <w:color w:val="000000"/>
                <w:szCs w:val="24"/>
              </w:rPr>
              <w:t>X</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individuals</w:t>
            </w:r>
          </w:p>
        </w:tc>
        <w:tc>
          <w:tcPr>
            <w:tcW w:w="0" w:type="auto"/>
            <w:gridSpan w:val="6"/>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61,433,423</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media markets</w:t>
            </w:r>
          </w:p>
        </w:tc>
        <w:tc>
          <w:tcPr>
            <w:tcW w:w="0" w:type="auto"/>
            <w:gridSpan w:val="6"/>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66</w:t>
            </w:r>
          </w:p>
        </w:tc>
      </w:tr>
      <w:tr w:rsidR="00807EFE" w:rsidRPr="00A34EAB" w:rsidTr="00426156">
        <w:trPr>
          <w:trHeight w:val="300"/>
          <w:jc w:val="center"/>
        </w:trPr>
        <w:tc>
          <w:tcPr>
            <w:tcW w:w="0" w:type="auto"/>
            <w:shd w:val="clear" w:color="auto" w:fill="auto"/>
            <w:noWrap/>
            <w:vAlign w:val="bottom"/>
          </w:tcPr>
          <w:p w:rsidR="00807EFE" w:rsidRDefault="00807EFE" w:rsidP="00426156">
            <w:pPr>
              <w:rPr>
                <w:rFonts w:eastAsia="Times New Roman" w:cs="Times New Roman"/>
                <w:color w:val="000000"/>
                <w:szCs w:val="24"/>
              </w:rPr>
            </w:pPr>
            <w:r>
              <w:rPr>
                <w:rFonts w:eastAsia="Times New Roman" w:cs="Times New Roman"/>
                <w:color w:val="000000"/>
                <w:szCs w:val="24"/>
              </w:rPr>
              <w:t>N states</w:t>
            </w:r>
          </w:p>
        </w:tc>
        <w:tc>
          <w:tcPr>
            <w:tcW w:w="0" w:type="auto"/>
            <w:gridSpan w:val="6"/>
            <w:vAlign w:val="bottom"/>
          </w:tcPr>
          <w:p w:rsidR="00807EFE" w:rsidRPr="00A34EAB" w:rsidRDefault="00807EFE" w:rsidP="00426156">
            <w:pPr>
              <w:jc w:val="center"/>
              <w:rPr>
                <w:rFonts w:eastAsia="Times New Roman" w:cs="Times New Roman"/>
                <w:color w:val="000000"/>
                <w:szCs w:val="24"/>
              </w:rPr>
            </w:pPr>
            <w:r>
              <w:rPr>
                <w:rFonts w:eastAsia="Times New Roman" w:cs="Times New Roman"/>
                <w:color w:val="000000"/>
                <w:szCs w:val="24"/>
              </w:rPr>
              <w:t>9</w:t>
            </w:r>
          </w:p>
        </w:tc>
      </w:tr>
      <w:tr w:rsidR="00807EFE" w:rsidRPr="00A34EAB" w:rsidTr="00426156">
        <w:trPr>
          <w:trHeight w:val="300"/>
          <w:jc w:val="center"/>
        </w:trPr>
        <w:tc>
          <w:tcPr>
            <w:tcW w:w="0" w:type="auto"/>
            <w:tcBorders>
              <w:bottom w:val="single" w:sz="12" w:space="0" w:color="auto"/>
            </w:tcBorders>
            <w:shd w:val="clear" w:color="auto" w:fill="auto"/>
            <w:noWrap/>
            <w:vAlign w:val="bottom"/>
            <w:hideMark/>
          </w:tcPr>
          <w:p w:rsidR="00807EFE" w:rsidRPr="00A34EAB" w:rsidRDefault="00807EFE" w:rsidP="00426156">
            <w:pPr>
              <w:rPr>
                <w:rFonts w:eastAsia="Times New Roman" w:cs="Times New Roman"/>
                <w:color w:val="000000"/>
                <w:szCs w:val="24"/>
              </w:rPr>
            </w:pPr>
            <w:r>
              <w:rPr>
                <w:rFonts w:eastAsia="Times New Roman" w:cs="Times New Roman"/>
                <w:color w:val="000000"/>
                <w:szCs w:val="24"/>
              </w:rPr>
              <w:t>First-Stage F-Statistic</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9.9</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10.2</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10.2</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7.0</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7.3</w:t>
            </w:r>
          </w:p>
        </w:tc>
        <w:tc>
          <w:tcPr>
            <w:tcW w:w="0" w:type="auto"/>
            <w:tcBorders>
              <w:bottom w:val="single" w:sz="12" w:space="0" w:color="auto"/>
            </w:tcBorders>
            <w:vAlign w:val="bottom"/>
          </w:tcPr>
          <w:p w:rsidR="00807EFE" w:rsidRDefault="00807EFE" w:rsidP="00426156">
            <w:pPr>
              <w:jc w:val="center"/>
              <w:rPr>
                <w:rFonts w:eastAsia="Times New Roman" w:cs="Times New Roman"/>
                <w:color w:val="000000"/>
                <w:szCs w:val="24"/>
              </w:rPr>
            </w:pPr>
            <w:r>
              <w:rPr>
                <w:rFonts w:eastAsia="Times New Roman" w:cs="Times New Roman"/>
                <w:color w:val="000000"/>
                <w:szCs w:val="24"/>
              </w:rPr>
              <w:t>7.3</w:t>
            </w:r>
          </w:p>
        </w:tc>
      </w:tr>
    </w:tbl>
    <w:p w:rsidR="00807EFE" w:rsidRDefault="00807EFE" w:rsidP="00807EFE">
      <w:pPr>
        <w:jc w:val="both"/>
        <w:rPr>
          <w:i/>
          <w:szCs w:val="24"/>
        </w:rPr>
      </w:pPr>
      <w:r>
        <w:rPr>
          <w:i/>
          <w:szCs w:val="24"/>
        </w:rPr>
        <w:t>Standard errors, clustered by media market, are in parentheses. Total Ads and Advertising Dollars per Capita are instrumented using the proportion of battleground state residents in the media market.</w:t>
      </w:r>
    </w:p>
    <w:p w:rsidR="00426156" w:rsidRDefault="00426156">
      <w:pPr>
        <w:spacing w:line="480" w:lineRule="auto"/>
        <w:rPr>
          <w:i/>
          <w:szCs w:val="24"/>
        </w:rPr>
      </w:pPr>
      <w:r>
        <w:rPr>
          <w:i/>
          <w:szCs w:val="24"/>
        </w:rPr>
        <w:br w:type="page"/>
      </w:r>
    </w:p>
    <w:p w:rsidR="00426156" w:rsidRDefault="00426156" w:rsidP="00426156">
      <w:pPr>
        <w:ind w:left="720" w:hanging="720"/>
        <w:jc w:val="center"/>
        <w:rPr>
          <w:b/>
          <w:szCs w:val="24"/>
        </w:rPr>
        <w:sectPr w:rsidR="00426156" w:rsidSect="00426156">
          <w:pgSz w:w="15840" w:h="12240" w:orient="landscape"/>
          <w:pgMar w:top="1440" w:right="1440" w:bottom="1440" w:left="1440" w:header="720" w:footer="720" w:gutter="0"/>
          <w:cols w:space="720"/>
          <w:docGrid w:linePitch="360"/>
        </w:sectPr>
      </w:pPr>
    </w:p>
    <w:p w:rsidR="00426156" w:rsidRDefault="00426156" w:rsidP="00426156">
      <w:pPr>
        <w:spacing w:line="480" w:lineRule="auto"/>
        <w:ind w:left="720" w:hanging="720"/>
        <w:rPr>
          <w:b/>
          <w:szCs w:val="24"/>
        </w:rPr>
      </w:pPr>
      <w:r>
        <w:rPr>
          <w:b/>
          <w:szCs w:val="24"/>
        </w:rPr>
        <w:lastRenderedPageBreak/>
        <w:t>OLS and Logit Yield Nearly Identical Estimates</w:t>
      </w:r>
    </w:p>
    <w:p w:rsidR="00557A04" w:rsidRDefault="00426156" w:rsidP="00426156">
      <w:pPr>
        <w:spacing w:line="480" w:lineRule="auto"/>
        <w:jc w:val="both"/>
        <w:rPr>
          <w:szCs w:val="24"/>
        </w:rPr>
      </w:pPr>
      <w:r>
        <w:rPr>
          <w:b/>
          <w:szCs w:val="24"/>
        </w:rPr>
        <w:tab/>
      </w:r>
      <w:r>
        <w:rPr>
          <w:szCs w:val="24"/>
        </w:rPr>
        <w:t>In T</w:t>
      </w:r>
      <w:r w:rsidR="00557A04">
        <w:rPr>
          <w:szCs w:val="24"/>
        </w:rPr>
        <w:t>able A11, we show both OLS and l</w:t>
      </w:r>
      <w:r>
        <w:rPr>
          <w:szCs w:val="24"/>
        </w:rPr>
        <w:t xml:space="preserve">ogit estimates for several of our specifications from Table 1. Throughout the paper, we utilize OLS because of its computational efficiency, substantive interpretability, and its advantageous statistical properties—i.e., “best linear approximation to the conditional expectation function” (see </w:t>
      </w:r>
      <w:r>
        <w:rPr>
          <w:i/>
          <w:szCs w:val="24"/>
        </w:rPr>
        <w:t>Mostly Harmless Econometrics</w:t>
      </w:r>
      <w:r>
        <w:rPr>
          <w:szCs w:val="24"/>
        </w:rPr>
        <w:t xml:space="preserve">, Ch. 3)—even in the presence of a dichotomous dependent variable. Nonetheless, we demonstrate here that Logit yields nearly identical estimates. Specifically, Table A11 reports the results from Columns </w:t>
      </w:r>
      <w:r w:rsidR="00610C79">
        <w:rPr>
          <w:szCs w:val="24"/>
        </w:rPr>
        <w:t>1, 2, 7, and 8 of Table 1, resp</w:t>
      </w:r>
      <w:r w:rsidR="00557A04">
        <w:rPr>
          <w:szCs w:val="24"/>
        </w:rPr>
        <w:t>ectively, using both OLS and l</w:t>
      </w:r>
      <w:r w:rsidR="00610C79">
        <w:rPr>
          <w:szCs w:val="24"/>
        </w:rPr>
        <w:t>ogit. The first column of Table A11 rep</w:t>
      </w:r>
      <w:r w:rsidR="00557A04">
        <w:rPr>
          <w:szCs w:val="24"/>
        </w:rPr>
        <w:t>orts</w:t>
      </w:r>
      <w:r w:rsidR="00610C79">
        <w:rPr>
          <w:szCs w:val="24"/>
        </w:rPr>
        <w:t xml:space="preserve"> OLS coefficients and the second colum</w:t>
      </w:r>
      <w:r w:rsidR="00557A04">
        <w:rPr>
          <w:szCs w:val="24"/>
        </w:rPr>
        <w:t>n reports l</w:t>
      </w:r>
      <w:r w:rsidR="00610C79">
        <w:rPr>
          <w:szCs w:val="24"/>
        </w:rPr>
        <w:t>ogit marginal effects.</w:t>
      </w:r>
      <w:r w:rsidR="00557A04">
        <w:rPr>
          <w:szCs w:val="24"/>
        </w:rPr>
        <w:t xml:space="preserve"> The marginal effects are computed by estimating a logit model—otherwise identical to the OLS equation, calculating the predicted values for each observation with the key explanatory variables (Battleground and Romney Effort) set at their extremes (1 and 0) with all other independent variables left at their actual values, and then calculating the average difference between these predicted values across all observations. We see in the table that the OLS coefficients are nearly identical to the logit</w:t>
      </w:r>
      <w:r w:rsidR="000E4618">
        <w:rPr>
          <w:szCs w:val="24"/>
        </w:rPr>
        <w:t xml:space="preserve"> marginal effects</w:t>
      </w:r>
      <w:bookmarkStart w:id="0" w:name="_GoBack"/>
      <w:bookmarkEnd w:id="0"/>
      <w:r w:rsidR="00557A04">
        <w:rPr>
          <w:szCs w:val="24"/>
        </w:rPr>
        <w:t xml:space="preserve"> in every case.</w:t>
      </w:r>
    </w:p>
    <w:p w:rsidR="00426156" w:rsidRDefault="00557A04" w:rsidP="00557A04">
      <w:pPr>
        <w:spacing w:line="480" w:lineRule="auto"/>
        <w:jc w:val="both"/>
        <w:rPr>
          <w:b/>
          <w:szCs w:val="24"/>
        </w:rPr>
      </w:pPr>
      <w:r>
        <w:rPr>
          <w:szCs w:val="24"/>
        </w:rPr>
        <w:tab/>
        <w:t>The third and fourth columns of Table A11 also report the t-statistic and z-statistic associated with the key independent variable resulting from the OLS and logit estimation, respectively. In each case, standard errors are clustered by state. In addition to the point estimates being nearly identical across OLS and logit, we see that the statistical significance is nearly identical as well.</w:t>
      </w:r>
    </w:p>
    <w:p w:rsidR="00807EFE" w:rsidRDefault="00426156" w:rsidP="00426156">
      <w:pPr>
        <w:ind w:left="720" w:hanging="720"/>
        <w:jc w:val="center"/>
        <w:rPr>
          <w:b/>
          <w:szCs w:val="24"/>
        </w:rPr>
      </w:pPr>
      <w:r>
        <w:rPr>
          <w:b/>
          <w:szCs w:val="24"/>
        </w:rPr>
        <w:t>Table A11. OLS vs. Logit Estimates</w:t>
      </w:r>
    </w:p>
    <w:tbl>
      <w:tblPr>
        <w:tblW w:w="0" w:type="auto"/>
        <w:jc w:val="center"/>
        <w:tblInd w:w="93" w:type="dxa"/>
        <w:tblLook w:val="04A0" w:firstRow="1" w:lastRow="0" w:firstColumn="1" w:lastColumn="0" w:noHBand="0" w:noVBand="1"/>
      </w:tblPr>
      <w:tblGrid>
        <w:gridCol w:w="2941"/>
        <w:gridCol w:w="1696"/>
        <w:gridCol w:w="2153"/>
        <w:gridCol w:w="1186"/>
        <w:gridCol w:w="1271"/>
      </w:tblGrid>
      <w:tr w:rsidR="00426156" w:rsidRPr="00426156" w:rsidTr="00426156">
        <w:trPr>
          <w:trHeight w:val="315"/>
          <w:jc w:val="center"/>
        </w:trPr>
        <w:tc>
          <w:tcPr>
            <w:tcW w:w="0" w:type="auto"/>
            <w:tcBorders>
              <w:top w:val="single" w:sz="12" w:space="0" w:color="auto"/>
              <w:left w:val="nil"/>
              <w:bottom w:val="single" w:sz="12" w:space="0" w:color="auto"/>
              <w:right w:val="nil"/>
            </w:tcBorders>
            <w:shd w:val="clear" w:color="auto" w:fill="auto"/>
            <w:noWrap/>
            <w:vAlign w:val="bottom"/>
            <w:hideMark/>
          </w:tcPr>
          <w:p w:rsidR="00426156" w:rsidRPr="00426156" w:rsidRDefault="00426156" w:rsidP="00426156">
            <w:pPr>
              <w:rPr>
                <w:rFonts w:eastAsia="Times New Roman" w:cs="Times New Roman"/>
                <w:color w:val="000000"/>
                <w:szCs w:val="24"/>
              </w:rPr>
            </w:pPr>
            <w:r w:rsidRPr="00426156">
              <w:rPr>
                <w:rFonts w:eastAsia="Times New Roman" w:cs="Times New Roman"/>
                <w:color w:val="000000"/>
                <w:szCs w:val="24"/>
              </w:rPr>
              <w:t>Specification</w:t>
            </w:r>
          </w:p>
        </w:tc>
        <w:tc>
          <w:tcPr>
            <w:tcW w:w="0" w:type="auto"/>
            <w:tcBorders>
              <w:top w:val="single" w:sz="12" w:space="0" w:color="auto"/>
              <w:left w:val="nil"/>
              <w:bottom w:val="single" w:sz="12" w:space="0" w:color="auto"/>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OLS coefficient</w:t>
            </w:r>
          </w:p>
        </w:tc>
        <w:tc>
          <w:tcPr>
            <w:tcW w:w="0" w:type="auto"/>
            <w:tcBorders>
              <w:top w:val="single" w:sz="12" w:space="0" w:color="auto"/>
              <w:left w:val="nil"/>
              <w:bottom w:val="single" w:sz="12" w:space="0" w:color="auto"/>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Logit marginal effect</w:t>
            </w:r>
          </w:p>
        </w:tc>
        <w:tc>
          <w:tcPr>
            <w:tcW w:w="0" w:type="auto"/>
            <w:tcBorders>
              <w:top w:val="single" w:sz="12" w:space="0" w:color="auto"/>
              <w:left w:val="nil"/>
              <w:bottom w:val="single" w:sz="12" w:space="0" w:color="auto"/>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OLS t-stat</w:t>
            </w:r>
          </w:p>
        </w:tc>
        <w:tc>
          <w:tcPr>
            <w:tcW w:w="0" w:type="auto"/>
            <w:tcBorders>
              <w:top w:val="single" w:sz="12" w:space="0" w:color="auto"/>
              <w:left w:val="nil"/>
              <w:bottom w:val="single" w:sz="12" w:space="0" w:color="auto"/>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Logit z-stat</w:t>
            </w:r>
          </w:p>
        </w:tc>
      </w:tr>
      <w:tr w:rsidR="00426156" w:rsidRPr="00426156" w:rsidTr="00426156">
        <w:trPr>
          <w:trHeight w:val="315"/>
          <w:jc w:val="center"/>
        </w:trPr>
        <w:tc>
          <w:tcPr>
            <w:tcW w:w="0" w:type="auto"/>
            <w:tcBorders>
              <w:top w:val="single" w:sz="12" w:space="0" w:color="auto"/>
              <w:left w:val="nil"/>
              <w:bottom w:val="nil"/>
              <w:right w:val="nil"/>
            </w:tcBorders>
            <w:shd w:val="clear" w:color="auto" w:fill="auto"/>
            <w:noWrap/>
            <w:vAlign w:val="bottom"/>
            <w:hideMark/>
          </w:tcPr>
          <w:p w:rsidR="00426156" w:rsidRPr="00426156" w:rsidRDefault="00426156" w:rsidP="00426156">
            <w:pPr>
              <w:rPr>
                <w:rFonts w:eastAsia="Times New Roman" w:cs="Times New Roman"/>
                <w:color w:val="000000"/>
                <w:szCs w:val="24"/>
              </w:rPr>
            </w:pPr>
            <w:r w:rsidRPr="00426156">
              <w:rPr>
                <w:rFonts w:eastAsia="Times New Roman" w:cs="Times New Roman"/>
                <w:color w:val="000000"/>
                <w:szCs w:val="24"/>
              </w:rPr>
              <w:t>Battleground (no controls)</w:t>
            </w:r>
          </w:p>
        </w:tc>
        <w:tc>
          <w:tcPr>
            <w:tcW w:w="0" w:type="auto"/>
            <w:tcBorders>
              <w:top w:val="single" w:sz="12" w:space="0" w:color="auto"/>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.0420</w:t>
            </w:r>
          </w:p>
        </w:tc>
        <w:tc>
          <w:tcPr>
            <w:tcW w:w="0" w:type="auto"/>
            <w:tcBorders>
              <w:top w:val="single" w:sz="12" w:space="0" w:color="auto"/>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.0420</w:t>
            </w:r>
          </w:p>
        </w:tc>
        <w:tc>
          <w:tcPr>
            <w:tcW w:w="0" w:type="auto"/>
            <w:tcBorders>
              <w:top w:val="single" w:sz="12" w:space="0" w:color="auto"/>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3.73</w:t>
            </w:r>
          </w:p>
        </w:tc>
        <w:tc>
          <w:tcPr>
            <w:tcW w:w="0" w:type="auto"/>
            <w:tcBorders>
              <w:top w:val="single" w:sz="12" w:space="0" w:color="auto"/>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3.77</w:t>
            </w:r>
          </w:p>
        </w:tc>
      </w:tr>
      <w:tr w:rsidR="00426156" w:rsidRPr="00426156" w:rsidTr="00426156">
        <w:trPr>
          <w:trHeight w:val="315"/>
          <w:jc w:val="center"/>
        </w:trPr>
        <w:tc>
          <w:tcPr>
            <w:tcW w:w="0" w:type="auto"/>
            <w:tcBorders>
              <w:top w:val="nil"/>
              <w:left w:val="nil"/>
              <w:bottom w:val="nil"/>
              <w:right w:val="nil"/>
            </w:tcBorders>
            <w:shd w:val="clear" w:color="auto" w:fill="auto"/>
            <w:noWrap/>
            <w:vAlign w:val="bottom"/>
            <w:hideMark/>
          </w:tcPr>
          <w:p w:rsidR="00426156" w:rsidRPr="00426156" w:rsidRDefault="00426156" w:rsidP="00426156">
            <w:pPr>
              <w:rPr>
                <w:rFonts w:eastAsia="Times New Roman" w:cs="Times New Roman"/>
                <w:color w:val="000000"/>
                <w:szCs w:val="24"/>
              </w:rPr>
            </w:pPr>
            <w:r w:rsidRPr="00426156">
              <w:rPr>
                <w:rFonts w:eastAsia="Times New Roman" w:cs="Times New Roman"/>
                <w:color w:val="000000"/>
                <w:szCs w:val="24"/>
              </w:rPr>
              <w:t>Battleground (w/ controls)</w:t>
            </w:r>
          </w:p>
        </w:tc>
        <w:tc>
          <w:tcPr>
            <w:tcW w:w="0" w:type="auto"/>
            <w:tcBorders>
              <w:top w:val="nil"/>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.0414</w:t>
            </w:r>
          </w:p>
        </w:tc>
        <w:tc>
          <w:tcPr>
            <w:tcW w:w="0" w:type="auto"/>
            <w:tcBorders>
              <w:top w:val="nil"/>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.0409</w:t>
            </w:r>
          </w:p>
        </w:tc>
        <w:tc>
          <w:tcPr>
            <w:tcW w:w="0" w:type="auto"/>
            <w:tcBorders>
              <w:top w:val="nil"/>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4.08</w:t>
            </w:r>
          </w:p>
        </w:tc>
        <w:tc>
          <w:tcPr>
            <w:tcW w:w="0" w:type="auto"/>
            <w:tcBorders>
              <w:top w:val="nil"/>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4.06</w:t>
            </w:r>
          </w:p>
        </w:tc>
      </w:tr>
      <w:tr w:rsidR="00426156" w:rsidRPr="00426156" w:rsidTr="00426156">
        <w:trPr>
          <w:trHeight w:val="315"/>
          <w:jc w:val="center"/>
        </w:trPr>
        <w:tc>
          <w:tcPr>
            <w:tcW w:w="0" w:type="auto"/>
            <w:tcBorders>
              <w:top w:val="nil"/>
              <w:left w:val="nil"/>
              <w:bottom w:val="nil"/>
              <w:right w:val="nil"/>
            </w:tcBorders>
            <w:shd w:val="clear" w:color="auto" w:fill="auto"/>
            <w:noWrap/>
            <w:vAlign w:val="bottom"/>
            <w:hideMark/>
          </w:tcPr>
          <w:p w:rsidR="00426156" w:rsidRPr="00426156" w:rsidRDefault="00426156" w:rsidP="00426156">
            <w:pPr>
              <w:rPr>
                <w:rFonts w:eastAsia="Times New Roman" w:cs="Times New Roman"/>
                <w:color w:val="000000"/>
                <w:szCs w:val="24"/>
              </w:rPr>
            </w:pPr>
            <w:r w:rsidRPr="00426156">
              <w:rPr>
                <w:rFonts w:eastAsia="Times New Roman" w:cs="Times New Roman"/>
                <w:color w:val="000000"/>
                <w:szCs w:val="24"/>
              </w:rPr>
              <w:t>Romney Effort (no controls)</w:t>
            </w:r>
          </w:p>
        </w:tc>
        <w:tc>
          <w:tcPr>
            <w:tcW w:w="0" w:type="auto"/>
            <w:tcBorders>
              <w:top w:val="nil"/>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.0783</w:t>
            </w:r>
          </w:p>
        </w:tc>
        <w:tc>
          <w:tcPr>
            <w:tcW w:w="0" w:type="auto"/>
            <w:tcBorders>
              <w:top w:val="nil"/>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.0781</w:t>
            </w:r>
          </w:p>
        </w:tc>
        <w:tc>
          <w:tcPr>
            <w:tcW w:w="0" w:type="auto"/>
            <w:tcBorders>
              <w:top w:val="nil"/>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6.32</w:t>
            </w:r>
          </w:p>
        </w:tc>
        <w:tc>
          <w:tcPr>
            <w:tcW w:w="0" w:type="auto"/>
            <w:tcBorders>
              <w:top w:val="nil"/>
              <w:left w:val="nil"/>
              <w:bottom w:val="nil"/>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6.38</w:t>
            </w:r>
          </w:p>
        </w:tc>
      </w:tr>
      <w:tr w:rsidR="00426156" w:rsidRPr="00426156" w:rsidTr="00426156">
        <w:trPr>
          <w:trHeight w:val="315"/>
          <w:jc w:val="center"/>
        </w:trPr>
        <w:tc>
          <w:tcPr>
            <w:tcW w:w="0" w:type="auto"/>
            <w:tcBorders>
              <w:top w:val="nil"/>
              <w:left w:val="nil"/>
              <w:bottom w:val="single" w:sz="12" w:space="0" w:color="auto"/>
              <w:right w:val="nil"/>
            </w:tcBorders>
            <w:shd w:val="clear" w:color="auto" w:fill="auto"/>
            <w:noWrap/>
            <w:vAlign w:val="bottom"/>
            <w:hideMark/>
          </w:tcPr>
          <w:p w:rsidR="00426156" w:rsidRPr="00426156" w:rsidRDefault="00426156" w:rsidP="00426156">
            <w:pPr>
              <w:rPr>
                <w:rFonts w:eastAsia="Times New Roman" w:cs="Times New Roman"/>
                <w:color w:val="000000"/>
                <w:szCs w:val="24"/>
              </w:rPr>
            </w:pPr>
            <w:r w:rsidRPr="00426156">
              <w:rPr>
                <w:rFonts w:eastAsia="Times New Roman" w:cs="Times New Roman"/>
                <w:color w:val="000000"/>
                <w:szCs w:val="24"/>
              </w:rPr>
              <w:t>Romney Effort (w/ controls)</w:t>
            </w:r>
          </w:p>
        </w:tc>
        <w:tc>
          <w:tcPr>
            <w:tcW w:w="0" w:type="auto"/>
            <w:tcBorders>
              <w:top w:val="nil"/>
              <w:left w:val="nil"/>
              <w:bottom w:val="single" w:sz="12" w:space="0" w:color="auto"/>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.0776</w:t>
            </w:r>
          </w:p>
        </w:tc>
        <w:tc>
          <w:tcPr>
            <w:tcW w:w="0" w:type="auto"/>
            <w:tcBorders>
              <w:top w:val="nil"/>
              <w:left w:val="nil"/>
              <w:bottom w:val="single" w:sz="12" w:space="0" w:color="auto"/>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.0765</w:t>
            </w:r>
          </w:p>
        </w:tc>
        <w:tc>
          <w:tcPr>
            <w:tcW w:w="0" w:type="auto"/>
            <w:tcBorders>
              <w:top w:val="nil"/>
              <w:left w:val="nil"/>
              <w:bottom w:val="single" w:sz="12" w:space="0" w:color="auto"/>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6.61</w:t>
            </w:r>
          </w:p>
        </w:tc>
        <w:tc>
          <w:tcPr>
            <w:tcW w:w="0" w:type="auto"/>
            <w:tcBorders>
              <w:top w:val="nil"/>
              <w:left w:val="nil"/>
              <w:bottom w:val="single" w:sz="12" w:space="0" w:color="auto"/>
              <w:right w:val="nil"/>
            </w:tcBorders>
            <w:shd w:val="clear" w:color="auto" w:fill="auto"/>
            <w:noWrap/>
            <w:vAlign w:val="bottom"/>
            <w:hideMark/>
          </w:tcPr>
          <w:p w:rsidR="00426156" w:rsidRPr="00426156" w:rsidRDefault="00426156" w:rsidP="00426156">
            <w:pPr>
              <w:jc w:val="center"/>
              <w:rPr>
                <w:rFonts w:eastAsia="Times New Roman" w:cs="Times New Roman"/>
                <w:color w:val="000000"/>
                <w:szCs w:val="24"/>
              </w:rPr>
            </w:pPr>
            <w:r w:rsidRPr="00426156">
              <w:rPr>
                <w:rFonts w:eastAsia="Times New Roman" w:cs="Times New Roman"/>
                <w:color w:val="000000"/>
                <w:szCs w:val="24"/>
              </w:rPr>
              <w:t>6.56</w:t>
            </w:r>
          </w:p>
        </w:tc>
      </w:tr>
    </w:tbl>
    <w:p w:rsidR="00426156" w:rsidRPr="00426156" w:rsidRDefault="00426156" w:rsidP="00807EFE">
      <w:pPr>
        <w:ind w:left="720" w:hanging="720"/>
        <w:jc w:val="both"/>
        <w:rPr>
          <w:b/>
          <w:szCs w:val="24"/>
        </w:rPr>
      </w:pPr>
    </w:p>
    <w:p w:rsidR="00B56B68" w:rsidRDefault="00B56B68"/>
    <w:sectPr w:rsidR="00B56B68" w:rsidSect="004261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80" w:rsidRDefault="00033B80" w:rsidP="00807EFE">
      <w:r>
        <w:separator/>
      </w:r>
    </w:p>
  </w:endnote>
  <w:endnote w:type="continuationSeparator" w:id="0">
    <w:p w:rsidR="00033B80" w:rsidRDefault="00033B80" w:rsidP="0080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384311"/>
      <w:docPartObj>
        <w:docPartGallery w:val="Page Numbers (Bottom of Page)"/>
        <w:docPartUnique/>
      </w:docPartObj>
    </w:sdtPr>
    <w:sdtEndPr>
      <w:rPr>
        <w:noProof/>
      </w:rPr>
    </w:sdtEndPr>
    <w:sdtContent>
      <w:p w:rsidR="00426156" w:rsidRDefault="00426156" w:rsidP="00426156">
        <w:pPr>
          <w:pStyle w:val="Footer"/>
          <w:jc w:val="center"/>
        </w:pPr>
        <w:r>
          <w:fldChar w:fldCharType="begin"/>
        </w:r>
        <w:r>
          <w:instrText xml:space="preserve"> PAGE   \* MERGEFORMAT </w:instrText>
        </w:r>
        <w:r>
          <w:fldChar w:fldCharType="separate"/>
        </w:r>
        <w:r w:rsidR="000E4618">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80" w:rsidRDefault="00033B80" w:rsidP="00807EFE">
      <w:r>
        <w:separator/>
      </w:r>
    </w:p>
  </w:footnote>
  <w:footnote w:type="continuationSeparator" w:id="0">
    <w:p w:rsidR="00033B80" w:rsidRDefault="00033B80" w:rsidP="00807EFE">
      <w:r>
        <w:continuationSeparator/>
      </w:r>
    </w:p>
  </w:footnote>
  <w:footnote w:id="1">
    <w:p w:rsidR="00426156" w:rsidRPr="00240EB2" w:rsidRDefault="00426156" w:rsidP="00807EFE">
      <w:pPr>
        <w:pStyle w:val="FootnoteText"/>
        <w:ind w:firstLine="720"/>
        <w:jc w:val="both"/>
        <w:rPr>
          <w:sz w:val="24"/>
          <w:szCs w:val="24"/>
        </w:rPr>
      </w:pPr>
      <w:r w:rsidRPr="00A117AE">
        <w:rPr>
          <w:rStyle w:val="FootnoteReference"/>
          <w:sz w:val="24"/>
          <w:szCs w:val="24"/>
        </w:rPr>
        <w:footnoteRef/>
      </w:r>
      <w:r w:rsidRPr="00A117AE">
        <w:rPr>
          <w:sz w:val="24"/>
          <w:szCs w:val="24"/>
        </w:rPr>
        <w:t xml:space="preserve"> All individual controls are included as dummy variables, so linearity assumptions are not a concern. For example, when we say that we include controls for race, we include binary indicators for white, black, Hispanic, and Asian individuals, leaving</w:t>
      </w:r>
      <w:r w:rsidRPr="008F0864">
        <w:rPr>
          <w:sz w:val="24"/>
          <w:szCs w:val="24"/>
        </w:rPr>
        <w:t xml:space="preserve"> other races and missing race inform</w:t>
      </w:r>
      <w:r w:rsidRPr="000D2197">
        <w:rPr>
          <w:sz w:val="24"/>
          <w:szCs w:val="24"/>
        </w:rPr>
        <w:t xml:space="preserve">ation as the omitted category. Predicted family incomes are divided into 9 categories (&lt;5k, 5-12.5k, 12.5-20k, 20-30k, 30-40k, 40-60k, 60-100k, &gt;100k, and missing). We also have some data on age, but we do not incorporate it into our analyses, because age </w:t>
      </w:r>
      <w:r w:rsidRPr="00240EB2">
        <w:rPr>
          <w:sz w:val="24"/>
          <w:szCs w:val="24"/>
        </w:rPr>
        <w:t xml:space="preserve">data is missing for many individuals and the rate of missing data varies significantly across states. </w:t>
      </w:r>
    </w:p>
  </w:footnote>
  <w:footnote w:id="2">
    <w:p w:rsidR="00426156" w:rsidRPr="00240EB2" w:rsidRDefault="00426156" w:rsidP="00807EFE">
      <w:pPr>
        <w:pStyle w:val="FootnoteText"/>
        <w:ind w:firstLine="720"/>
        <w:jc w:val="both"/>
        <w:rPr>
          <w:sz w:val="24"/>
          <w:szCs w:val="24"/>
        </w:rPr>
      </w:pPr>
      <w:r w:rsidRPr="00A117AE">
        <w:rPr>
          <w:rStyle w:val="FootnoteReference"/>
          <w:sz w:val="24"/>
          <w:szCs w:val="24"/>
        </w:rPr>
        <w:footnoteRef/>
      </w:r>
      <w:r w:rsidRPr="00A117AE">
        <w:rPr>
          <w:sz w:val="24"/>
          <w:szCs w:val="24"/>
        </w:rPr>
        <w:t xml:space="preserve"> Only 1 of the 15 coefficients in Table A2 is statistically significant (the coefficient associated with Tier 2 when</w:t>
      </w:r>
      <w:r w:rsidRPr="008F0864">
        <w:rPr>
          <w:sz w:val="24"/>
          <w:szCs w:val="24"/>
        </w:rPr>
        <w:t xml:space="preserve"> individual controls are included), </w:t>
      </w:r>
      <w:r w:rsidRPr="000D2197">
        <w:rPr>
          <w:sz w:val="24"/>
          <w:szCs w:val="24"/>
        </w:rPr>
        <w:t>and given the number of tests, at least one significant coefficient is expected to arise by chance. The statistical significance of Tier 2, rather than Tier 1, despite Tier 1 receiving greater campaign activity has no clear interpretation. This false posit</w:t>
      </w:r>
      <w:r w:rsidRPr="00240EB2">
        <w:rPr>
          <w:sz w:val="24"/>
          <w:szCs w:val="24"/>
        </w:rPr>
        <w:t xml:space="preserve">ive disappears once we control for competitive senatorial or gubernatorial races, because two of the three states in the second tier (PA and FL) happened to have a competitive senatorial or gubernatorial race in 2010. </w:t>
      </w:r>
    </w:p>
  </w:footnote>
  <w:footnote w:id="3">
    <w:p w:rsidR="00426156" w:rsidRPr="008F0864" w:rsidRDefault="00426156" w:rsidP="00807EFE">
      <w:pPr>
        <w:pStyle w:val="FootnoteText"/>
        <w:ind w:firstLine="720"/>
        <w:jc w:val="both"/>
        <w:rPr>
          <w:sz w:val="24"/>
          <w:szCs w:val="24"/>
        </w:rPr>
      </w:pPr>
      <w:r w:rsidRPr="00A117AE">
        <w:rPr>
          <w:rStyle w:val="FootnoteReference"/>
          <w:sz w:val="24"/>
          <w:szCs w:val="24"/>
        </w:rPr>
        <w:footnoteRef/>
      </w:r>
      <w:r w:rsidRPr="00A117AE">
        <w:rPr>
          <w:sz w:val="24"/>
          <w:szCs w:val="24"/>
        </w:rPr>
        <w:t xml:space="preserve"> Obama may have already engaged in general election campaigning at this point, but this activity would create a bias toward a failure of our placebo test.</w:t>
      </w:r>
    </w:p>
  </w:footnote>
  <w:footnote w:id="4">
    <w:p w:rsidR="00426156" w:rsidRPr="000D2197" w:rsidRDefault="00426156" w:rsidP="00807EFE">
      <w:pPr>
        <w:ind w:firstLine="720"/>
        <w:jc w:val="both"/>
        <w:rPr>
          <w:szCs w:val="24"/>
        </w:rPr>
      </w:pPr>
      <w:r w:rsidRPr="00A117AE">
        <w:rPr>
          <w:rStyle w:val="FootnoteReference"/>
          <w:szCs w:val="24"/>
        </w:rPr>
        <w:footnoteRef/>
      </w:r>
      <w:r w:rsidRPr="00A117AE">
        <w:rPr>
          <w:szCs w:val="24"/>
        </w:rPr>
        <w:t xml:space="preserve"> Individuals living in Tier 2 states were slightly more likely to report that they will not vote com</w:t>
      </w:r>
      <w:r w:rsidRPr="008F0864">
        <w:rPr>
          <w:szCs w:val="24"/>
        </w:rPr>
        <w:t>pared to other states (Columns 5 and</w:t>
      </w:r>
      <w:r w:rsidRPr="000D2197">
        <w:rPr>
          <w:szCs w:val="24"/>
        </w:rPr>
        <w:t xml:space="preserve"> 6 in Table A4)—a result that is most likely explained by chance.</w:t>
      </w:r>
    </w:p>
  </w:footnote>
  <w:footnote w:id="5">
    <w:p w:rsidR="00426156" w:rsidRPr="008F0864" w:rsidRDefault="00426156" w:rsidP="00807EFE">
      <w:pPr>
        <w:pStyle w:val="FootnoteText"/>
        <w:ind w:firstLine="720"/>
        <w:jc w:val="both"/>
        <w:rPr>
          <w:sz w:val="24"/>
          <w:szCs w:val="24"/>
        </w:rPr>
      </w:pPr>
      <w:r w:rsidRPr="00A117AE">
        <w:rPr>
          <w:rStyle w:val="FootnoteReference"/>
          <w:sz w:val="24"/>
          <w:szCs w:val="24"/>
        </w:rPr>
        <w:footnoteRef/>
      </w:r>
      <w:r w:rsidRPr="00A117AE">
        <w:rPr>
          <w:sz w:val="24"/>
          <w:szCs w:val="24"/>
        </w:rPr>
        <w:t xml:space="preserve"> See, for example, Meredith, Marc. 2009. Persistence in Political Participation. </w:t>
      </w:r>
      <w:r w:rsidRPr="002142F1">
        <w:rPr>
          <w:i/>
          <w:sz w:val="24"/>
          <w:szCs w:val="24"/>
        </w:rPr>
        <w:t xml:space="preserve">Quarterly Journal of Political Science </w:t>
      </w:r>
      <w:r w:rsidRPr="008F0864">
        <w:rPr>
          <w:sz w:val="24"/>
          <w:szCs w:val="24"/>
        </w:rPr>
        <w:t>4(3):186-208.</w:t>
      </w:r>
    </w:p>
  </w:footnote>
  <w:footnote w:id="6">
    <w:p w:rsidR="00426156" w:rsidRPr="00390B87" w:rsidRDefault="00426156" w:rsidP="00807EFE">
      <w:pPr>
        <w:pStyle w:val="FootnoteText"/>
        <w:ind w:firstLine="720"/>
        <w:jc w:val="both"/>
        <w:rPr>
          <w:sz w:val="24"/>
          <w:szCs w:val="24"/>
        </w:rPr>
      </w:pPr>
      <w:r w:rsidRPr="00A117AE">
        <w:rPr>
          <w:rStyle w:val="FootnoteReference"/>
          <w:sz w:val="24"/>
          <w:szCs w:val="24"/>
        </w:rPr>
        <w:footnoteRef/>
      </w:r>
      <w:r w:rsidRPr="00A117AE">
        <w:rPr>
          <w:sz w:val="24"/>
          <w:szCs w:val="24"/>
        </w:rPr>
        <w:t xml:space="preserve"> Multiple files ob</w:t>
      </w:r>
      <w:r w:rsidRPr="002142F1">
        <w:rPr>
          <w:sz w:val="24"/>
          <w:szCs w:val="24"/>
        </w:rPr>
        <w:t xml:space="preserve">tained from Obama staff, March 18, 2014. Data aggregated by the authors. </w:t>
      </w:r>
    </w:p>
  </w:footnote>
  <w:footnote w:id="7">
    <w:p w:rsidR="00426156" w:rsidRPr="00240EB2" w:rsidRDefault="00426156" w:rsidP="00807EFE">
      <w:pPr>
        <w:pStyle w:val="FootnoteText"/>
        <w:ind w:firstLine="720"/>
        <w:jc w:val="both"/>
        <w:rPr>
          <w:sz w:val="24"/>
          <w:szCs w:val="24"/>
        </w:rPr>
      </w:pPr>
      <w:r w:rsidRPr="00A117AE">
        <w:rPr>
          <w:rStyle w:val="FootnoteReference"/>
          <w:sz w:val="24"/>
          <w:szCs w:val="24"/>
        </w:rPr>
        <w:footnoteRef/>
      </w:r>
      <w:r w:rsidRPr="00A117AE">
        <w:rPr>
          <w:sz w:val="24"/>
          <w:szCs w:val="24"/>
        </w:rPr>
        <w:t xml:space="preserve"> One explanation for this negative coefficient is that the Obama campaign attempted to strategically target these advertisements in areas where the turnout of supporters, based on e</w:t>
      </w:r>
      <w:r w:rsidRPr="008F0864">
        <w:rPr>
          <w:sz w:val="24"/>
          <w:szCs w:val="24"/>
        </w:rPr>
        <w:t xml:space="preserve">arly and absentee voting, was below </w:t>
      </w:r>
      <w:r w:rsidRPr="00240EB2">
        <w:rPr>
          <w:sz w:val="24"/>
          <w:szCs w:val="24"/>
        </w:rPr>
        <w:t xml:space="preserve">their targets (personal communication with an Obama staffer on March 19, 2014). Unlike traditional ground campaigning, digital advertising is nimble and can be shifted quickly based on last-minute information (e.g., early voting returns), so these kinds of concerns about omitted variables or reverse causation are more prevalent for digital advertising than for other forms of campaigning. For these reasons, the negative coefficient should not be interpreted as evidence of a negative effect of digital campaigning. </w:t>
      </w:r>
    </w:p>
  </w:footnote>
  <w:footnote w:id="8">
    <w:p w:rsidR="00426156" w:rsidRPr="008F0864" w:rsidRDefault="00426156" w:rsidP="00807EFE">
      <w:pPr>
        <w:pStyle w:val="FootnoteText"/>
        <w:ind w:firstLine="720"/>
        <w:jc w:val="both"/>
        <w:rPr>
          <w:sz w:val="24"/>
          <w:szCs w:val="24"/>
        </w:rPr>
      </w:pPr>
      <w:r w:rsidRPr="00A117AE">
        <w:rPr>
          <w:rStyle w:val="FootnoteReference"/>
          <w:sz w:val="24"/>
          <w:szCs w:val="24"/>
        </w:rPr>
        <w:footnoteRef/>
      </w:r>
      <w:r w:rsidRPr="00A117AE">
        <w:rPr>
          <w:sz w:val="24"/>
          <w:szCs w:val="24"/>
        </w:rPr>
        <w:t xml:space="preserve"> This data was collected by </w:t>
      </w:r>
      <w:proofErr w:type="spellStart"/>
      <w:r w:rsidRPr="00A117AE">
        <w:rPr>
          <w:sz w:val="24"/>
          <w:szCs w:val="24"/>
        </w:rPr>
        <w:t>Kanter</w:t>
      </w:r>
      <w:proofErr w:type="spellEnd"/>
      <w:r w:rsidRPr="00A117AE">
        <w:rPr>
          <w:sz w:val="24"/>
          <w:szCs w:val="24"/>
        </w:rPr>
        <w:t xml:space="preserve"> Media/CMAG and made public available by </w:t>
      </w:r>
      <w:r w:rsidRPr="002142F1">
        <w:rPr>
          <w:i/>
          <w:sz w:val="24"/>
          <w:szCs w:val="24"/>
        </w:rPr>
        <w:t>The Washington Post</w:t>
      </w:r>
      <w:r w:rsidRPr="008F0864">
        <w:rPr>
          <w:sz w:val="24"/>
          <w:szCs w:val="24"/>
        </w:rPr>
        <w:t xml:space="preserve"> at http://www.washingtonpost.com/wp-srv/special/politics/track-presidential-campaign-ads-2012/.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FE"/>
    <w:rsid w:val="0000211A"/>
    <w:rsid w:val="00004284"/>
    <w:rsid w:val="00004933"/>
    <w:rsid w:val="00004B5F"/>
    <w:rsid w:val="00004F48"/>
    <w:rsid w:val="00005D16"/>
    <w:rsid w:val="00006B97"/>
    <w:rsid w:val="00007AF7"/>
    <w:rsid w:val="00007FB1"/>
    <w:rsid w:val="00011074"/>
    <w:rsid w:val="000113EF"/>
    <w:rsid w:val="00011B3E"/>
    <w:rsid w:val="00013DC5"/>
    <w:rsid w:val="0001530F"/>
    <w:rsid w:val="00015788"/>
    <w:rsid w:val="000161FE"/>
    <w:rsid w:val="00016297"/>
    <w:rsid w:val="00016501"/>
    <w:rsid w:val="00016962"/>
    <w:rsid w:val="000169F3"/>
    <w:rsid w:val="00021B89"/>
    <w:rsid w:val="00022C74"/>
    <w:rsid w:val="00023296"/>
    <w:rsid w:val="000232AC"/>
    <w:rsid w:val="00024249"/>
    <w:rsid w:val="0002570C"/>
    <w:rsid w:val="00027967"/>
    <w:rsid w:val="00027E91"/>
    <w:rsid w:val="00030B32"/>
    <w:rsid w:val="0003133C"/>
    <w:rsid w:val="00031C4E"/>
    <w:rsid w:val="00032653"/>
    <w:rsid w:val="00032A54"/>
    <w:rsid w:val="00033B80"/>
    <w:rsid w:val="00034289"/>
    <w:rsid w:val="00035385"/>
    <w:rsid w:val="00036A03"/>
    <w:rsid w:val="00037CDF"/>
    <w:rsid w:val="00040308"/>
    <w:rsid w:val="00041555"/>
    <w:rsid w:val="00043A95"/>
    <w:rsid w:val="00045ED0"/>
    <w:rsid w:val="00046534"/>
    <w:rsid w:val="00047BAC"/>
    <w:rsid w:val="000500C7"/>
    <w:rsid w:val="000511FD"/>
    <w:rsid w:val="00052414"/>
    <w:rsid w:val="000531BC"/>
    <w:rsid w:val="00053561"/>
    <w:rsid w:val="00055FAA"/>
    <w:rsid w:val="000564B4"/>
    <w:rsid w:val="00056C84"/>
    <w:rsid w:val="00056C8D"/>
    <w:rsid w:val="000603C0"/>
    <w:rsid w:val="0006095D"/>
    <w:rsid w:val="00061958"/>
    <w:rsid w:val="00065215"/>
    <w:rsid w:val="00065B04"/>
    <w:rsid w:val="00066A1A"/>
    <w:rsid w:val="00067542"/>
    <w:rsid w:val="000717C1"/>
    <w:rsid w:val="00071BA8"/>
    <w:rsid w:val="00073B74"/>
    <w:rsid w:val="00074AA6"/>
    <w:rsid w:val="00074B1B"/>
    <w:rsid w:val="00076010"/>
    <w:rsid w:val="00076F2B"/>
    <w:rsid w:val="000772CD"/>
    <w:rsid w:val="00077751"/>
    <w:rsid w:val="000803C3"/>
    <w:rsid w:val="00082AB5"/>
    <w:rsid w:val="00082CEC"/>
    <w:rsid w:val="00083808"/>
    <w:rsid w:val="00083EEC"/>
    <w:rsid w:val="00084310"/>
    <w:rsid w:val="00085467"/>
    <w:rsid w:val="00087054"/>
    <w:rsid w:val="0008799C"/>
    <w:rsid w:val="000909D1"/>
    <w:rsid w:val="00090BAB"/>
    <w:rsid w:val="0009198D"/>
    <w:rsid w:val="00091EAE"/>
    <w:rsid w:val="0009301D"/>
    <w:rsid w:val="00093D47"/>
    <w:rsid w:val="00094849"/>
    <w:rsid w:val="0009521D"/>
    <w:rsid w:val="00095C44"/>
    <w:rsid w:val="0009776F"/>
    <w:rsid w:val="000A1003"/>
    <w:rsid w:val="000A1456"/>
    <w:rsid w:val="000A234F"/>
    <w:rsid w:val="000A2B42"/>
    <w:rsid w:val="000A2E12"/>
    <w:rsid w:val="000A3876"/>
    <w:rsid w:val="000A4188"/>
    <w:rsid w:val="000A6F83"/>
    <w:rsid w:val="000B0E96"/>
    <w:rsid w:val="000B19D5"/>
    <w:rsid w:val="000B24CC"/>
    <w:rsid w:val="000B33F7"/>
    <w:rsid w:val="000B3A27"/>
    <w:rsid w:val="000B68F8"/>
    <w:rsid w:val="000C0917"/>
    <w:rsid w:val="000C1923"/>
    <w:rsid w:val="000C23CC"/>
    <w:rsid w:val="000C28C2"/>
    <w:rsid w:val="000C3A01"/>
    <w:rsid w:val="000C44BF"/>
    <w:rsid w:val="000C49DA"/>
    <w:rsid w:val="000C4FC6"/>
    <w:rsid w:val="000C53A7"/>
    <w:rsid w:val="000C55F0"/>
    <w:rsid w:val="000C6248"/>
    <w:rsid w:val="000C625C"/>
    <w:rsid w:val="000C773C"/>
    <w:rsid w:val="000C77FE"/>
    <w:rsid w:val="000C7D57"/>
    <w:rsid w:val="000C7D90"/>
    <w:rsid w:val="000D1F55"/>
    <w:rsid w:val="000D30DD"/>
    <w:rsid w:val="000D4218"/>
    <w:rsid w:val="000D4E23"/>
    <w:rsid w:val="000D5769"/>
    <w:rsid w:val="000D607B"/>
    <w:rsid w:val="000E0BFE"/>
    <w:rsid w:val="000E0F97"/>
    <w:rsid w:val="000E1DA9"/>
    <w:rsid w:val="000E20CE"/>
    <w:rsid w:val="000E3D27"/>
    <w:rsid w:val="000E4618"/>
    <w:rsid w:val="000E5101"/>
    <w:rsid w:val="000E693A"/>
    <w:rsid w:val="000F2012"/>
    <w:rsid w:val="000F2F1E"/>
    <w:rsid w:val="000F2F78"/>
    <w:rsid w:val="000F30FC"/>
    <w:rsid w:val="000F418A"/>
    <w:rsid w:val="000F7596"/>
    <w:rsid w:val="00100CC1"/>
    <w:rsid w:val="0010255E"/>
    <w:rsid w:val="0010328F"/>
    <w:rsid w:val="0010335C"/>
    <w:rsid w:val="00103654"/>
    <w:rsid w:val="00103ADC"/>
    <w:rsid w:val="00106907"/>
    <w:rsid w:val="001109A5"/>
    <w:rsid w:val="001115E6"/>
    <w:rsid w:val="00111655"/>
    <w:rsid w:val="001117C9"/>
    <w:rsid w:val="001117DF"/>
    <w:rsid w:val="0011227D"/>
    <w:rsid w:val="00113313"/>
    <w:rsid w:val="00113D15"/>
    <w:rsid w:val="00114277"/>
    <w:rsid w:val="00114AEF"/>
    <w:rsid w:val="00114B9C"/>
    <w:rsid w:val="001175BB"/>
    <w:rsid w:val="0012319A"/>
    <w:rsid w:val="00123CAB"/>
    <w:rsid w:val="00123CB5"/>
    <w:rsid w:val="00126F78"/>
    <w:rsid w:val="001271CA"/>
    <w:rsid w:val="0013740E"/>
    <w:rsid w:val="001413E7"/>
    <w:rsid w:val="00150CF6"/>
    <w:rsid w:val="001517F3"/>
    <w:rsid w:val="00151B6F"/>
    <w:rsid w:val="0015260E"/>
    <w:rsid w:val="00152C87"/>
    <w:rsid w:val="00153B8E"/>
    <w:rsid w:val="00153FE9"/>
    <w:rsid w:val="00154A92"/>
    <w:rsid w:val="001552B6"/>
    <w:rsid w:val="00155746"/>
    <w:rsid w:val="0015657E"/>
    <w:rsid w:val="0015672E"/>
    <w:rsid w:val="00157A97"/>
    <w:rsid w:val="00157C61"/>
    <w:rsid w:val="0016086F"/>
    <w:rsid w:val="00160CF7"/>
    <w:rsid w:val="00161BB2"/>
    <w:rsid w:val="00162890"/>
    <w:rsid w:val="00162A58"/>
    <w:rsid w:val="00163F80"/>
    <w:rsid w:val="00165111"/>
    <w:rsid w:val="001720C2"/>
    <w:rsid w:val="00172BB4"/>
    <w:rsid w:val="0017365F"/>
    <w:rsid w:val="00173C47"/>
    <w:rsid w:val="001744F6"/>
    <w:rsid w:val="00176D52"/>
    <w:rsid w:val="00177AA2"/>
    <w:rsid w:val="001819B2"/>
    <w:rsid w:val="00182D54"/>
    <w:rsid w:val="001839AC"/>
    <w:rsid w:val="00183BF7"/>
    <w:rsid w:val="001871C5"/>
    <w:rsid w:val="001909D2"/>
    <w:rsid w:val="00192107"/>
    <w:rsid w:val="00192325"/>
    <w:rsid w:val="00192F04"/>
    <w:rsid w:val="001930A1"/>
    <w:rsid w:val="00193EDE"/>
    <w:rsid w:val="0019438E"/>
    <w:rsid w:val="00195D22"/>
    <w:rsid w:val="00196440"/>
    <w:rsid w:val="00197A5A"/>
    <w:rsid w:val="001A205A"/>
    <w:rsid w:val="001A27BC"/>
    <w:rsid w:val="001A2A38"/>
    <w:rsid w:val="001A3073"/>
    <w:rsid w:val="001A3455"/>
    <w:rsid w:val="001A3B33"/>
    <w:rsid w:val="001A4994"/>
    <w:rsid w:val="001A49F5"/>
    <w:rsid w:val="001A513C"/>
    <w:rsid w:val="001A591E"/>
    <w:rsid w:val="001A6367"/>
    <w:rsid w:val="001A68A4"/>
    <w:rsid w:val="001A6CB0"/>
    <w:rsid w:val="001A7A8D"/>
    <w:rsid w:val="001B346D"/>
    <w:rsid w:val="001B5081"/>
    <w:rsid w:val="001B56CB"/>
    <w:rsid w:val="001C028B"/>
    <w:rsid w:val="001C1EF6"/>
    <w:rsid w:val="001C28D3"/>
    <w:rsid w:val="001C2A1F"/>
    <w:rsid w:val="001C3807"/>
    <w:rsid w:val="001C3B08"/>
    <w:rsid w:val="001C64FD"/>
    <w:rsid w:val="001C739A"/>
    <w:rsid w:val="001D0263"/>
    <w:rsid w:val="001D0DE4"/>
    <w:rsid w:val="001D1409"/>
    <w:rsid w:val="001D15AD"/>
    <w:rsid w:val="001D176E"/>
    <w:rsid w:val="001D1C1C"/>
    <w:rsid w:val="001D1C42"/>
    <w:rsid w:val="001D249D"/>
    <w:rsid w:val="001D5B0B"/>
    <w:rsid w:val="001D7261"/>
    <w:rsid w:val="001D7D34"/>
    <w:rsid w:val="001E2960"/>
    <w:rsid w:val="001E3597"/>
    <w:rsid w:val="001E6505"/>
    <w:rsid w:val="001E6DC3"/>
    <w:rsid w:val="001F177A"/>
    <w:rsid w:val="001F1830"/>
    <w:rsid w:val="001F21AF"/>
    <w:rsid w:val="001F248A"/>
    <w:rsid w:val="001F2D6B"/>
    <w:rsid w:val="001F4CE8"/>
    <w:rsid w:val="001F4D91"/>
    <w:rsid w:val="001F56A6"/>
    <w:rsid w:val="001F5C2D"/>
    <w:rsid w:val="001F7856"/>
    <w:rsid w:val="00201A4F"/>
    <w:rsid w:val="00201B4F"/>
    <w:rsid w:val="0020437F"/>
    <w:rsid w:val="002063EC"/>
    <w:rsid w:val="0020646D"/>
    <w:rsid w:val="002064D6"/>
    <w:rsid w:val="00206BC3"/>
    <w:rsid w:val="002113D0"/>
    <w:rsid w:val="00211FB0"/>
    <w:rsid w:val="002126DF"/>
    <w:rsid w:val="00215FA3"/>
    <w:rsid w:val="00220137"/>
    <w:rsid w:val="002211E4"/>
    <w:rsid w:val="00221A19"/>
    <w:rsid w:val="00222218"/>
    <w:rsid w:val="0022243A"/>
    <w:rsid w:val="002242D9"/>
    <w:rsid w:val="00226FF2"/>
    <w:rsid w:val="002311E8"/>
    <w:rsid w:val="00231CB9"/>
    <w:rsid w:val="0023298E"/>
    <w:rsid w:val="002329EA"/>
    <w:rsid w:val="00232D2A"/>
    <w:rsid w:val="002331F8"/>
    <w:rsid w:val="00235DB6"/>
    <w:rsid w:val="00240C7C"/>
    <w:rsid w:val="00242462"/>
    <w:rsid w:val="002473FA"/>
    <w:rsid w:val="002474EB"/>
    <w:rsid w:val="00250B66"/>
    <w:rsid w:val="002524C4"/>
    <w:rsid w:val="00253A4F"/>
    <w:rsid w:val="00253DBB"/>
    <w:rsid w:val="00253F79"/>
    <w:rsid w:val="0025641C"/>
    <w:rsid w:val="00256965"/>
    <w:rsid w:val="00256E72"/>
    <w:rsid w:val="002602B9"/>
    <w:rsid w:val="002608A1"/>
    <w:rsid w:val="00260FE7"/>
    <w:rsid w:val="00262188"/>
    <w:rsid w:val="0026260C"/>
    <w:rsid w:val="00262F98"/>
    <w:rsid w:val="00263235"/>
    <w:rsid w:val="002635D9"/>
    <w:rsid w:val="002649C7"/>
    <w:rsid w:val="002662B6"/>
    <w:rsid w:val="00267CA5"/>
    <w:rsid w:val="00267EC2"/>
    <w:rsid w:val="00267EED"/>
    <w:rsid w:val="00267FB9"/>
    <w:rsid w:val="00270096"/>
    <w:rsid w:val="00270134"/>
    <w:rsid w:val="00270196"/>
    <w:rsid w:val="0027036D"/>
    <w:rsid w:val="00270835"/>
    <w:rsid w:val="002743E0"/>
    <w:rsid w:val="00275899"/>
    <w:rsid w:val="00276509"/>
    <w:rsid w:val="00276984"/>
    <w:rsid w:val="00280D93"/>
    <w:rsid w:val="002814F5"/>
    <w:rsid w:val="00281991"/>
    <w:rsid w:val="00282491"/>
    <w:rsid w:val="00282E54"/>
    <w:rsid w:val="00284376"/>
    <w:rsid w:val="0028464A"/>
    <w:rsid w:val="002853AA"/>
    <w:rsid w:val="0028543A"/>
    <w:rsid w:val="00286592"/>
    <w:rsid w:val="00286924"/>
    <w:rsid w:val="00292CE6"/>
    <w:rsid w:val="0029394B"/>
    <w:rsid w:val="00293B6B"/>
    <w:rsid w:val="00293DC6"/>
    <w:rsid w:val="00294C3A"/>
    <w:rsid w:val="002A1236"/>
    <w:rsid w:val="002A4DBA"/>
    <w:rsid w:val="002A4E3A"/>
    <w:rsid w:val="002A735A"/>
    <w:rsid w:val="002B0756"/>
    <w:rsid w:val="002B0A28"/>
    <w:rsid w:val="002B0A74"/>
    <w:rsid w:val="002B2404"/>
    <w:rsid w:val="002B2CD7"/>
    <w:rsid w:val="002B3E16"/>
    <w:rsid w:val="002B4879"/>
    <w:rsid w:val="002B580E"/>
    <w:rsid w:val="002B6504"/>
    <w:rsid w:val="002B66AC"/>
    <w:rsid w:val="002B7877"/>
    <w:rsid w:val="002C0727"/>
    <w:rsid w:val="002C1E4B"/>
    <w:rsid w:val="002C33F8"/>
    <w:rsid w:val="002C4C7C"/>
    <w:rsid w:val="002C5D6C"/>
    <w:rsid w:val="002C77C1"/>
    <w:rsid w:val="002D0FF5"/>
    <w:rsid w:val="002D1F99"/>
    <w:rsid w:val="002D247E"/>
    <w:rsid w:val="002D27E5"/>
    <w:rsid w:val="002D4613"/>
    <w:rsid w:val="002D481A"/>
    <w:rsid w:val="002D4C6B"/>
    <w:rsid w:val="002D54DA"/>
    <w:rsid w:val="002D78F3"/>
    <w:rsid w:val="002D7D96"/>
    <w:rsid w:val="002E6558"/>
    <w:rsid w:val="002E6AF9"/>
    <w:rsid w:val="002E6F9F"/>
    <w:rsid w:val="002E7E6C"/>
    <w:rsid w:val="002F0452"/>
    <w:rsid w:val="002F0628"/>
    <w:rsid w:val="002F0B7D"/>
    <w:rsid w:val="002F1441"/>
    <w:rsid w:val="002F2EC9"/>
    <w:rsid w:val="002F5F4C"/>
    <w:rsid w:val="0030169D"/>
    <w:rsid w:val="003024CA"/>
    <w:rsid w:val="00304D99"/>
    <w:rsid w:val="00305291"/>
    <w:rsid w:val="003074B0"/>
    <w:rsid w:val="003119F5"/>
    <w:rsid w:val="003126F8"/>
    <w:rsid w:val="003133E6"/>
    <w:rsid w:val="00323621"/>
    <w:rsid w:val="00323912"/>
    <w:rsid w:val="003320DD"/>
    <w:rsid w:val="00332529"/>
    <w:rsid w:val="003330D1"/>
    <w:rsid w:val="003338D0"/>
    <w:rsid w:val="00333F9A"/>
    <w:rsid w:val="003354A7"/>
    <w:rsid w:val="003354BF"/>
    <w:rsid w:val="0034173C"/>
    <w:rsid w:val="00341E57"/>
    <w:rsid w:val="00342200"/>
    <w:rsid w:val="0034277A"/>
    <w:rsid w:val="0034324E"/>
    <w:rsid w:val="0034633D"/>
    <w:rsid w:val="003519CE"/>
    <w:rsid w:val="00351C28"/>
    <w:rsid w:val="003527B2"/>
    <w:rsid w:val="003550F9"/>
    <w:rsid w:val="00355D11"/>
    <w:rsid w:val="0035610D"/>
    <w:rsid w:val="0035638D"/>
    <w:rsid w:val="0035667D"/>
    <w:rsid w:val="0035677F"/>
    <w:rsid w:val="003571CA"/>
    <w:rsid w:val="00357E5E"/>
    <w:rsid w:val="00360D65"/>
    <w:rsid w:val="003617BD"/>
    <w:rsid w:val="00362562"/>
    <w:rsid w:val="00362903"/>
    <w:rsid w:val="00363265"/>
    <w:rsid w:val="00363DEB"/>
    <w:rsid w:val="00365A18"/>
    <w:rsid w:val="00365AA4"/>
    <w:rsid w:val="00365F04"/>
    <w:rsid w:val="00366554"/>
    <w:rsid w:val="00371824"/>
    <w:rsid w:val="00374C6A"/>
    <w:rsid w:val="00375E72"/>
    <w:rsid w:val="003764F0"/>
    <w:rsid w:val="00376B1E"/>
    <w:rsid w:val="00380A24"/>
    <w:rsid w:val="00380F69"/>
    <w:rsid w:val="003836FB"/>
    <w:rsid w:val="003840C4"/>
    <w:rsid w:val="00385E57"/>
    <w:rsid w:val="0038641C"/>
    <w:rsid w:val="00386EDE"/>
    <w:rsid w:val="00387773"/>
    <w:rsid w:val="00391456"/>
    <w:rsid w:val="00395317"/>
    <w:rsid w:val="0039564B"/>
    <w:rsid w:val="00395781"/>
    <w:rsid w:val="00395DB9"/>
    <w:rsid w:val="00395FF1"/>
    <w:rsid w:val="00396AA0"/>
    <w:rsid w:val="00396ED1"/>
    <w:rsid w:val="00397933"/>
    <w:rsid w:val="003A0A5A"/>
    <w:rsid w:val="003A2313"/>
    <w:rsid w:val="003A2AC8"/>
    <w:rsid w:val="003A3C00"/>
    <w:rsid w:val="003A5866"/>
    <w:rsid w:val="003A78A2"/>
    <w:rsid w:val="003B22F3"/>
    <w:rsid w:val="003B35FB"/>
    <w:rsid w:val="003B3C40"/>
    <w:rsid w:val="003B4861"/>
    <w:rsid w:val="003B55EC"/>
    <w:rsid w:val="003B6C8B"/>
    <w:rsid w:val="003B76BB"/>
    <w:rsid w:val="003B7FB5"/>
    <w:rsid w:val="003C0009"/>
    <w:rsid w:val="003C0841"/>
    <w:rsid w:val="003C0E60"/>
    <w:rsid w:val="003C0ECE"/>
    <w:rsid w:val="003C2A6A"/>
    <w:rsid w:val="003C36DC"/>
    <w:rsid w:val="003C6050"/>
    <w:rsid w:val="003C7487"/>
    <w:rsid w:val="003C7BFC"/>
    <w:rsid w:val="003C7D91"/>
    <w:rsid w:val="003D03D4"/>
    <w:rsid w:val="003D2018"/>
    <w:rsid w:val="003E10D4"/>
    <w:rsid w:val="003E1812"/>
    <w:rsid w:val="003E1C06"/>
    <w:rsid w:val="003E41B8"/>
    <w:rsid w:val="003E57FA"/>
    <w:rsid w:val="003E5BFD"/>
    <w:rsid w:val="003E5EFC"/>
    <w:rsid w:val="003E73D4"/>
    <w:rsid w:val="003E7BA8"/>
    <w:rsid w:val="003F0A58"/>
    <w:rsid w:val="003F110F"/>
    <w:rsid w:val="003F1F5E"/>
    <w:rsid w:val="003F29FB"/>
    <w:rsid w:val="003F3873"/>
    <w:rsid w:val="003F3BB2"/>
    <w:rsid w:val="003F63ED"/>
    <w:rsid w:val="003F7A5C"/>
    <w:rsid w:val="0040038E"/>
    <w:rsid w:val="00400F96"/>
    <w:rsid w:val="0040363C"/>
    <w:rsid w:val="00404AAC"/>
    <w:rsid w:val="004075DC"/>
    <w:rsid w:val="00410551"/>
    <w:rsid w:val="0041189F"/>
    <w:rsid w:val="00413B5D"/>
    <w:rsid w:val="00413BB3"/>
    <w:rsid w:val="0041402F"/>
    <w:rsid w:val="00414C07"/>
    <w:rsid w:val="00415973"/>
    <w:rsid w:val="004164D1"/>
    <w:rsid w:val="00420695"/>
    <w:rsid w:val="00422281"/>
    <w:rsid w:val="00422507"/>
    <w:rsid w:val="00422B46"/>
    <w:rsid w:val="00424B4B"/>
    <w:rsid w:val="00426156"/>
    <w:rsid w:val="00427174"/>
    <w:rsid w:val="00427282"/>
    <w:rsid w:val="004275FB"/>
    <w:rsid w:val="00427659"/>
    <w:rsid w:val="00427675"/>
    <w:rsid w:val="00430756"/>
    <w:rsid w:val="00430A03"/>
    <w:rsid w:val="0043298E"/>
    <w:rsid w:val="00435C9D"/>
    <w:rsid w:val="00436197"/>
    <w:rsid w:val="00437C9F"/>
    <w:rsid w:val="00437E2A"/>
    <w:rsid w:val="00440071"/>
    <w:rsid w:val="004408E1"/>
    <w:rsid w:val="0044582B"/>
    <w:rsid w:val="00445A0A"/>
    <w:rsid w:val="00446664"/>
    <w:rsid w:val="00453E56"/>
    <w:rsid w:val="004559C9"/>
    <w:rsid w:val="00455F61"/>
    <w:rsid w:val="0045607E"/>
    <w:rsid w:val="00456B0D"/>
    <w:rsid w:val="00456E5E"/>
    <w:rsid w:val="004617DF"/>
    <w:rsid w:val="00462E60"/>
    <w:rsid w:val="004649EB"/>
    <w:rsid w:val="0046620A"/>
    <w:rsid w:val="00466A9B"/>
    <w:rsid w:val="004706CC"/>
    <w:rsid w:val="0047091C"/>
    <w:rsid w:val="00473C07"/>
    <w:rsid w:val="00473FC7"/>
    <w:rsid w:val="0047569C"/>
    <w:rsid w:val="00475AE7"/>
    <w:rsid w:val="00476397"/>
    <w:rsid w:val="00477A96"/>
    <w:rsid w:val="00480FDF"/>
    <w:rsid w:val="004816D0"/>
    <w:rsid w:val="004818EF"/>
    <w:rsid w:val="004839AA"/>
    <w:rsid w:val="00484845"/>
    <w:rsid w:val="0048512C"/>
    <w:rsid w:val="004866A3"/>
    <w:rsid w:val="00486AD7"/>
    <w:rsid w:val="00491801"/>
    <w:rsid w:val="004934A5"/>
    <w:rsid w:val="00496965"/>
    <w:rsid w:val="004A05AB"/>
    <w:rsid w:val="004A108C"/>
    <w:rsid w:val="004A2179"/>
    <w:rsid w:val="004A2DA0"/>
    <w:rsid w:val="004A2E94"/>
    <w:rsid w:val="004A31BA"/>
    <w:rsid w:val="004A3A6D"/>
    <w:rsid w:val="004A560A"/>
    <w:rsid w:val="004A5C03"/>
    <w:rsid w:val="004A62C5"/>
    <w:rsid w:val="004B1DAD"/>
    <w:rsid w:val="004B3132"/>
    <w:rsid w:val="004B5D14"/>
    <w:rsid w:val="004B72B5"/>
    <w:rsid w:val="004B7F2D"/>
    <w:rsid w:val="004C1224"/>
    <w:rsid w:val="004C32DE"/>
    <w:rsid w:val="004C4AF4"/>
    <w:rsid w:val="004C6AAF"/>
    <w:rsid w:val="004C7FE4"/>
    <w:rsid w:val="004D08CA"/>
    <w:rsid w:val="004D2BF4"/>
    <w:rsid w:val="004D3085"/>
    <w:rsid w:val="004D3FAE"/>
    <w:rsid w:val="004D496D"/>
    <w:rsid w:val="004D51F6"/>
    <w:rsid w:val="004E362E"/>
    <w:rsid w:val="004E4813"/>
    <w:rsid w:val="004E593E"/>
    <w:rsid w:val="004E6673"/>
    <w:rsid w:val="004F0D73"/>
    <w:rsid w:val="004F0DA6"/>
    <w:rsid w:val="004F23CE"/>
    <w:rsid w:val="004F3A05"/>
    <w:rsid w:val="004F4095"/>
    <w:rsid w:val="004F4EF4"/>
    <w:rsid w:val="004F4FDD"/>
    <w:rsid w:val="004F60C0"/>
    <w:rsid w:val="0050082D"/>
    <w:rsid w:val="00500AC8"/>
    <w:rsid w:val="005017BC"/>
    <w:rsid w:val="005027C9"/>
    <w:rsid w:val="005045D3"/>
    <w:rsid w:val="0050490A"/>
    <w:rsid w:val="0050509E"/>
    <w:rsid w:val="0050578C"/>
    <w:rsid w:val="005057FE"/>
    <w:rsid w:val="00507E7E"/>
    <w:rsid w:val="00510545"/>
    <w:rsid w:val="005123DD"/>
    <w:rsid w:val="005133F1"/>
    <w:rsid w:val="00513DD7"/>
    <w:rsid w:val="00514208"/>
    <w:rsid w:val="005146A7"/>
    <w:rsid w:val="0051531E"/>
    <w:rsid w:val="00517B55"/>
    <w:rsid w:val="00517E9C"/>
    <w:rsid w:val="0052039D"/>
    <w:rsid w:val="0052047B"/>
    <w:rsid w:val="00520C36"/>
    <w:rsid w:val="00520CDE"/>
    <w:rsid w:val="00521A91"/>
    <w:rsid w:val="005221F7"/>
    <w:rsid w:val="005237CB"/>
    <w:rsid w:val="00524CB6"/>
    <w:rsid w:val="00525102"/>
    <w:rsid w:val="005256C8"/>
    <w:rsid w:val="00525855"/>
    <w:rsid w:val="00525B79"/>
    <w:rsid w:val="00525CF1"/>
    <w:rsid w:val="005265E6"/>
    <w:rsid w:val="005332B0"/>
    <w:rsid w:val="00533D7E"/>
    <w:rsid w:val="005342EA"/>
    <w:rsid w:val="0053526F"/>
    <w:rsid w:val="00536101"/>
    <w:rsid w:val="0053665B"/>
    <w:rsid w:val="00540CAB"/>
    <w:rsid w:val="005428EF"/>
    <w:rsid w:val="00542AC7"/>
    <w:rsid w:val="005438E9"/>
    <w:rsid w:val="00544FFF"/>
    <w:rsid w:val="00545056"/>
    <w:rsid w:val="00545BAD"/>
    <w:rsid w:val="00545F4A"/>
    <w:rsid w:val="005471CF"/>
    <w:rsid w:val="00550277"/>
    <w:rsid w:val="00553D1B"/>
    <w:rsid w:val="0055451C"/>
    <w:rsid w:val="00554B54"/>
    <w:rsid w:val="0055627C"/>
    <w:rsid w:val="00557238"/>
    <w:rsid w:val="00557A04"/>
    <w:rsid w:val="005636AB"/>
    <w:rsid w:val="00563978"/>
    <w:rsid w:val="00564F20"/>
    <w:rsid w:val="005666FD"/>
    <w:rsid w:val="00566CE5"/>
    <w:rsid w:val="00567A05"/>
    <w:rsid w:val="005737D1"/>
    <w:rsid w:val="00574BE2"/>
    <w:rsid w:val="00581D95"/>
    <w:rsid w:val="00581E82"/>
    <w:rsid w:val="0058304B"/>
    <w:rsid w:val="0058367C"/>
    <w:rsid w:val="00584274"/>
    <w:rsid w:val="00584355"/>
    <w:rsid w:val="00584C82"/>
    <w:rsid w:val="005877BD"/>
    <w:rsid w:val="00587EFD"/>
    <w:rsid w:val="0059108F"/>
    <w:rsid w:val="00591FFE"/>
    <w:rsid w:val="00593482"/>
    <w:rsid w:val="00594B57"/>
    <w:rsid w:val="00595C82"/>
    <w:rsid w:val="0059678B"/>
    <w:rsid w:val="00596CA2"/>
    <w:rsid w:val="00597E58"/>
    <w:rsid w:val="005A2728"/>
    <w:rsid w:val="005A3CF0"/>
    <w:rsid w:val="005A4B1F"/>
    <w:rsid w:val="005A4D07"/>
    <w:rsid w:val="005A5083"/>
    <w:rsid w:val="005A51D1"/>
    <w:rsid w:val="005A58B5"/>
    <w:rsid w:val="005A615D"/>
    <w:rsid w:val="005A6591"/>
    <w:rsid w:val="005A6FC2"/>
    <w:rsid w:val="005B067E"/>
    <w:rsid w:val="005B0DEA"/>
    <w:rsid w:val="005B0E8E"/>
    <w:rsid w:val="005B6318"/>
    <w:rsid w:val="005B7D0D"/>
    <w:rsid w:val="005C06F5"/>
    <w:rsid w:val="005C0D25"/>
    <w:rsid w:val="005C0E41"/>
    <w:rsid w:val="005C170F"/>
    <w:rsid w:val="005C1936"/>
    <w:rsid w:val="005C3106"/>
    <w:rsid w:val="005C4B28"/>
    <w:rsid w:val="005C4DDD"/>
    <w:rsid w:val="005C5363"/>
    <w:rsid w:val="005C6775"/>
    <w:rsid w:val="005C7090"/>
    <w:rsid w:val="005C7FB1"/>
    <w:rsid w:val="005D047B"/>
    <w:rsid w:val="005D0497"/>
    <w:rsid w:val="005D4944"/>
    <w:rsid w:val="005D72F7"/>
    <w:rsid w:val="005D78F4"/>
    <w:rsid w:val="005E0D55"/>
    <w:rsid w:val="005E1C6C"/>
    <w:rsid w:val="005E27EA"/>
    <w:rsid w:val="005E38AC"/>
    <w:rsid w:val="005E4669"/>
    <w:rsid w:val="005E6348"/>
    <w:rsid w:val="005F03B8"/>
    <w:rsid w:val="005F16AC"/>
    <w:rsid w:val="005F1969"/>
    <w:rsid w:val="005F235E"/>
    <w:rsid w:val="005F2C72"/>
    <w:rsid w:val="005F315F"/>
    <w:rsid w:val="005F4C5C"/>
    <w:rsid w:val="005F5F3F"/>
    <w:rsid w:val="005F679E"/>
    <w:rsid w:val="005F6F77"/>
    <w:rsid w:val="00601103"/>
    <w:rsid w:val="006014C2"/>
    <w:rsid w:val="00601502"/>
    <w:rsid w:val="00602150"/>
    <w:rsid w:val="00602C7F"/>
    <w:rsid w:val="00604124"/>
    <w:rsid w:val="00606BAB"/>
    <w:rsid w:val="00610C79"/>
    <w:rsid w:val="006112DF"/>
    <w:rsid w:val="00612A9F"/>
    <w:rsid w:val="00612E44"/>
    <w:rsid w:val="006131D1"/>
    <w:rsid w:val="006133E5"/>
    <w:rsid w:val="0061398F"/>
    <w:rsid w:val="00615160"/>
    <w:rsid w:val="006151EA"/>
    <w:rsid w:val="0061613C"/>
    <w:rsid w:val="006170E1"/>
    <w:rsid w:val="00617686"/>
    <w:rsid w:val="00620724"/>
    <w:rsid w:val="00624A52"/>
    <w:rsid w:val="00624DF3"/>
    <w:rsid w:val="0062570E"/>
    <w:rsid w:val="00625A7F"/>
    <w:rsid w:val="0062712A"/>
    <w:rsid w:val="006311D2"/>
    <w:rsid w:val="0063174B"/>
    <w:rsid w:val="006348CF"/>
    <w:rsid w:val="00634BE8"/>
    <w:rsid w:val="00634C67"/>
    <w:rsid w:val="006350B0"/>
    <w:rsid w:val="006351DC"/>
    <w:rsid w:val="006361B1"/>
    <w:rsid w:val="00636AC1"/>
    <w:rsid w:val="006375FD"/>
    <w:rsid w:val="006377A4"/>
    <w:rsid w:val="00641CB2"/>
    <w:rsid w:val="00642234"/>
    <w:rsid w:val="006439F8"/>
    <w:rsid w:val="00644A9D"/>
    <w:rsid w:val="006454FC"/>
    <w:rsid w:val="00647AE7"/>
    <w:rsid w:val="00651AA7"/>
    <w:rsid w:val="006527EC"/>
    <w:rsid w:val="006538C5"/>
    <w:rsid w:val="006539E6"/>
    <w:rsid w:val="00654D64"/>
    <w:rsid w:val="0065571F"/>
    <w:rsid w:val="00657EBB"/>
    <w:rsid w:val="006605FA"/>
    <w:rsid w:val="00660FC9"/>
    <w:rsid w:val="00662421"/>
    <w:rsid w:val="006645C7"/>
    <w:rsid w:val="00666AD2"/>
    <w:rsid w:val="0066707C"/>
    <w:rsid w:val="00667FF2"/>
    <w:rsid w:val="00670764"/>
    <w:rsid w:val="006722CA"/>
    <w:rsid w:val="006734AE"/>
    <w:rsid w:val="00674448"/>
    <w:rsid w:val="00676107"/>
    <w:rsid w:val="006762AA"/>
    <w:rsid w:val="00676997"/>
    <w:rsid w:val="00676D07"/>
    <w:rsid w:val="006778CB"/>
    <w:rsid w:val="00680368"/>
    <w:rsid w:val="00680C13"/>
    <w:rsid w:val="00681080"/>
    <w:rsid w:val="00682AF0"/>
    <w:rsid w:val="00684A13"/>
    <w:rsid w:val="006867E6"/>
    <w:rsid w:val="00691535"/>
    <w:rsid w:val="00691BA9"/>
    <w:rsid w:val="0069213D"/>
    <w:rsid w:val="006929F5"/>
    <w:rsid w:val="00692FCE"/>
    <w:rsid w:val="00693B75"/>
    <w:rsid w:val="00693FFE"/>
    <w:rsid w:val="006954E7"/>
    <w:rsid w:val="00696256"/>
    <w:rsid w:val="0069691B"/>
    <w:rsid w:val="00697004"/>
    <w:rsid w:val="0069722D"/>
    <w:rsid w:val="00697A50"/>
    <w:rsid w:val="00697C17"/>
    <w:rsid w:val="006A0D37"/>
    <w:rsid w:val="006A12D0"/>
    <w:rsid w:val="006A181B"/>
    <w:rsid w:val="006A2D8D"/>
    <w:rsid w:val="006A34B8"/>
    <w:rsid w:val="006A6B4A"/>
    <w:rsid w:val="006A7939"/>
    <w:rsid w:val="006B0387"/>
    <w:rsid w:val="006B0F92"/>
    <w:rsid w:val="006B1DD0"/>
    <w:rsid w:val="006B264F"/>
    <w:rsid w:val="006B331C"/>
    <w:rsid w:val="006B39BD"/>
    <w:rsid w:val="006B4E8B"/>
    <w:rsid w:val="006B6B58"/>
    <w:rsid w:val="006C101E"/>
    <w:rsid w:val="006C147A"/>
    <w:rsid w:val="006C56DC"/>
    <w:rsid w:val="006C5FF8"/>
    <w:rsid w:val="006C6BE4"/>
    <w:rsid w:val="006D0E70"/>
    <w:rsid w:val="006D0E8F"/>
    <w:rsid w:val="006D2246"/>
    <w:rsid w:val="006D23D2"/>
    <w:rsid w:val="006D3714"/>
    <w:rsid w:val="006D37A3"/>
    <w:rsid w:val="006D3C46"/>
    <w:rsid w:val="006D461B"/>
    <w:rsid w:val="006D6267"/>
    <w:rsid w:val="006D7C47"/>
    <w:rsid w:val="006E296F"/>
    <w:rsid w:val="006E4AD5"/>
    <w:rsid w:val="006E5911"/>
    <w:rsid w:val="006E5EE6"/>
    <w:rsid w:val="006F07BE"/>
    <w:rsid w:val="006F1440"/>
    <w:rsid w:val="006F14D5"/>
    <w:rsid w:val="006F32A3"/>
    <w:rsid w:val="006F3823"/>
    <w:rsid w:val="006F3AA0"/>
    <w:rsid w:val="006F74C8"/>
    <w:rsid w:val="007007DB"/>
    <w:rsid w:val="00700DDA"/>
    <w:rsid w:val="00704BBE"/>
    <w:rsid w:val="00705DAF"/>
    <w:rsid w:val="00711029"/>
    <w:rsid w:val="00712AFF"/>
    <w:rsid w:val="00714C4A"/>
    <w:rsid w:val="00714CA1"/>
    <w:rsid w:val="0071580A"/>
    <w:rsid w:val="00716024"/>
    <w:rsid w:val="00716C4C"/>
    <w:rsid w:val="00716DBD"/>
    <w:rsid w:val="007173B6"/>
    <w:rsid w:val="0071776F"/>
    <w:rsid w:val="007178DA"/>
    <w:rsid w:val="00720E5D"/>
    <w:rsid w:val="00720F6F"/>
    <w:rsid w:val="00721C09"/>
    <w:rsid w:val="00721DB9"/>
    <w:rsid w:val="0072266E"/>
    <w:rsid w:val="007226B6"/>
    <w:rsid w:val="007228A1"/>
    <w:rsid w:val="007232D6"/>
    <w:rsid w:val="00724DB2"/>
    <w:rsid w:val="007270E3"/>
    <w:rsid w:val="00732639"/>
    <w:rsid w:val="00733F82"/>
    <w:rsid w:val="00734390"/>
    <w:rsid w:val="00734972"/>
    <w:rsid w:val="00735415"/>
    <w:rsid w:val="00735836"/>
    <w:rsid w:val="00735EA1"/>
    <w:rsid w:val="00736536"/>
    <w:rsid w:val="0073659B"/>
    <w:rsid w:val="00736E33"/>
    <w:rsid w:val="0073786D"/>
    <w:rsid w:val="00740788"/>
    <w:rsid w:val="00742420"/>
    <w:rsid w:val="007433DA"/>
    <w:rsid w:val="007458EE"/>
    <w:rsid w:val="007467F9"/>
    <w:rsid w:val="00747199"/>
    <w:rsid w:val="00751122"/>
    <w:rsid w:val="0075273A"/>
    <w:rsid w:val="00757574"/>
    <w:rsid w:val="00757C4E"/>
    <w:rsid w:val="00757EC8"/>
    <w:rsid w:val="00760A6C"/>
    <w:rsid w:val="00760FA3"/>
    <w:rsid w:val="00760FFD"/>
    <w:rsid w:val="00765146"/>
    <w:rsid w:val="007679F9"/>
    <w:rsid w:val="00770896"/>
    <w:rsid w:val="00771CAA"/>
    <w:rsid w:val="0077445C"/>
    <w:rsid w:val="00775550"/>
    <w:rsid w:val="00775D01"/>
    <w:rsid w:val="00780FBA"/>
    <w:rsid w:val="00782160"/>
    <w:rsid w:val="00782874"/>
    <w:rsid w:val="00783BDC"/>
    <w:rsid w:val="007847B0"/>
    <w:rsid w:val="00786627"/>
    <w:rsid w:val="00786E38"/>
    <w:rsid w:val="0079226F"/>
    <w:rsid w:val="00792983"/>
    <w:rsid w:val="0079428E"/>
    <w:rsid w:val="007944FC"/>
    <w:rsid w:val="0079688E"/>
    <w:rsid w:val="00796904"/>
    <w:rsid w:val="00797AE6"/>
    <w:rsid w:val="007A0204"/>
    <w:rsid w:val="007A1D51"/>
    <w:rsid w:val="007A1FF3"/>
    <w:rsid w:val="007A204F"/>
    <w:rsid w:val="007A2492"/>
    <w:rsid w:val="007A37D8"/>
    <w:rsid w:val="007A3C1E"/>
    <w:rsid w:val="007A6D1B"/>
    <w:rsid w:val="007A7C90"/>
    <w:rsid w:val="007B296B"/>
    <w:rsid w:val="007B34A1"/>
    <w:rsid w:val="007B374B"/>
    <w:rsid w:val="007B3B9B"/>
    <w:rsid w:val="007B42A7"/>
    <w:rsid w:val="007C08FE"/>
    <w:rsid w:val="007C20E1"/>
    <w:rsid w:val="007C49CF"/>
    <w:rsid w:val="007C4C18"/>
    <w:rsid w:val="007C6FBB"/>
    <w:rsid w:val="007C7B9B"/>
    <w:rsid w:val="007D082C"/>
    <w:rsid w:val="007D359B"/>
    <w:rsid w:val="007D3724"/>
    <w:rsid w:val="007D4BEA"/>
    <w:rsid w:val="007D5583"/>
    <w:rsid w:val="007E0BD4"/>
    <w:rsid w:val="007E10A7"/>
    <w:rsid w:val="007E117B"/>
    <w:rsid w:val="007E1572"/>
    <w:rsid w:val="007E3925"/>
    <w:rsid w:val="007E3BA7"/>
    <w:rsid w:val="007E46AD"/>
    <w:rsid w:val="007E4BB0"/>
    <w:rsid w:val="007E5286"/>
    <w:rsid w:val="007E5385"/>
    <w:rsid w:val="007E5752"/>
    <w:rsid w:val="007E5F2F"/>
    <w:rsid w:val="007F05A6"/>
    <w:rsid w:val="007F0B0D"/>
    <w:rsid w:val="007F18D4"/>
    <w:rsid w:val="007F1BF6"/>
    <w:rsid w:val="007F2C92"/>
    <w:rsid w:val="007F3774"/>
    <w:rsid w:val="007F4245"/>
    <w:rsid w:val="007F46BF"/>
    <w:rsid w:val="007F4E69"/>
    <w:rsid w:val="007F52E6"/>
    <w:rsid w:val="007F5C1F"/>
    <w:rsid w:val="007F6A26"/>
    <w:rsid w:val="00804662"/>
    <w:rsid w:val="00805A52"/>
    <w:rsid w:val="00807CB9"/>
    <w:rsid w:val="00807EAB"/>
    <w:rsid w:val="00807EFE"/>
    <w:rsid w:val="00811F39"/>
    <w:rsid w:val="00812DDA"/>
    <w:rsid w:val="00813B89"/>
    <w:rsid w:val="00813E3E"/>
    <w:rsid w:val="0081513C"/>
    <w:rsid w:val="008204D7"/>
    <w:rsid w:val="00820E1C"/>
    <w:rsid w:val="00824E00"/>
    <w:rsid w:val="00827010"/>
    <w:rsid w:val="00827231"/>
    <w:rsid w:val="00827FE7"/>
    <w:rsid w:val="00832366"/>
    <w:rsid w:val="0083263A"/>
    <w:rsid w:val="00836983"/>
    <w:rsid w:val="00836CD9"/>
    <w:rsid w:val="0084104E"/>
    <w:rsid w:val="00843036"/>
    <w:rsid w:val="008439BE"/>
    <w:rsid w:val="00844BF0"/>
    <w:rsid w:val="00844EA4"/>
    <w:rsid w:val="00846081"/>
    <w:rsid w:val="00846D35"/>
    <w:rsid w:val="00850F9D"/>
    <w:rsid w:val="008512C1"/>
    <w:rsid w:val="008513C0"/>
    <w:rsid w:val="00852296"/>
    <w:rsid w:val="008528C3"/>
    <w:rsid w:val="0085391F"/>
    <w:rsid w:val="00854597"/>
    <w:rsid w:val="008555C8"/>
    <w:rsid w:val="0085577E"/>
    <w:rsid w:val="00856477"/>
    <w:rsid w:val="00856689"/>
    <w:rsid w:val="00857368"/>
    <w:rsid w:val="00860B69"/>
    <w:rsid w:val="00861B5A"/>
    <w:rsid w:val="00862A18"/>
    <w:rsid w:val="0087234B"/>
    <w:rsid w:val="0087262A"/>
    <w:rsid w:val="008728B0"/>
    <w:rsid w:val="008743E5"/>
    <w:rsid w:val="00874D02"/>
    <w:rsid w:val="00875712"/>
    <w:rsid w:val="00876613"/>
    <w:rsid w:val="00876DB5"/>
    <w:rsid w:val="008803DD"/>
    <w:rsid w:val="00880A20"/>
    <w:rsid w:val="008830AC"/>
    <w:rsid w:val="00884DF3"/>
    <w:rsid w:val="00885CC2"/>
    <w:rsid w:val="008869BC"/>
    <w:rsid w:val="00891CE2"/>
    <w:rsid w:val="00893309"/>
    <w:rsid w:val="0089367C"/>
    <w:rsid w:val="008949D6"/>
    <w:rsid w:val="00894FC8"/>
    <w:rsid w:val="00895245"/>
    <w:rsid w:val="00895775"/>
    <w:rsid w:val="00895F44"/>
    <w:rsid w:val="00896A40"/>
    <w:rsid w:val="00896FBF"/>
    <w:rsid w:val="0089700D"/>
    <w:rsid w:val="008A2F56"/>
    <w:rsid w:val="008A363E"/>
    <w:rsid w:val="008A3887"/>
    <w:rsid w:val="008A3B5D"/>
    <w:rsid w:val="008A6FEB"/>
    <w:rsid w:val="008A7074"/>
    <w:rsid w:val="008A79C8"/>
    <w:rsid w:val="008B1AC7"/>
    <w:rsid w:val="008B4364"/>
    <w:rsid w:val="008B466C"/>
    <w:rsid w:val="008B49A6"/>
    <w:rsid w:val="008B52FE"/>
    <w:rsid w:val="008B5D8F"/>
    <w:rsid w:val="008B7F9A"/>
    <w:rsid w:val="008C02BE"/>
    <w:rsid w:val="008C0780"/>
    <w:rsid w:val="008C0D77"/>
    <w:rsid w:val="008C0DF2"/>
    <w:rsid w:val="008C188B"/>
    <w:rsid w:val="008C330A"/>
    <w:rsid w:val="008C559E"/>
    <w:rsid w:val="008C6C03"/>
    <w:rsid w:val="008D232D"/>
    <w:rsid w:val="008D2E8E"/>
    <w:rsid w:val="008D4B7F"/>
    <w:rsid w:val="008D52A8"/>
    <w:rsid w:val="008D6A94"/>
    <w:rsid w:val="008E3250"/>
    <w:rsid w:val="008E664F"/>
    <w:rsid w:val="008E67B4"/>
    <w:rsid w:val="008E7B5D"/>
    <w:rsid w:val="008F0C02"/>
    <w:rsid w:val="008F1F2F"/>
    <w:rsid w:val="00902ED7"/>
    <w:rsid w:val="0090535F"/>
    <w:rsid w:val="00905C58"/>
    <w:rsid w:val="0090775C"/>
    <w:rsid w:val="009079F0"/>
    <w:rsid w:val="00912058"/>
    <w:rsid w:val="009121E6"/>
    <w:rsid w:val="00913A2F"/>
    <w:rsid w:val="0091533B"/>
    <w:rsid w:val="00916599"/>
    <w:rsid w:val="00920E45"/>
    <w:rsid w:val="009210DB"/>
    <w:rsid w:val="009231F4"/>
    <w:rsid w:val="00924FEA"/>
    <w:rsid w:val="00925C09"/>
    <w:rsid w:val="00927B72"/>
    <w:rsid w:val="00930AA2"/>
    <w:rsid w:val="00930B63"/>
    <w:rsid w:val="009317E8"/>
    <w:rsid w:val="00931920"/>
    <w:rsid w:val="0093314B"/>
    <w:rsid w:val="0093355E"/>
    <w:rsid w:val="009339F0"/>
    <w:rsid w:val="0094231F"/>
    <w:rsid w:val="00944EA0"/>
    <w:rsid w:val="00945E75"/>
    <w:rsid w:val="009460BF"/>
    <w:rsid w:val="009462F3"/>
    <w:rsid w:val="00946646"/>
    <w:rsid w:val="00946EA1"/>
    <w:rsid w:val="009506AE"/>
    <w:rsid w:val="0095076B"/>
    <w:rsid w:val="00951606"/>
    <w:rsid w:val="00953102"/>
    <w:rsid w:val="00953782"/>
    <w:rsid w:val="00953BC7"/>
    <w:rsid w:val="00953CB6"/>
    <w:rsid w:val="00954642"/>
    <w:rsid w:val="00956DB5"/>
    <w:rsid w:val="009576FD"/>
    <w:rsid w:val="00957708"/>
    <w:rsid w:val="00960C5F"/>
    <w:rsid w:val="0096207F"/>
    <w:rsid w:val="0096299F"/>
    <w:rsid w:val="0096485E"/>
    <w:rsid w:val="00964E77"/>
    <w:rsid w:val="00964E81"/>
    <w:rsid w:val="009651F5"/>
    <w:rsid w:val="009667E1"/>
    <w:rsid w:val="00967462"/>
    <w:rsid w:val="00967667"/>
    <w:rsid w:val="00971792"/>
    <w:rsid w:val="00971E22"/>
    <w:rsid w:val="00973078"/>
    <w:rsid w:val="0097698A"/>
    <w:rsid w:val="00977636"/>
    <w:rsid w:val="00982E7A"/>
    <w:rsid w:val="00983E4F"/>
    <w:rsid w:val="0098411B"/>
    <w:rsid w:val="00984727"/>
    <w:rsid w:val="00984F10"/>
    <w:rsid w:val="009850B4"/>
    <w:rsid w:val="00985860"/>
    <w:rsid w:val="0098607F"/>
    <w:rsid w:val="009871BE"/>
    <w:rsid w:val="00987C0B"/>
    <w:rsid w:val="0099194B"/>
    <w:rsid w:val="00992515"/>
    <w:rsid w:val="0099612C"/>
    <w:rsid w:val="009A1E13"/>
    <w:rsid w:val="009A3C63"/>
    <w:rsid w:val="009A466A"/>
    <w:rsid w:val="009A4D17"/>
    <w:rsid w:val="009A513F"/>
    <w:rsid w:val="009A52C5"/>
    <w:rsid w:val="009B085B"/>
    <w:rsid w:val="009B2873"/>
    <w:rsid w:val="009C037C"/>
    <w:rsid w:val="009C2297"/>
    <w:rsid w:val="009C26AB"/>
    <w:rsid w:val="009C29F2"/>
    <w:rsid w:val="009C2F3B"/>
    <w:rsid w:val="009C5F5C"/>
    <w:rsid w:val="009C62F1"/>
    <w:rsid w:val="009D16FE"/>
    <w:rsid w:val="009D1E1B"/>
    <w:rsid w:val="009D31FA"/>
    <w:rsid w:val="009D3F36"/>
    <w:rsid w:val="009D497B"/>
    <w:rsid w:val="009D6CD9"/>
    <w:rsid w:val="009E0B5D"/>
    <w:rsid w:val="009E1A1B"/>
    <w:rsid w:val="009E2EDC"/>
    <w:rsid w:val="009E3EA4"/>
    <w:rsid w:val="009E4113"/>
    <w:rsid w:val="009E4A7E"/>
    <w:rsid w:val="009E4B68"/>
    <w:rsid w:val="009E4FDE"/>
    <w:rsid w:val="009E5F03"/>
    <w:rsid w:val="009E6355"/>
    <w:rsid w:val="009E75CA"/>
    <w:rsid w:val="009E7788"/>
    <w:rsid w:val="009F13B5"/>
    <w:rsid w:val="009F2485"/>
    <w:rsid w:val="009F36B5"/>
    <w:rsid w:val="009F3B8E"/>
    <w:rsid w:val="009F43E9"/>
    <w:rsid w:val="009F53B4"/>
    <w:rsid w:val="009F63D7"/>
    <w:rsid w:val="009F68DD"/>
    <w:rsid w:val="009F74D3"/>
    <w:rsid w:val="00A019B8"/>
    <w:rsid w:val="00A06F86"/>
    <w:rsid w:val="00A07718"/>
    <w:rsid w:val="00A1148A"/>
    <w:rsid w:val="00A11AB8"/>
    <w:rsid w:val="00A1384B"/>
    <w:rsid w:val="00A15AA8"/>
    <w:rsid w:val="00A20555"/>
    <w:rsid w:val="00A23233"/>
    <w:rsid w:val="00A23816"/>
    <w:rsid w:val="00A23C57"/>
    <w:rsid w:val="00A248A5"/>
    <w:rsid w:val="00A261E8"/>
    <w:rsid w:val="00A275AA"/>
    <w:rsid w:val="00A27A9C"/>
    <w:rsid w:val="00A30457"/>
    <w:rsid w:val="00A3052C"/>
    <w:rsid w:val="00A3063E"/>
    <w:rsid w:val="00A30C63"/>
    <w:rsid w:val="00A30D38"/>
    <w:rsid w:val="00A30F3D"/>
    <w:rsid w:val="00A3259A"/>
    <w:rsid w:val="00A3281F"/>
    <w:rsid w:val="00A33888"/>
    <w:rsid w:val="00A339E7"/>
    <w:rsid w:val="00A345BB"/>
    <w:rsid w:val="00A35F75"/>
    <w:rsid w:val="00A37A7F"/>
    <w:rsid w:val="00A40715"/>
    <w:rsid w:val="00A40765"/>
    <w:rsid w:val="00A431E5"/>
    <w:rsid w:val="00A44FCC"/>
    <w:rsid w:val="00A45249"/>
    <w:rsid w:val="00A47E0F"/>
    <w:rsid w:val="00A5106A"/>
    <w:rsid w:val="00A512B9"/>
    <w:rsid w:val="00A53B3C"/>
    <w:rsid w:val="00A5464A"/>
    <w:rsid w:val="00A54C52"/>
    <w:rsid w:val="00A55AF5"/>
    <w:rsid w:val="00A566BD"/>
    <w:rsid w:val="00A56DA1"/>
    <w:rsid w:val="00A62334"/>
    <w:rsid w:val="00A62711"/>
    <w:rsid w:val="00A62896"/>
    <w:rsid w:val="00A65E32"/>
    <w:rsid w:val="00A6743A"/>
    <w:rsid w:val="00A67A38"/>
    <w:rsid w:val="00A70A79"/>
    <w:rsid w:val="00A727C1"/>
    <w:rsid w:val="00A72D8C"/>
    <w:rsid w:val="00A7314C"/>
    <w:rsid w:val="00A7320A"/>
    <w:rsid w:val="00A752A8"/>
    <w:rsid w:val="00A75F2C"/>
    <w:rsid w:val="00A7611D"/>
    <w:rsid w:val="00A77CB9"/>
    <w:rsid w:val="00A81B8B"/>
    <w:rsid w:val="00A81CE2"/>
    <w:rsid w:val="00A8286C"/>
    <w:rsid w:val="00A82DFE"/>
    <w:rsid w:val="00A83324"/>
    <w:rsid w:val="00A84618"/>
    <w:rsid w:val="00A84B1C"/>
    <w:rsid w:val="00A8786D"/>
    <w:rsid w:val="00A90057"/>
    <w:rsid w:val="00A9146F"/>
    <w:rsid w:val="00A91852"/>
    <w:rsid w:val="00A92831"/>
    <w:rsid w:val="00A93E70"/>
    <w:rsid w:val="00A94E61"/>
    <w:rsid w:val="00A95BC3"/>
    <w:rsid w:val="00A95F25"/>
    <w:rsid w:val="00AA0D2C"/>
    <w:rsid w:val="00AA151C"/>
    <w:rsid w:val="00AA1E59"/>
    <w:rsid w:val="00AA20BA"/>
    <w:rsid w:val="00AA25B6"/>
    <w:rsid w:val="00AA2B05"/>
    <w:rsid w:val="00AA3956"/>
    <w:rsid w:val="00AA3F7C"/>
    <w:rsid w:val="00AA59E4"/>
    <w:rsid w:val="00AA5D6A"/>
    <w:rsid w:val="00AA7856"/>
    <w:rsid w:val="00AB0B54"/>
    <w:rsid w:val="00AB25A8"/>
    <w:rsid w:val="00AB46AA"/>
    <w:rsid w:val="00AC09B8"/>
    <w:rsid w:val="00AC1903"/>
    <w:rsid w:val="00AC211C"/>
    <w:rsid w:val="00AC295C"/>
    <w:rsid w:val="00AC3918"/>
    <w:rsid w:val="00AC4F17"/>
    <w:rsid w:val="00AC6DF5"/>
    <w:rsid w:val="00AC7128"/>
    <w:rsid w:val="00AD18A6"/>
    <w:rsid w:val="00AD2243"/>
    <w:rsid w:val="00AD53B2"/>
    <w:rsid w:val="00AD5BC5"/>
    <w:rsid w:val="00AD640A"/>
    <w:rsid w:val="00AE19DC"/>
    <w:rsid w:val="00AE28ED"/>
    <w:rsid w:val="00AE315F"/>
    <w:rsid w:val="00AE3E6B"/>
    <w:rsid w:val="00AE4599"/>
    <w:rsid w:val="00AE5AE0"/>
    <w:rsid w:val="00AE5EFF"/>
    <w:rsid w:val="00AE71DA"/>
    <w:rsid w:val="00AF0DD9"/>
    <w:rsid w:val="00AF0EA5"/>
    <w:rsid w:val="00AF1260"/>
    <w:rsid w:val="00AF2435"/>
    <w:rsid w:val="00AF3AEC"/>
    <w:rsid w:val="00AF5B75"/>
    <w:rsid w:val="00AF66D1"/>
    <w:rsid w:val="00B006D3"/>
    <w:rsid w:val="00B0116A"/>
    <w:rsid w:val="00B01859"/>
    <w:rsid w:val="00B018B9"/>
    <w:rsid w:val="00B02EE2"/>
    <w:rsid w:val="00B03242"/>
    <w:rsid w:val="00B073C8"/>
    <w:rsid w:val="00B074EC"/>
    <w:rsid w:val="00B110F3"/>
    <w:rsid w:val="00B13007"/>
    <w:rsid w:val="00B16E1E"/>
    <w:rsid w:val="00B21053"/>
    <w:rsid w:val="00B215F0"/>
    <w:rsid w:val="00B2264D"/>
    <w:rsid w:val="00B2290C"/>
    <w:rsid w:val="00B257F6"/>
    <w:rsid w:val="00B268F9"/>
    <w:rsid w:val="00B277C7"/>
    <w:rsid w:val="00B30BC2"/>
    <w:rsid w:val="00B31322"/>
    <w:rsid w:val="00B32E22"/>
    <w:rsid w:val="00B32FF2"/>
    <w:rsid w:val="00B350B6"/>
    <w:rsid w:val="00B354D5"/>
    <w:rsid w:val="00B364C0"/>
    <w:rsid w:val="00B40D7E"/>
    <w:rsid w:val="00B40FE3"/>
    <w:rsid w:val="00B41EEC"/>
    <w:rsid w:val="00B44578"/>
    <w:rsid w:val="00B45625"/>
    <w:rsid w:val="00B45BC8"/>
    <w:rsid w:val="00B460DD"/>
    <w:rsid w:val="00B4705A"/>
    <w:rsid w:val="00B52CAF"/>
    <w:rsid w:val="00B53E3F"/>
    <w:rsid w:val="00B5407D"/>
    <w:rsid w:val="00B54243"/>
    <w:rsid w:val="00B56B68"/>
    <w:rsid w:val="00B56E73"/>
    <w:rsid w:val="00B61BE1"/>
    <w:rsid w:val="00B6232C"/>
    <w:rsid w:val="00B623B2"/>
    <w:rsid w:val="00B62806"/>
    <w:rsid w:val="00B63E93"/>
    <w:rsid w:val="00B64113"/>
    <w:rsid w:val="00B64FA4"/>
    <w:rsid w:val="00B65E5E"/>
    <w:rsid w:val="00B66092"/>
    <w:rsid w:val="00B66496"/>
    <w:rsid w:val="00B6674C"/>
    <w:rsid w:val="00B66AD2"/>
    <w:rsid w:val="00B71347"/>
    <w:rsid w:val="00B72B5E"/>
    <w:rsid w:val="00B730C5"/>
    <w:rsid w:val="00B76960"/>
    <w:rsid w:val="00B82ECE"/>
    <w:rsid w:val="00B83223"/>
    <w:rsid w:val="00B8328A"/>
    <w:rsid w:val="00B84B0B"/>
    <w:rsid w:val="00B859B6"/>
    <w:rsid w:val="00B911C7"/>
    <w:rsid w:val="00B92B13"/>
    <w:rsid w:val="00B933A5"/>
    <w:rsid w:val="00B958A3"/>
    <w:rsid w:val="00B9679B"/>
    <w:rsid w:val="00B96EBB"/>
    <w:rsid w:val="00B97BB7"/>
    <w:rsid w:val="00BA0E90"/>
    <w:rsid w:val="00BA1964"/>
    <w:rsid w:val="00BA36B1"/>
    <w:rsid w:val="00BA3A91"/>
    <w:rsid w:val="00BA47C9"/>
    <w:rsid w:val="00BA52D3"/>
    <w:rsid w:val="00BA6F62"/>
    <w:rsid w:val="00BB0B27"/>
    <w:rsid w:val="00BB1A58"/>
    <w:rsid w:val="00BB2A46"/>
    <w:rsid w:val="00BB3CE4"/>
    <w:rsid w:val="00BB4081"/>
    <w:rsid w:val="00BB5457"/>
    <w:rsid w:val="00BB64B8"/>
    <w:rsid w:val="00BB6FDE"/>
    <w:rsid w:val="00BB7489"/>
    <w:rsid w:val="00BC0831"/>
    <w:rsid w:val="00BC1A09"/>
    <w:rsid w:val="00BC4797"/>
    <w:rsid w:val="00BC4E8C"/>
    <w:rsid w:val="00BC6193"/>
    <w:rsid w:val="00BD0CE5"/>
    <w:rsid w:val="00BD17C6"/>
    <w:rsid w:val="00BD3AE9"/>
    <w:rsid w:val="00BD4A23"/>
    <w:rsid w:val="00BD4A52"/>
    <w:rsid w:val="00BD4F14"/>
    <w:rsid w:val="00BD5324"/>
    <w:rsid w:val="00BD58AB"/>
    <w:rsid w:val="00BD6326"/>
    <w:rsid w:val="00BD6589"/>
    <w:rsid w:val="00BD7D20"/>
    <w:rsid w:val="00BE0472"/>
    <w:rsid w:val="00BE04C1"/>
    <w:rsid w:val="00BE1448"/>
    <w:rsid w:val="00BE3FA9"/>
    <w:rsid w:val="00BE5EF8"/>
    <w:rsid w:val="00BE6E84"/>
    <w:rsid w:val="00BE7C28"/>
    <w:rsid w:val="00BE7C79"/>
    <w:rsid w:val="00BF2139"/>
    <w:rsid w:val="00BF27E7"/>
    <w:rsid w:val="00BF477C"/>
    <w:rsid w:val="00BF4B20"/>
    <w:rsid w:val="00BF5D32"/>
    <w:rsid w:val="00BF7825"/>
    <w:rsid w:val="00BF7D88"/>
    <w:rsid w:val="00C013D2"/>
    <w:rsid w:val="00C017D2"/>
    <w:rsid w:val="00C02509"/>
    <w:rsid w:val="00C02997"/>
    <w:rsid w:val="00C02DAA"/>
    <w:rsid w:val="00C0302F"/>
    <w:rsid w:val="00C06D96"/>
    <w:rsid w:val="00C07931"/>
    <w:rsid w:val="00C07A09"/>
    <w:rsid w:val="00C07CA7"/>
    <w:rsid w:val="00C10D29"/>
    <w:rsid w:val="00C11282"/>
    <w:rsid w:val="00C11834"/>
    <w:rsid w:val="00C12489"/>
    <w:rsid w:val="00C1355C"/>
    <w:rsid w:val="00C150DE"/>
    <w:rsid w:val="00C20562"/>
    <w:rsid w:val="00C21204"/>
    <w:rsid w:val="00C21231"/>
    <w:rsid w:val="00C24760"/>
    <w:rsid w:val="00C24AA1"/>
    <w:rsid w:val="00C267F2"/>
    <w:rsid w:val="00C305DC"/>
    <w:rsid w:val="00C3170D"/>
    <w:rsid w:val="00C33DD8"/>
    <w:rsid w:val="00C33E3C"/>
    <w:rsid w:val="00C347A4"/>
    <w:rsid w:val="00C34F2B"/>
    <w:rsid w:val="00C354F1"/>
    <w:rsid w:val="00C35DB9"/>
    <w:rsid w:val="00C37DF2"/>
    <w:rsid w:val="00C40401"/>
    <w:rsid w:val="00C40A92"/>
    <w:rsid w:val="00C40CFD"/>
    <w:rsid w:val="00C4136D"/>
    <w:rsid w:val="00C41CE7"/>
    <w:rsid w:val="00C42A29"/>
    <w:rsid w:val="00C43986"/>
    <w:rsid w:val="00C43A58"/>
    <w:rsid w:val="00C44B36"/>
    <w:rsid w:val="00C45406"/>
    <w:rsid w:val="00C46125"/>
    <w:rsid w:val="00C47FE1"/>
    <w:rsid w:val="00C50075"/>
    <w:rsid w:val="00C528EB"/>
    <w:rsid w:val="00C52CB9"/>
    <w:rsid w:val="00C52DCD"/>
    <w:rsid w:val="00C54B73"/>
    <w:rsid w:val="00C5636A"/>
    <w:rsid w:val="00C56B32"/>
    <w:rsid w:val="00C57C66"/>
    <w:rsid w:val="00C60814"/>
    <w:rsid w:val="00C61E72"/>
    <w:rsid w:val="00C627D4"/>
    <w:rsid w:val="00C639A6"/>
    <w:rsid w:val="00C63A42"/>
    <w:rsid w:val="00C6566B"/>
    <w:rsid w:val="00C720F1"/>
    <w:rsid w:val="00C721BC"/>
    <w:rsid w:val="00C72792"/>
    <w:rsid w:val="00C72F8A"/>
    <w:rsid w:val="00C747F4"/>
    <w:rsid w:val="00C74938"/>
    <w:rsid w:val="00C75CA4"/>
    <w:rsid w:val="00C75D82"/>
    <w:rsid w:val="00C77378"/>
    <w:rsid w:val="00C80D62"/>
    <w:rsid w:val="00C82862"/>
    <w:rsid w:val="00C84648"/>
    <w:rsid w:val="00C84E39"/>
    <w:rsid w:val="00C8587D"/>
    <w:rsid w:val="00C8632E"/>
    <w:rsid w:val="00C86448"/>
    <w:rsid w:val="00C86772"/>
    <w:rsid w:val="00C909FC"/>
    <w:rsid w:val="00C94745"/>
    <w:rsid w:val="00C95274"/>
    <w:rsid w:val="00C961BB"/>
    <w:rsid w:val="00C9756A"/>
    <w:rsid w:val="00CA0914"/>
    <w:rsid w:val="00CA1214"/>
    <w:rsid w:val="00CA182B"/>
    <w:rsid w:val="00CA1D62"/>
    <w:rsid w:val="00CA4047"/>
    <w:rsid w:val="00CA7BD9"/>
    <w:rsid w:val="00CB04C7"/>
    <w:rsid w:val="00CB0A12"/>
    <w:rsid w:val="00CB143F"/>
    <w:rsid w:val="00CB152C"/>
    <w:rsid w:val="00CB2DC3"/>
    <w:rsid w:val="00CB4520"/>
    <w:rsid w:val="00CB4897"/>
    <w:rsid w:val="00CB6368"/>
    <w:rsid w:val="00CB67CF"/>
    <w:rsid w:val="00CB70F8"/>
    <w:rsid w:val="00CC0362"/>
    <w:rsid w:val="00CC06EE"/>
    <w:rsid w:val="00CC1281"/>
    <w:rsid w:val="00CC17A5"/>
    <w:rsid w:val="00CC4977"/>
    <w:rsid w:val="00CC5A0E"/>
    <w:rsid w:val="00CC790F"/>
    <w:rsid w:val="00CD00ED"/>
    <w:rsid w:val="00CD0E11"/>
    <w:rsid w:val="00CD14DA"/>
    <w:rsid w:val="00CD2C84"/>
    <w:rsid w:val="00CD55ED"/>
    <w:rsid w:val="00CD67CF"/>
    <w:rsid w:val="00CD70C0"/>
    <w:rsid w:val="00CE008E"/>
    <w:rsid w:val="00CE1B72"/>
    <w:rsid w:val="00CE402F"/>
    <w:rsid w:val="00CE4381"/>
    <w:rsid w:val="00CE47F6"/>
    <w:rsid w:val="00CE4913"/>
    <w:rsid w:val="00CF0D64"/>
    <w:rsid w:val="00CF1228"/>
    <w:rsid w:val="00CF1925"/>
    <w:rsid w:val="00CF240B"/>
    <w:rsid w:val="00CF2BF3"/>
    <w:rsid w:val="00CF36AB"/>
    <w:rsid w:val="00CF487C"/>
    <w:rsid w:val="00D001AF"/>
    <w:rsid w:val="00D00541"/>
    <w:rsid w:val="00D01ACB"/>
    <w:rsid w:val="00D040FE"/>
    <w:rsid w:val="00D04CFA"/>
    <w:rsid w:val="00D06645"/>
    <w:rsid w:val="00D079C8"/>
    <w:rsid w:val="00D1117F"/>
    <w:rsid w:val="00D14B62"/>
    <w:rsid w:val="00D16B38"/>
    <w:rsid w:val="00D16EF0"/>
    <w:rsid w:val="00D211CA"/>
    <w:rsid w:val="00D21D08"/>
    <w:rsid w:val="00D2203E"/>
    <w:rsid w:val="00D23119"/>
    <w:rsid w:val="00D26AA7"/>
    <w:rsid w:val="00D30353"/>
    <w:rsid w:val="00D323B1"/>
    <w:rsid w:val="00D3249E"/>
    <w:rsid w:val="00D32C7B"/>
    <w:rsid w:val="00D33D33"/>
    <w:rsid w:val="00D34EF3"/>
    <w:rsid w:val="00D35252"/>
    <w:rsid w:val="00D36AAA"/>
    <w:rsid w:val="00D3723A"/>
    <w:rsid w:val="00D40D78"/>
    <w:rsid w:val="00D40EAB"/>
    <w:rsid w:val="00D42993"/>
    <w:rsid w:val="00D43B17"/>
    <w:rsid w:val="00D457D3"/>
    <w:rsid w:val="00D460ED"/>
    <w:rsid w:val="00D509A5"/>
    <w:rsid w:val="00D51A06"/>
    <w:rsid w:val="00D52A63"/>
    <w:rsid w:val="00D547B7"/>
    <w:rsid w:val="00D54F2E"/>
    <w:rsid w:val="00D565AF"/>
    <w:rsid w:val="00D56C7A"/>
    <w:rsid w:val="00D57C93"/>
    <w:rsid w:val="00D604FC"/>
    <w:rsid w:val="00D60EA1"/>
    <w:rsid w:val="00D61DCD"/>
    <w:rsid w:val="00D63E94"/>
    <w:rsid w:val="00D66785"/>
    <w:rsid w:val="00D709FD"/>
    <w:rsid w:val="00D70BD4"/>
    <w:rsid w:val="00D737D0"/>
    <w:rsid w:val="00D738FC"/>
    <w:rsid w:val="00D75D4A"/>
    <w:rsid w:val="00D76EE5"/>
    <w:rsid w:val="00D80646"/>
    <w:rsid w:val="00D82AC3"/>
    <w:rsid w:val="00D835C8"/>
    <w:rsid w:val="00D8686A"/>
    <w:rsid w:val="00D913EC"/>
    <w:rsid w:val="00D917A2"/>
    <w:rsid w:val="00D942E4"/>
    <w:rsid w:val="00D94F4F"/>
    <w:rsid w:val="00D968DE"/>
    <w:rsid w:val="00DA16A8"/>
    <w:rsid w:val="00DA2C70"/>
    <w:rsid w:val="00DA3984"/>
    <w:rsid w:val="00DA4220"/>
    <w:rsid w:val="00DB0196"/>
    <w:rsid w:val="00DB0BB8"/>
    <w:rsid w:val="00DB1996"/>
    <w:rsid w:val="00DB335F"/>
    <w:rsid w:val="00DB51CB"/>
    <w:rsid w:val="00DB6395"/>
    <w:rsid w:val="00DB67E4"/>
    <w:rsid w:val="00DB7436"/>
    <w:rsid w:val="00DB7A63"/>
    <w:rsid w:val="00DC07C0"/>
    <w:rsid w:val="00DC345F"/>
    <w:rsid w:val="00DC403F"/>
    <w:rsid w:val="00DC6BE1"/>
    <w:rsid w:val="00DC701D"/>
    <w:rsid w:val="00DD0875"/>
    <w:rsid w:val="00DD0F56"/>
    <w:rsid w:val="00DD4061"/>
    <w:rsid w:val="00DD710B"/>
    <w:rsid w:val="00DE0293"/>
    <w:rsid w:val="00DE0DC7"/>
    <w:rsid w:val="00DE0EEC"/>
    <w:rsid w:val="00DE30AF"/>
    <w:rsid w:val="00DE49CD"/>
    <w:rsid w:val="00DE56F5"/>
    <w:rsid w:val="00DE58CD"/>
    <w:rsid w:val="00DE6E33"/>
    <w:rsid w:val="00DE7070"/>
    <w:rsid w:val="00DE7AF1"/>
    <w:rsid w:val="00DE7CCA"/>
    <w:rsid w:val="00DF1E68"/>
    <w:rsid w:val="00DF20CD"/>
    <w:rsid w:val="00DF42A2"/>
    <w:rsid w:val="00DF5D74"/>
    <w:rsid w:val="00DF620D"/>
    <w:rsid w:val="00DF721D"/>
    <w:rsid w:val="00E00E40"/>
    <w:rsid w:val="00E00F1D"/>
    <w:rsid w:val="00E01476"/>
    <w:rsid w:val="00E015A9"/>
    <w:rsid w:val="00E01722"/>
    <w:rsid w:val="00E02048"/>
    <w:rsid w:val="00E02FDA"/>
    <w:rsid w:val="00E0326C"/>
    <w:rsid w:val="00E04B46"/>
    <w:rsid w:val="00E06B66"/>
    <w:rsid w:val="00E06CAE"/>
    <w:rsid w:val="00E06D0D"/>
    <w:rsid w:val="00E0703B"/>
    <w:rsid w:val="00E107D8"/>
    <w:rsid w:val="00E11DFF"/>
    <w:rsid w:val="00E16414"/>
    <w:rsid w:val="00E16C8B"/>
    <w:rsid w:val="00E22375"/>
    <w:rsid w:val="00E22395"/>
    <w:rsid w:val="00E235FB"/>
    <w:rsid w:val="00E24A3A"/>
    <w:rsid w:val="00E24B92"/>
    <w:rsid w:val="00E27469"/>
    <w:rsid w:val="00E304BA"/>
    <w:rsid w:val="00E30DA1"/>
    <w:rsid w:val="00E31745"/>
    <w:rsid w:val="00E31D54"/>
    <w:rsid w:val="00E32472"/>
    <w:rsid w:val="00E329F7"/>
    <w:rsid w:val="00E3356F"/>
    <w:rsid w:val="00E33763"/>
    <w:rsid w:val="00E3387C"/>
    <w:rsid w:val="00E36085"/>
    <w:rsid w:val="00E42A90"/>
    <w:rsid w:val="00E432E9"/>
    <w:rsid w:val="00E44C8B"/>
    <w:rsid w:val="00E45643"/>
    <w:rsid w:val="00E46731"/>
    <w:rsid w:val="00E479B9"/>
    <w:rsid w:val="00E47EAC"/>
    <w:rsid w:val="00E50431"/>
    <w:rsid w:val="00E5182C"/>
    <w:rsid w:val="00E53487"/>
    <w:rsid w:val="00E53FE6"/>
    <w:rsid w:val="00E5501B"/>
    <w:rsid w:val="00E55AFA"/>
    <w:rsid w:val="00E566CA"/>
    <w:rsid w:val="00E567D2"/>
    <w:rsid w:val="00E56B34"/>
    <w:rsid w:val="00E625D4"/>
    <w:rsid w:val="00E65814"/>
    <w:rsid w:val="00E663AB"/>
    <w:rsid w:val="00E6771E"/>
    <w:rsid w:val="00E67DD7"/>
    <w:rsid w:val="00E71C5A"/>
    <w:rsid w:val="00E72F18"/>
    <w:rsid w:val="00E75CDE"/>
    <w:rsid w:val="00E75D5A"/>
    <w:rsid w:val="00E7612E"/>
    <w:rsid w:val="00E761B7"/>
    <w:rsid w:val="00E7674D"/>
    <w:rsid w:val="00E76A6C"/>
    <w:rsid w:val="00E76D14"/>
    <w:rsid w:val="00E7723C"/>
    <w:rsid w:val="00E77589"/>
    <w:rsid w:val="00E77FCA"/>
    <w:rsid w:val="00E80B82"/>
    <w:rsid w:val="00E825A9"/>
    <w:rsid w:val="00E84036"/>
    <w:rsid w:val="00E86CB6"/>
    <w:rsid w:val="00E86EC2"/>
    <w:rsid w:val="00E873D3"/>
    <w:rsid w:val="00E87F84"/>
    <w:rsid w:val="00E93233"/>
    <w:rsid w:val="00E93875"/>
    <w:rsid w:val="00E93CE2"/>
    <w:rsid w:val="00E9551A"/>
    <w:rsid w:val="00E95D74"/>
    <w:rsid w:val="00EA01FC"/>
    <w:rsid w:val="00EA09C6"/>
    <w:rsid w:val="00EA0C1E"/>
    <w:rsid w:val="00EA153B"/>
    <w:rsid w:val="00EA6375"/>
    <w:rsid w:val="00EA7A47"/>
    <w:rsid w:val="00EB0EFC"/>
    <w:rsid w:val="00EB1139"/>
    <w:rsid w:val="00EB2461"/>
    <w:rsid w:val="00EB2C46"/>
    <w:rsid w:val="00EB42E6"/>
    <w:rsid w:val="00EB4656"/>
    <w:rsid w:val="00EB4EC6"/>
    <w:rsid w:val="00EB51FB"/>
    <w:rsid w:val="00EB58C8"/>
    <w:rsid w:val="00EB7C6B"/>
    <w:rsid w:val="00EC1302"/>
    <w:rsid w:val="00EC2FF2"/>
    <w:rsid w:val="00EC5C95"/>
    <w:rsid w:val="00EC5DB0"/>
    <w:rsid w:val="00EC7220"/>
    <w:rsid w:val="00ED02DE"/>
    <w:rsid w:val="00ED0ADA"/>
    <w:rsid w:val="00ED26C5"/>
    <w:rsid w:val="00ED34B4"/>
    <w:rsid w:val="00ED3AD5"/>
    <w:rsid w:val="00ED47D7"/>
    <w:rsid w:val="00ED4F4E"/>
    <w:rsid w:val="00ED5220"/>
    <w:rsid w:val="00ED57D7"/>
    <w:rsid w:val="00ED5CC3"/>
    <w:rsid w:val="00ED5F9B"/>
    <w:rsid w:val="00ED60FF"/>
    <w:rsid w:val="00ED6751"/>
    <w:rsid w:val="00EE075A"/>
    <w:rsid w:val="00EE0A9D"/>
    <w:rsid w:val="00EE1E5E"/>
    <w:rsid w:val="00EE1E9F"/>
    <w:rsid w:val="00EE2469"/>
    <w:rsid w:val="00EE3DA4"/>
    <w:rsid w:val="00EE3F13"/>
    <w:rsid w:val="00EE4C95"/>
    <w:rsid w:val="00EF11D4"/>
    <w:rsid w:val="00EF1909"/>
    <w:rsid w:val="00EF1D2F"/>
    <w:rsid w:val="00EF1DA2"/>
    <w:rsid w:val="00EF3AE8"/>
    <w:rsid w:val="00EF4524"/>
    <w:rsid w:val="00EF56E3"/>
    <w:rsid w:val="00EF61AD"/>
    <w:rsid w:val="00EF6D6D"/>
    <w:rsid w:val="00F01B74"/>
    <w:rsid w:val="00F01DEC"/>
    <w:rsid w:val="00F0211E"/>
    <w:rsid w:val="00F03B40"/>
    <w:rsid w:val="00F05029"/>
    <w:rsid w:val="00F0758B"/>
    <w:rsid w:val="00F116D7"/>
    <w:rsid w:val="00F119B3"/>
    <w:rsid w:val="00F12AC0"/>
    <w:rsid w:val="00F149CA"/>
    <w:rsid w:val="00F15F58"/>
    <w:rsid w:val="00F175F9"/>
    <w:rsid w:val="00F2079C"/>
    <w:rsid w:val="00F22CF0"/>
    <w:rsid w:val="00F235EC"/>
    <w:rsid w:val="00F23ED6"/>
    <w:rsid w:val="00F24CD0"/>
    <w:rsid w:val="00F256C1"/>
    <w:rsid w:val="00F25C93"/>
    <w:rsid w:val="00F25D47"/>
    <w:rsid w:val="00F265FF"/>
    <w:rsid w:val="00F30C2A"/>
    <w:rsid w:val="00F3129D"/>
    <w:rsid w:val="00F325A3"/>
    <w:rsid w:val="00F32CE0"/>
    <w:rsid w:val="00F32D98"/>
    <w:rsid w:val="00F337D0"/>
    <w:rsid w:val="00F3626D"/>
    <w:rsid w:val="00F4205B"/>
    <w:rsid w:val="00F42702"/>
    <w:rsid w:val="00F42DCC"/>
    <w:rsid w:val="00F42FC0"/>
    <w:rsid w:val="00F4368B"/>
    <w:rsid w:val="00F44C44"/>
    <w:rsid w:val="00F467BD"/>
    <w:rsid w:val="00F47C30"/>
    <w:rsid w:val="00F47EB6"/>
    <w:rsid w:val="00F50013"/>
    <w:rsid w:val="00F51099"/>
    <w:rsid w:val="00F51E38"/>
    <w:rsid w:val="00F52CB3"/>
    <w:rsid w:val="00F53D5B"/>
    <w:rsid w:val="00F54372"/>
    <w:rsid w:val="00F543E9"/>
    <w:rsid w:val="00F54E05"/>
    <w:rsid w:val="00F609E1"/>
    <w:rsid w:val="00F60B1F"/>
    <w:rsid w:val="00F65482"/>
    <w:rsid w:val="00F67A28"/>
    <w:rsid w:val="00F67BE2"/>
    <w:rsid w:val="00F70F7C"/>
    <w:rsid w:val="00F71412"/>
    <w:rsid w:val="00F71CD5"/>
    <w:rsid w:val="00F71D6E"/>
    <w:rsid w:val="00F72364"/>
    <w:rsid w:val="00F723C1"/>
    <w:rsid w:val="00F727C0"/>
    <w:rsid w:val="00F739D7"/>
    <w:rsid w:val="00F74E4D"/>
    <w:rsid w:val="00F76A19"/>
    <w:rsid w:val="00F77DC4"/>
    <w:rsid w:val="00F810FB"/>
    <w:rsid w:val="00F81883"/>
    <w:rsid w:val="00F82542"/>
    <w:rsid w:val="00F849A0"/>
    <w:rsid w:val="00F850A1"/>
    <w:rsid w:val="00F853D7"/>
    <w:rsid w:val="00F8554A"/>
    <w:rsid w:val="00F9048E"/>
    <w:rsid w:val="00F906BC"/>
    <w:rsid w:val="00F91E9B"/>
    <w:rsid w:val="00F927F6"/>
    <w:rsid w:val="00F92B42"/>
    <w:rsid w:val="00F92B45"/>
    <w:rsid w:val="00F93A3A"/>
    <w:rsid w:val="00F961F3"/>
    <w:rsid w:val="00F96667"/>
    <w:rsid w:val="00F967DF"/>
    <w:rsid w:val="00F96DCA"/>
    <w:rsid w:val="00F96F78"/>
    <w:rsid w:val="00F97DE6"/>
    <w:rsid w:val="00FA10BD"/>
    <w:rsid w:val="00FA3F72"/>
    <w:rsid w:val="00FA41FD"/>
    <w:rsid w:val="00FA4562"/>
    <w:rsid w:val="00FA5447"/>
    <w:rsid w:val="00FA5613"/>
    <w:rsid w:val="00FA7355"/>
    <w:rsid w:val="00FA7FC9"/>
    <w:rsid w:val="00FB01B6"/>
    <w:rsid w:val="00FB185F"/>
    <w:rsid w:val="00FB5826"/>
    <w:rsid w:val="00FB5B4E"/>
    <w:rsid w:val="00FB699E"/>
    <w:rsid w:val="00FB6D83"/>
    <w:rsid w:val="00FB72ED"/>
    <w:rsid w:val="00FB7C13"/>
    <w:rsid w:val="00FC24D3"/>
    <w:rsid w:val="00FC25B0"/>
    <w:rsid w:val="00FC4314"/>
    <w:rsid w:val="00FC586C"/>
    <w:rsid w:val="00FC607A"/>
    <w:rsid w:val="00FD1536"/>
    <w:rsid w:val="00FD2BB5"/>
    <w:rsid w:val="00FD2D94"/>
    <w:rsid w:val="00FD51F5"/>
    <w:rsid w:val="00FE06B3"/>
    <w:rsid w:val="00FE337F"/>
    <w:rsid w:val="00FE34DB"/>
    <w:rsid w:val="00FE51E2"/>
    <w:rsid w:val="00FE5365"/>
    <w:rsid w:val="00FE700E"/>
    <w:rsid w:val="00FE7A19"/>
    <w:rsid w:val="00FF3D36"/>
    <w:rsid w:val="00FF505D"/>
    <w:rsid w:val="00FF51DA"/>
    <w:rsid w:val="00FF52BA"/>
    <w:rsid w:val="00FF7B6B"/>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FE"/>
    <w:pPr>
      <w:spacing w:line="240" w:lineRule="auto"/>
    </w:pPr>
    <w:rPr>
      <w:szCs w:val="22"/>
    </w:rPr>
  </w:style>
  <w:style w:type="paragraph" w:styleId="Heading1">
    <w:name w:val="heading 1"/>
    <w:basedOn w:val="Normal"/>
    <w:next w:val="Normal"/>
    <w:link w:val="Heading1Char"/>
    <w:uiPriority w:val="9"/>
    <w:qFormat/>
    <w:rsid w:val="00807EFE"/>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EFE"/>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EFE"/>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EFE"/>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EF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EF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EF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EF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EF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EF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07EF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07EFE"/>
    <w:rPr>
      <w:rFonts w:asciiTheme="majorHAnsi" w:eastAsiaTheme="majorEastAsia" w:hAnsiTheme="majorHAnsi" w:cstheme="majorBidi"/>
      <w:b/>
      <w:bCs/>
      <w:szCs w:val="22"/>
    </w:rPr>
  </w:style>
  <w:style w:type="character" w:customStyle="1" w:styleId="Heading4Char">
    <w:name w:val="Heading 4 Char"/>
    <w:basedOn w:val="DefaultParagraphFont"/>
    <w:link w:val="Heading4"/>
    <w:uiPriority w:val="9"/>
    <w:semiHidden/>
    <w:rsid w:val="00807EFE"/>
    <w:rPr>
      <w:rFonts w:asciiTheme="majorHAnsi" w:eastAsiaTheme="majorEastAsia" w:hAnsiTheme="majorHAnsi" w:cstheme="majorBidi"/>
      <w:b/>
      <w:bCs/>
      <w:i/>
      <w:iCs/>
      <w:szCs w:val="22"/>
    </w:rPr>
  </w:style>
  <w:style w:type="character" w:customStyle="1" w:styleId="Heading5Char">
    <w:name w:val="Heading 5 Char"/>
    <w:basedOn w:val="DefaultParagraphFont"/>
    <w:link w:val="Heading5"/>
    <w:uiPriority w:val="9"/>
    <w:semiHidden/>
    <w:rsid w:val="00807EFE"/>
    <w:rPr>
      <w:rFonts w:asciiTheme="majorHAnsi" w:eastAsiaTheme="majorEastAsia" w:hAnsiTheme="majorHAnsi" w:cstheme="majorBidi"/>
      <w:b/>
      <w:bCs/>
      <w:color w:val="7F7F7F" w:themeColor="text1" w:themeTint="80"/>
      <w:szCs w:val="22"/>
    </w:rPr>
  </w:style>
  <w:style w:type="character" w:customStyle="1" w:styleId="Heading6Char">
    <w:name w:val="Heading 6 Char"/>
    <w:basedOn w:val="DefaultParagraphFont"/>
    <w:link w:val="Heading6"/>
    <w:uiPriority w:val="9"/>
    <w:semiHidden/>
    <w:rsid w:val="00807EFE"/>
    <w:rPr>
      <w:rFonts w:asciiTheme="majorHAnsi" w:eastAsiaTheme="majorEastAsia" w:hAnsiTheme="majorHAnsi" w:cstheme="majorBidi"/>
      <w:b/>
      <w:bCs/>
      <w:i/>
      <w:iCs/>
      <w:color w:val="7F7F7F" w:themeColor="text1" w:themeTint="80"/>
      <w:szCs w:val="22"/>
    </w:rPr>
  </w:style>
  <w:style w:type="character" w:customStyle="1" w:styleId="Heading7Char">
    <w:name w:val="Heading 7 Char"/>
    <w:basedOn w:val="DefaultParagraphFont"/>
    <w:link w:val="Heading7"/>
    <w:uiPriority w:val="9"/>
    <w:semiHidden/>
    <w:rsid w:val="00807EFE"/>
    <w:rPr>
      <w:rFonts w:asciiTheme="majorHAnsi" w:eastAsiaTheme="majorEastAsia" w:hAnsiTheme="majorHAnsi" w:cstheme="majorBidi"/>
      <w:i/>
      <w:iCs/>
      <w:szCs w:val="22"/>
    </w:rPr>
  </w:style>
  <w:style w:type="character" w:customStyle="1" w:styleId="Heading8Char">
    <w:name w:val="Heading 8 Char"/>
    <w:basedOn w:val="DefaultParagraphFont"/>
    <w:link w:val="Heading8"/>
    <w:uiPriority w:val="9"/>
    <w:semiHidden/>
    <w:rsid w:val="00807E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EF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EF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EF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EFE"/>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EFE"/>
    <w:rPr>
      <w:rFonts w:asciiTheme="majorHAnsi" w:eastAsiaTheme="majorEastAsia" w:hAnsiTheme="majorHAnsi" w:cstheme="majorBidi"/>
      <w:i/>
      <w:iCs/>
      <w:spacing w:val="13"/>
    </w:rPr>
  </w:style>
  <w:style w:type="character" w:styleId="Strong">
    <w:name w:val="Strong"/>
    <w:uiPriority w:val="22"/>
    <w:qFormat/>
    <w:rsid w:val="00807EFE"/>
    <w:rPr>
      <w:b/>
      <w:bCs/>
    </w:rPr>
  </w:style>
  <w:style w:type="character" w:styleId="Emphasis">
    <w:name w:val="Emphasis"/>
    <w:uiPriority w:val="20"/>
    <w:qFormat/>
    <w:rsid w:val="00807EFE"/>
    <w:rPr>
      <w:b/>
      <w:bCs/>
      <w:i/>
      <w:iCs/>
      <w:spacing w:val="10"/>
      <w:bdr w:val="none" w:sz="0" w:space="0" w:color="auto"/>
      <w:shd w:val="clear" w:color="auto" w:fill="auto"/>
    </w:rPr>
  </w:style>
  <w:style w:type="paragraph" w:styleId="NoSpacing">
    <w:name w:val="No Spacing"/>
    <w:basedOn w:val="Normal"/>
    <w:uiPriority w:val="1"/>
    <w:qFormat/>
    <w:rsid w:val="00807EFE"/>
  </w:style>
  <w:style w:type="paragraph" w:styleId="ListParagraph">
    <w:name w:val="List Paragraph"/>
    <w:basedOn w:val="Normal"/>
    <w:uiPriority w:val="34"/>
    <w:qFormat/>
    <w:rsid w:val="00807EFE"/>
    <w:pPr>
      <w:ind w:left="720"/>
      <w:contextualSpacing/>
    </w:pPr>
  </w:style>
  <w:style w:type="paragraph" w:styleId="Quote">
    <w:name w:val="Quote"/>
    <w:basedOn w:val="Normal"/>
    <w:next w:val="Normal"/>
    <w:link w:val="QuoteChar"/>
    <w:uiPriority w:val="29"/>
    <w:qFormat/>
    <w:rsid w:val="00807EFE"/>
    <w:pPr>
      <w:spacing w:before="200"/>
      <w:ind w:left="360" w:right="360"/>
    </w:pPr>
    <w:rPr>
      <w:i/>
      <w:iCs/>
    </w:rPr>
  </w:style>
  <w:style w:type="character" w:customStyle="1" w:styleId="QuoteChar">
    <w:name w:val="Quote Char"/>
    <w:basedOn w:val="DefaultParagraphFont"/>
    <w:link w:val="Quote"/>
    <w:uiPriority w:val="29"/>
    <w:rsid w:val="00807EFE"/>
    <w:rPr>
      <w:i/>
      <w:iCs/>
      <w:szCs w:val="22"/>
    </w:rPr>
  </w:style>
  <w:style w:type="paragraph" w:styleId="IntenseQuote">
    <w:name w:val="Intense Quote"/>
    <w:basedOn w:val="Normal"/>
    <w:next w:val="Normal"/>
    <w:link w:val="IntenseQuoteChar"/>
    <w:uiPriority w:val="30"/>
    <w:qFormat/>
    <w:rsid w:val="00807E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EFE"/>
    <w:rPr>
      <w:b/>
      <w:bCs/>
      <w:i/>
      <w:iCs/>
      <w:szCs w:val="22"/>
    </w:rPr>
  </w:style>
  <w:style w:type="character" w:styleId="SubtleEmphasis">
    <w:name w:val="Subtle Emphasis"/>
    <w:uiPriority w:val="19"/>
    <w:qFormat/>
    <w:rsid w:val="00807EFE"/>
    <w:rPr>
      <w:i/>
      <w:iCs/>
    </w:rPr>
  </w:style>
  <w:style w:type="character" w:styleId="IntenseEmphasis">
    <w:name w:val="Intense Emphasis"/>
    <w:uiPriority w:val="21"/>
    <w:qFormat/>
    <w:rsid w:val="00807EFE"/>
    <w:rPr>
      <w:b/>
      <w:bCs/>
    </w:rPr>
  </w:style>
  <w:style w:type="character" w:styleId="SubtleReference">
    <w:name w:val="Subtle Reference"/>
    <w:uiPriority w:val="31"/>
    <w:qFormat/>
    <w:rsid w:val="00807EFE"/>
    <w:rPr>
      <w:smallCaps/>
    </w:rPr>
  </w:style>
  <w:style w:type="character" w:styleId="IntenseReference">
    <w:name w:val="Intense Reference"/>
    <w:uiPriority w:val="32"/>
    <w:qFormat/>
    <w:rsid w:val="00807EFE"/>
    <w:rPr>
      <w:smallCaps/>
      <w:spacing w:val="5"/>
      <w:u w:val="single"/>
    </w:rPr>
  </w:style>
  <w:style w:type="character" w:styleId="BookTitle">
    <w:name w:val="Book Title"/>
    <w:uiPriority w:val="33"/>
    <w:qFormat/>
    <w:rsid w:val="00807EFE"/>
    <w:rPr>
      <w:i/>
      <w:iCs/>
      <w:smallCaps/>
      <w:spacing w:val="5"/>
    </w:rPr>
  </w:style>
  <w:style w:type="paragraph" w:styleId="TOCHeading">
    <w:name w:val="TOC Heading"/>
    <w:basedOn w:val="Heading1"/>
    <w:next w:val="Normal"/>
    <w:uiPriority w:val="39"/>
    <w:semiHidden/>
    <w:unhideWhenUsed/>
    <w:qFormat/>
    <w:rsid w:val="00807EFE"/>
    <w:pPr>
      <w:outlineLvl w:val="9"/>
    </w:pPr>
    <w:rPr>
      <w:lang w:bidi="en-US"/>
    </w:rPr>
  </w:style>
  <w:style w:type="paragraph" w:styleId="FootnoteText">
    <w:name w:val="footnote text"/>
    <w:basedOn w:val="Normal"/>
    <w:link w:val="FootnoteTextChar"/>
    <w:uiPriority w:val="99"/>
    <w:semiHidden/>
    <w:unhideWhenUsed/>
    <w:rsid w:val="00807EFE"/>
    <w:rPr>
      <w:sz w:val="20"/>
      <w:szCs w:val="20"/>
    </w:rPr>
  </w:style>
  <w:style w:type="character" w:customStyle="1" w:styleId="FootnoteTextChar">
    <w:name w:val="Footnote Text Char"/>
    <w:basedOn w:val="DefaultParagraphFont"/>
    <w:link w:val="FootnoteText"/>
    <w:uiPriority w:val="99"/>
    <w:semiHidden/>
    <w:rsid w:val="00807EFE"/>
    <w:rPr>
      <w:sz w:val="20"/>
      <w:szCs w:val="20"/>
    </w:rPr>
  </w:style>
  <w:style w:type="character" w:styleId="FootnoteReference">
    <w:name w:val="footnote reference"/>
    <w:basedOn w:val="DefaultParagraphFont"/>
    <w:uiPriority w:val="99"/>
    <w:semiHidden/>
    <w:unhideWhenUsed/>
    <w:rsid w:val="00807EFE"/>
    <w:rPr>
      <w:vertAlign w:val="superscript"/>
    </w:rPr>
  </w:style>
  <w:style w:type="character" w:styleId="Hyperlink">
    <w:name w:val="Hyperlink"/>
    <w:basedOn w:val="DefaultParagraphFont"/>
    <w:uiPriority w:val="99"/>
    <w:unhideWhenUsed/>
    <w:rsid w:val="00807EFE"/>
    <w:rPr>
      <w:color w:val="0000FF" w:themeColor="hyperlink"/>
      <w:u w:val="single"/>
    </w:rPr>
  </w:style>
  <w:style w:type="paragraph" w:styleId="Header">
    <w:name w:val="header"/>
    <w:basedOn w:val="Normal"/>
    <w:link w:val="HeaderChar"/>
    <w:uiPriority w:val="99"/>
    <w:unhideWhenUsed/>
    <w:rsid w:val="00807EFE"/>
    <w:pPr>
      <w:tabs>
        <w:tab w:val="center" w:pos="4680"/>
        <w:tab w:val="right" w:pos="9360"/>
      </w:tabs>
    </w:pPr>
  </w:style>
  <w:style w:type="character" w:customStyle="1" w:styleId="HeaderChar">
    <w:name w:val="Header Char"/>
    <w:basedOn w:val="DefaultParagraphFont"/>
    <w:link w:val="Header"/>
    <w:uiPriority w:val="99"/>
    <w:rsid w:val="00807EFE"/>
    <w:rPr>
      <w:szCs w:val="22"/>
    </w:rPr>
  </w:style>
  <w:style w:type="paragraph" w:styleId="Footer">
    <w:name w:val="footer"/>
    <w:basedOn w:val="Normal"/>
    <w:link w:val="FooterChar"/>
    <w:uiPriority w:val="99"/>
    <w:unhideWhenUsed/>
    <w:rsid w:val="00807EFE"/>
    <w:pPr>
      <w:tabs>
        <w:tab w:val="center" w:pos="4680"/>
        <w:tab w:val="right" w:pos="9360"/>
      </w:tabs>
    </w:pPr>
  </w:style>
  <w:style w:type="character" w:customStyle="1" w:styleId="FooterChar">
    <w:name w:val="Footer Char"/>
    <w:basedOn w:val="DefaultParagraphFont"/>
    <w:link w:val="Footer"/>
    <w:uiPriority w:val="99"/>
    <w:rsid w:val="00807EFE"/>
    <w:rPr>
      <w:szCs w:val="22"/>
    </w:rPr>
  </w:style>
  <w:style w:type="paragraph" w:styleId="BalloonText">
    <w:name w:val="Balloon Text"/>
    <w:basedOn w:val="Normal"/>
    <w:link w:val="BalloonTextChar"/>
    <w:uiPriority w:val="99"/>
    <w:semiHidden/>
    <w:unhideWhenUsed/>
    <w:rsid w:val="00807EFE"/>
    <w:rPr>
      <w:rFonts w:ascii="Tahoma" w:hAnsi="Tahoma" w:cs="Tahoma"/>
      <w:sz w:val="16"/>
      <w:szCs w:val="16"/>
    </w:rPr>
  </w:style>
  <w:style w:type="character" w:customStyle="1" w:styleId="BalloonTextChar">
    <w:name w:val="Balloon Text Char"/>
    <w:basedOn w:val="DefaultParagraphFont"/>
    <w:link w:val="BalloonText"/>
    <w:uiPriority w:val="99"/>
    <w:semiHidden/>
    <w:rsid w:val="00807EFE"/>
    <w:rPr>
      <w:rFonts w:ascii="Tahoma" w:hAnsi="Tahoma" w:cs="Tahoma"/>
      <w:sz w:val="16"/>
      <w:szCs w:val="16"/>
    </w:rPr>
  </w:style>
  <w:style w:type="character" w:styleId="CommentReference">
    <w:name w:val="annotation reference"/>
    <w:basedOn w:val="DefaultParagraphFont"/>
    <w:uiPriority w:val="99"/>
    <w:semiHidden/>
    <w:unhideWhenUsed/>
    <w:rsid w:val="00807EFE"/>
    <w:rPr>
      <w:sz w:val="16"/>
      <w:szCs w:val="16"/>
    </w:rPr>
  </w:style>
  <w:style w:type="paragraph" w:styleId="CommentText">
    <w:name w:val="annotation text"/>
    <w:basedOn w:val="Normal"/>
    <w:link w:val="CommentTextChar"/>
    <w:uiPriority w:val="99"/>
    <w:semiHidden/>
    <w:unhideWhenUsed/>
    <w:rsid w:val="00807EFE"/>
    <w:rPr>
      <w:sz w:val="20"/>
      <w:szCs w:val="20"/>
    </w:rPr>
  </w:style>
  <w:style w:type="character" w:customStyle="1" w:styleId="CommentTextChar">
    <w:name w:val="Comment Text Char"/>
    <w:basedOn w:val="DefaultParagraphFont"/>
    <w:link w:val="CommentText"/>
    <w:uiPriority w:val="99"/>
    <w:semiHidden/>
    <w:rsid w:val="00807EFE"/>
    <w:rPr>
      <w:sz w:val="20"/>
      <w:szCs w:val="20"/>
    </w:rPr>
  </w:style>
  <w:style w:type="paragraph" w:styleId="CommentSubject">
    <w:name w:val="annotation subject"/>
    <w:basedOn w:val="CommentText"/>
    <w:next w:val="CommentText"/>
    <w:link w:val="CommentSubjectChar"/>
    <w:uiPriority w:val="99"/>
    <w:semiHidden/>
    <w:unhideWhenUsed/>
    <w:rsid w:val="00807EFE"/>
    <w:rPr>
      <w:b/>
      <w:bCs/>
    </w:rPr>
  </w:style>
  <w:style w:type="character" w:customStyle="1" w:styleId="CommentSubjectChar">
    <w:name w:val="Comment Subject Char"/>
    <w:basedOn w:val="CommentTextChar"/>
    <w:link w:val="CommentSubject"/>
    <w:uiPriority w:val="99"/>
    <w:semiHidden/>
    <w:rsid w:val="00807EFE"/>
    <w:rPr>
      <w:b/>
      <w:bCs/>
      <w:sz w:val="20"/>
      <w:szCs w:val="20"/>
    </w:rPr>
  </w:style>
  <w:style w:type="paragraph" w:styleId="Revision">
    <w:name w:val="Revision"/>
    <w:hidden/>
    <w:uiPriority w:val="99"/>
    <w:semiHidden/>
    <w:rsid w:val="00807EFE"/>
    <w:pPr>
      <w:spacing w:line="240" w:lineRule="auto"/>
    </w:pPr>
    <w:rPr>
      <w:szCs w:val="22"/>
    </w:rPr>
  </w:style>
  <w:style w:type="character" w:customStyle="1" w:styleId="entry-title">
    <w:name w:val="entry-title"/>
    <w:basedOn w:val="DefaultParagraphFont"/>
    <w:rsid w:val="00807EFE"/>
  </w:style>
  <w:style w:type="character" w:customStyle="1" w:styleId="apple-converted-space">
    <w:name w:val="apple-converted-space"/>
    <w:basedOn w:val="DefaultParagraphFont"/>
    <w:rsid w:val="00807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FE"/>
    <w:pPr>
      <w:spacing w:line="240" w:lineRule="auto"/>
    </w:pPr>
    <w:rPr>
      <w:szCs w:val="22"/>
    </w:rPr>
  </w:style>
  <w:style w:type="paragraph" w:styleId="Heading1">
    <w:name w:val="heading 1"/>
    <w:basedOn w:val="Normal"/>
    <w:next w:val="Normal"/>
    <w:link w:val="Heading1Char"/>
    <w:uiPriority w:val="9"/>
    <w:qFormat/>
    <w:rsid w:val="00807EFE"/>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EFE"/>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EFE"/>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EFE"/>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EF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EF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EF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EF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EF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EF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07EF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07EFE"/>
    <w:rPr>
      <w:rFonts w:asciiTheme="majorHAnsi" w:eastAsiaTheme="majorEastAsia" w:hAnsiTheme="majorHAnsi" w:cstheme="majorBidi"/>
      <w:b/>
      <w:bCs/>
      <w:szCs w:val="22"/>
    </w:rPr>
  </w:style>
  <w:style w:type="character" w:customStyle="1" w:styleId="Heading4Char">
    <w:name w:val="Heading 4 Char"/>
    <w:basedOn w:val="DefaultParagraphFont"/>
    <w:link w:val="Heading4"/>
    <w:uiPriority w:val="9"/>
    <w:semiHidden/>
    <w:rsid w:val="00807EFE"/>
    <w:rPr>
      <w:rFonts w:asciiTheme="majorHAnsi" w:eastAsiaTheme="majorEastAsia" w:hAnsiTheme="majorHAnsi" w:cstheme="majorBidi"/>
      <w:b/>
      <w:bCs/>
      <w:i/>
      <w:iCs/>
      <w:szCs w:val="22"/>
    </w:rPr>
  </w:style>
  <w:style w:type="character" w:customStyle="1" w:styleId="Heading5Char">
    <w:name w:val="Heading 5 Char"/>
    <w:basedOn w:val="DefaultParagraphFont"/>
    <w:link w:val="Heading5"/>
    <w:uiPriority w:val="9"/>
    <w:semiHidden/>
    <w:rsid w:val="00807EFE"/>
    <w:rPr>
      <w:rFonts w:asciiTheme="majorHAnsi" w:eastAsiaTheme="majorEastAsia" w:hAnsiTheme="majorHAnsi" w:cstheme="majorBidi"/>
      <w:b/>
      <w:bCs/>
      <w:color w:val="7F7F7F" w:themeColor="text1" w:themeTint="80"/>
      <w:szCs w:val="22"/>
    </w:rPr>
  </w:style>
  <w:style w:type="character" w:customStyle="1" w:styleId="Heading6Char">
    <w:name w:val="Heading 6 Char"/>
    <w:basedOn w:val="DefaultParagraphFont"/>
    <w:link w:val="Heading6"/>
    <w:uiPriority w:val="9"/>
    <w:semiHidden/>
    <w:rsid w:val="00807EFE"/>
    <w:rPr>
      <w:rFonts w:asciiTheme="majorHAnsi" w:eastAsiaTheme="majorEastAsia" w:hAnsiTheme="majorHAnsi" w:cstheme="majorBidi"/>
      <w:b/>
      <w:bCs/>
      <w:i/>
      <w:iCs/>
      <w:color w:val="7F7F7F" w:themeColor="text1" w:themeTint="80"/>
      <w:szCs w:val="22"/>
    </w:rPr>
  </w:style>
  <w:style w:type="character" w:customStyle="1" w:styleId="Heading7Char">
    <w:name w:val="Heading 7 Char"/>
    <w:basedOn w:val="DefaultParagraphFont"/>
    <w:link w:val="Heading7"/>
    <w:uiPriority w:val="9"/>
    <w:semiHidden/>
    <w:rsid w:val="00807EFE"/>
    <w:rPr>
      <w:rFonts w:asciiTheme="majorHAnsi" w:eastAsiaTheme="majorEastAsia" w:hAnsiTheme="majorHAnsi" w:cstheme="majorBidi"/>
      <w:i/>
      <w:iCs/>
      <w:szCs w:val="22"/>
    </w:rPr>
  </w:style>
  <w:style w:type="character" w:customStyle="1" w:styleId="Heading8Char">
    <w:name w:val="Heading 8 Char"/>
    <w:basedOn w:val="DefaultParagraphFont"/>
    <w:link w:val="Heading8"/>
    <w:uiPriority w:val="9"/>
    <w:semiHidden/>
    <w:rsid w:val="00807E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EF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EF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EF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EFE"/>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EFE"/>
    <w:rPr>
      <w:rFonts w:asciiTheme="majorHAnsi" w:eastAsiaTheme="majorEastAsia" w:hAnsiTheme="majorHAnsi" w:cstheme="majorBidi"/>
      <w:i/>
      <w:iCs/>
      <w:spacing w:val="13"/>
    </w:rPr>
  </w:style>
  <w:style w:type="character" w:styleId="Strong">
    <w:name w:val="Strong"/>
    <w:uiPriority w:val="22"/>
    <w:qFormat/>
    <w:rsid w:val="00807EFE"/>
    <w:rPr>
      <w:b/>
      <w:bCs/>
    </w:rPr>
  </w:style>
  <w:style w:type="character" w:styleId="Emphasis">
    <w:name w:val="Emphasis"/>
    <w:uiPriority w:val="20"/>
    <w:qFormat/>
    <w:rsid w:val="00807EFE"/>
    <w:rPr>
      <w:b/>
      <w:bCs/>
      <w:i/>
      <w:iCs/>
      <w:spacing w:val="10"/>
      <w:bdr w:val="none" w:sz="0" w:space="0" w:color="auto"/>
      <w:shd w:val="clear" w:color="auto" w:fill="auto"/>
    </w:rPr>
  </w:style>
  <w:style w:type="paragraph" w:styleId="NoSpacing">
    <w:name w:val="No Spacing"/>
    <w:basedOn w:val="Normal"/>
    <w:uiPriority w:val="1"/>
    <w:qFormat/>
    <w:rsid w:val="00807EFE"/>
  </w:style>
  <w:style w:type="paragraph" w:styleId="ListParagraph">
    <w:name w:val="List Paragraph"/>
    <w:basedOn w:val="Normal"/>
    <w:uiPriority w:val="34"/>
    <w:qFormat/>
    <w:rsid w:val="00807EFE"/>
    <w:pPr>
      <w:ind w:left="720"/>
      <w:contextualSpacing/>
    </w:pPr>
  </w:style>
  <w:style w:type="paragraph" w:styleId="Quote">
    <w:name w:val="Quote"/>
    <w:basedOn w:val="Normal"/>
    <w:next w:val="Normal"/>
    <w:link w:val="QuoteChar"/>
    <w:uiPriority w:val="29"/>
    <w:qFormat/>
    <w:rsid w:val="00807EFE"/>
    <w:pPr>
      <w:spacing w:before="200"/>
      <w:ind w:left="360" w:right="360"/>
    </w:pPr>
    <w:rPr>
      <w:i/>
      <w:iCs/>
    </w:rPr>
  </w:style>
  <w:style w:type="character" w:customStyle="1" w:styleId="QuoteChar">
    <w:name w:val="Quote Char"/>
    <w:basedOn w:val="DefaultParagraphFont"/>
    <w:link w:val="Quote"/>
    <w:uiPriority w:val="29"/>
    <w:rsid w:val="00807EFE"/>
    <w:rPr>
      <w:i/>
      <w:iCs/>
      <w:szCs w:val="22"/>
    </w:rPr>
  </w:style>
  <w:style w:type="paragraph" w:styleId="IntenseQuote">
    <w:name w:val="Intense Quote"/>
    <w:basedOn w:val="Normal"/>
    <w:next w:val="Normal"/>
    <w:link w:val="IntenseQuoteChar"/>
    <w:uiPriority w:val="30"/>
    <w:qFormat/>
    <w:rsid w:val="00807E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EFE"/>
    <w:rPr>
      <w:b/>
      <w:bCs/>
      <w:i/>
      <w:iCs/>
      <w:szCs w:val="22"/>
    </w:rPr>
  </w:style>
  <w:style w:type="character" w:styleId="SubtleEmphasis">
    <w:name w:val="Subtle Emphasis"/>
    <w:uiPriority w:val="19"/>
    <w:qFormat/>
    <w:rsid w:val="00807EFE"/>
    <w:rPr>
      <w:i/>
      <w:iCs/>
    </w:rPr>
  </w:style>
  <w:style w:type="character" w:styleId="IntenseEmphasis">
    <w:name w:val="Intense Emphasis"/>
    <w:uiPriority w:val="21"/>
    <w:qFormat/>
    <w:rsid w:val="00807EFE"/>
    <w:rPr>
      <w:b/>
      <w:bCs/>
    </w:rPr>
  </w:style>
  <w:style w:type="character" w:styleId="SubtleReference">
    <w:name w:val="Subtle Reference"/>
    <w:uiPriority w:val="31"/>
    <w:qFormat/>
    <w:rsid w:val="00807EFE"/>
    <w:rPr>
      <w:smallCaps/>
    </w:rPr>
  </w:style>
  <w:style w:type="character" w:styleId="IntenseReference">
    <w:name w:val="Intense Reference"/>
    <w:uiPriority w:val="32"/>
    <w:qFormat/>
    <w:rsid w:val="00807EFE"/>
    <w:rPr>
      <w:smallCaps/>
      <w:spacing w:val="5"/>
      <w:u w:val="single"/>
    </w:rPr>
  </w:style>
  <w:style w:type="character" w:styleId="BookTitle">
    <w:name w:val="Book Title"/>
    <w:uiPriority w:val="33"/>
    <w:qFormat/>
    <w:rsid w:val="00807EFE"/>
    <w:rPr>
      <w:i/>
      <w:iCs/>
      <w:smallCaps/>
      <w:spacing w:val="5"/>
    </w:rPr>
  </w:style>
  <w:style w:type="paragraph" w:styleId="TOCHeading">
    <w:name w:val="TOC Heading"/>
    <w:basedOn w:val="Heading1"/>
    <w:next w:val="Normal"/>
    <w:uiPriority w:val="39"/>
    <w:semiHidden/>
    <w:unhideWhenUsed/>
    <w:qFormat/>
    <w:rsid w:val="00807EFE"/>
    <w:pPr>
      <w:outlineLvl w:val="9"/>
    </w:pPr>
    <w:rPr>
      <w:lang w:bidi="en-US"/>
    </w:rPr>
  </w:style>
  <w:style w:type="paragraph" w:styleId="FootnoteText">
    <w:name w:val="footnote text"/>
    <w:basedOn w:val="Normal"/>
    <w:link w:val="FootnoteTextChar"/>
    <w:uiPriority w:val="99"/>
    <w:semiHidden/>
    <w:unhideWhenUsed/>
    <w:rsid w:val="00807EFE"/>
    <w:rPr>
      <w:sz w:val="20"/>
      <w:szCs w:val="20"/>
    </w:rPr>
  </w:style>
  <w:style w:type="character" w:customStyle="1" w:styleId="FootnoteTextChar">
    <w:name w:val="Footnote Text Char"/>
    <w:basedOn w:val="DefaultParagraphFont"/>
    <w:link w:val="FootnoteText"/>
    <w:uiPriority w:val="99"/>
    <w:semiHidden/>
    <w:rsid w:val="00807EFE"/>
    <w:rPr>
      <w:sz w:val="20"/>
      <w:szCs w:val="20"/>
    </w:rPr>
  </w:style>
  <w:style w:type="character" w:styleId="FootnoteReference">
    <w:name w:val="footnote reference"/>
    <w:basedOn w:val="DefaultParagraphFont"/>
    <w:uiPriority w:val="99"/>
    <w:semiHidden/>
    <w:unhideWhenUsed/>
    <w:rsid w:val="00807EFE"/>
    <w:rPr>
      <w:vertAlign w:val="superscript"/>
    </w:rPr>
  </w:style>
  <w:style w:type="character" w:styleId="Hyperlink">
    <w:name w:val="Hyperlink"/>
    <w:basedOn w:val="DefaultParagraphFont"/>
    <w:uiPriority w:val="99"/>
    <w:unhideWhenUsed/>
    <w:rsid w:val="00807EFE"/>
    <w:rPr>
      <w:color w:val="0000FF" w:themeColor="hyperlink"/>
      <w:u w:val="single"/>
    </w:rPr>
  </w:style>
  <w:style w:type="paragraph" w:styleId="Header">
    <w:name w:val="header"/>
    <w:basedOn w:val="Normal"/>
    <w:link w:val="HeaderChar"/>
    <w:uiPriority w:val="99"/>
    <w:unhideWhenUsed/>
    <w:rsid w:val="00807EFE"/>
    <w:pPr>
      <w:tabs>
        <w:tab w:val="center" w:pos="4680"/>
        <w:tab w:val="right" w:pos="9360"/>
      </w:tabs>
    </w:pPr>
  </w:style>
  <w:style w:type="character" w:customStyle="1" w:styleId="HeaderChar">
    <w:name w:val="Header Char"/>
    <w:basedOn w:val="DefaultParagraphFont"/>
    <w:link w:val="Header"/>
    <w:uiPriority w:val="99"/>
    <w:rsid w:val="00807EFE"/>
    <w:rPr>
      <w:szCs w:val="22"/>
    </w:rPr>
  </w:style>
  <w:style w:type="paragraph" w:styleId="Footer">
    <w:name w:val="footer"/>
    <w:basedOn w:val="Normal"/>
    <w:link w:val="FooterChar"/>
    <w:uiPriority w:val="99"/>
    <w:unhideWhenUsed/>
    <w:rsid w:val="00807EFE"/>
    <w:pPr>
      <w:tabs>
        <w:tab w:val="center" w:pos="4680"/>
        <w:tab w:val="right" w:pos="9360"/>
      </w:tabs>
    </w:pPr>
  </w:style>
  <w:style w:type="character" w:customStyle="1" w:styleId="FooterChar">
    <w:name w:val="Footer Char"/>
    <w:basedOn w:val="DefaultParagraphFont"/>
    <w:link w:val="Footer"/>
    <w:uiPriority w:val="99"/>
    <w:rsid w:val="00807EFE"/>
    <w:rPr>
      <w:szCs w:val="22"/>
    </w:rPr>
  </w:style>
  <w:style w:type="paragraph" w:styleId="BalloonText">
    <w:name w:val="Balloon Text"/>
    <w:basedOn w:val="Normal"/>
    <w:link w:val="BalloonTextChar"/>
    <w:uiPriority w:val="99"/>
    <w:semiHidden/>
    <w:unhideWhenUsed/>
    <w:rsid w:val="00807EFE"/>
    <w:rPr>
      <w:rFonts w:ascii="Tahoma" w:hAnsi="Tahoma" w:cs="Tahoma"/>
      <w:sz w:val="16"/>
      <w:szCs w:val="16"/>
    </w:rPr>
  </w:style>
  <w:style w:type="character" w:customStyle="1" w:styleId="BalloonTextChar">
    <w:name w:val="Balloon Text Char"/>
    <w:basedOn w:val="DefaultParagraphFont"/>
    <w:link w:val="BalloonText"/>
    <w:uiPriority w:val="99"/>
    <w:semiHidden/>
    <w:rsid w:val="00807EFE"/>
    <w:rPr>
      <w:rFonts w:ascii="Tahoma" w:hAnsi="Tahoma" w:cs="Tahoma"/>
      <w:sz w:val="16"/>
      <w:szCs w:val="16"/>
    </w:rPr>
  </w:style>
  <w:style w:type="character" w:styleId="CommentReference">
    <w:name w:val="annotation reference"/>
    <w:basedOn w:val="DefaultParagraphFont"/>
    <w:uiPriority w:val="99"/>
    <w:semiHidden/>
    <w:unhideWhenUsed/>
    <w:rsid w:val="00807EFE"/>
    <w:rPr>
      <w:sz w:val="16"/>
      <w:szCs w:val="16"/>
    </w:rPr>
  </w:style>
  <w:style w:type="paragraph" w:styleId="CommentText">
    <w:name w:val="annotation text"/>
    <w:basedOn w:val="Normal"/>
    <w:link w:val="CommentTextChar"/>
    <w:uiPriority w:val="99"/>
    <w:semiHidden/>
    <w:unhideWhenUsed/>
    <w:rsid w:val="00807EFE"/>
    <w:rPr>
      <w:sz w:val="20"/>
      <w:szCs w:val="20"/>
    </w:rPr>
  </w:style>
  <w:style w:type="character" w:customStyle="1" w:styleId="CommentTextChar">
    <w:name w:val="Comment Text Char"/>
    <w:basedOn w:val="DefaultParagraphFont"/>
    <w:link w:val="CommentText"/>
    <w:uiPriority w:val="99"/>
    <w:semiHidden/>
    <w:rsid w:val="00807EFE"/>
    <w:rPr>
      <w:sz w:val="20"/>
      <w:szCs w:val="20"/>
    </w:rPr>
  </w:style>
  <w:style w:type="paragraph" w:styleId="CommentSubject">
    <w:name w:val="annotation subject"/>
    <w:basedOn w:val="CommentText"/>
    <w:next w:val="CommentText"/>
    <w:link w:val="CommentSubjectChar"/>
    <w:uiPriority w:val="99"/>
    <w:semiHidden/>
    <w:unhideWhenUsed/>
    <w:rsid w:val="00807EFE"/>
    <w:rPr>
      <w:b/>
      <w:bCs/>
    </w:rPr>
  </w:style>
  <w:style w:type="character" w:customStyle="1" w:styleId="CommentSubjectChar">
    <w:name w:val="Comment Subject Char"/>
    <w:basedOn w:val="CommentTextChar"/>
    <w:link w:val="CommentSubject"/>
    <w:uiPriority w:val="99"/>
    <w:semiHidden/>
    <w:rsid w:val="00807EFE"/>
    <w:rPr>
      <w:b/>
      <w:bCs/>
      <w:sz w:val="20"/>
      <w:szCs w:val="20"/>
    </w:rPr>
  </w:style>
  <w:style w:type="paragraph" w:styleId="Revision">
    <w:name w:val="Revision"/>
    <w:hidden/>
    <w:uiPriority w:val="99"/>
    <w:semiHidden/>
    <w:rsid w:val="00807EFE"/>
    <w:pPr>
      <w:spacing w:line="240" w:lineRule="auto"/>
    </w:pPr>
    <w:rPr>
      <w:szCs w:val="22"/>
    </w:rPr>
  </w:style>
  <w:style w:type="character" w:customStyle="1" w:styleId="entry-title">
    <w:name w:val="entry-title"/>
    <w:basedOn w:val="DefaultParagraphFont"/>
    <w:rsid w:val="00807EFE"/>
  </w:style>
  <w:style w:type="character" w:customStyle="1" w:styleId="apple-converted-space">
    <w:name w:val="apple-converted-space"/>
    <w:basedOn w:val="DefaultParagraphFont"/>
    <w:rsid w:val="0080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23</Pages>
  <Words>4637</Words>
  <Characters>26433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Fowler</cp:lastModifiedBy>
  <cp:revision>5</cp:revision>
  <cp:lastPrinted>2016-01-21T16:44:00Z</cp:lastPrinted>
  <dcterms:created xsi:type="dcterms:W3CDTF">2016-01-13T17:45:00Z</dcterms:created>
  <dcterms:modified xsi:type="dcterms:W3CDTF">2016-01-21T17:21:00Z</dcterms:modified>
</cp:coreProperties>
</file>