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B9D0C" w14:textId="77777777" w:rsidR="00482B13" w:rsidRPr="0052035A" w:rsidRDefault="00482B13" w:rsidP="00362716">
      <w:pPr>
        <w:jc w:val="both"/>
        <w:rPr>
          <w:rFonts w:ascii="LM Roman 12" w:hAnsi="LM Roman 12"/>
          <w:sz w:val="24"/>
          <w:szCs w:val="24"/>
        </w:rPr>
      </w:pPr>
    </w:p>
    <w:p w14:paraId="1BC49B6B" w14:textId="77777777" w:rsidR="0086391B" w:rsidRDefault="00482B13" w:rsidP="00362716">
      <w:pPr>
        <w:jc w:val="center"/>
        <w:rPr>
          <w:rFonts w:ascii="LM Roman 12" w:hAnsi="LM Roman 12"/>
          <w:sz w:val="44"/>
          <w:szCs w:val="44"/>
        </w:rPr>
      </w:pPr>
      <w:r w:rsidRPr="0086391B">
        <w:rPr>
          <w:rFonts w:ascii="LM Roman 12" w:hAnsi="LM Roman 12"/>
          <w:sz w:val="44"/>
          <w:szCs w:val="44"/>
        </w:rPr>
        <w:t xml:space="preserve">Oil Income and the Personalization of </w:t>
      </w:r>
    </w:p>
    <w:p w14:paraId="608B2B57" w14:textId="77777777" w:rsidR="00AA4362" w:rsidRPr="0086391B" w:rsidRDefault="00482B13" w:rsidP="00362716">
      <w:pPr>
        <w:jc w:val="center"/>
        <w:rPr>
          <w:rFonts w:ascii="LM Roman 12" w:hAnsi="LM Roman 12"/>
          <w:sz w:val="44"/>
          <w:szCs w:val="44"/>
        </w:rPr>
      </w:pPr>
      <w:r w:rsidRPr="0086391B">
        <w:rPr>
          <w:rFonts w:ascii="LM Roman 12" w:hAnsi="LM Roman 12"/>
          <w:sz w:val="44"/>
          <w:szCs w:val="44"/>
        </w:rPr>
        <w:t>Autocratic Politics</w:t>
      </w:r>
    </w:p>
    <w:p w14:paraId="560A8FC8" w14:textId="77777777" w:rsidR="00482B13" w:rsidRPr="0052035A" w:rsidRDefault="00482B13" w:rsidP="00362716">
      <w:pPr>
        <w:spacing w:after="0" w:line="240" w:lineRule="auto"/>
        <w:jc w:val="both"/>
        <w:rPr>
          <w:rFonts w:ascii="LM Roman 12" w:hAnsi="LM Roman 12"/>
          <w:sz w:val="24"/>
          <w:szCs w:val="24"/>
        </w:rPr>
      </w:pPr>
    </w:p>
    <w:p w14:paraId="6E3ACA10" w14:textId="77777777" w:rsidR="0032496D" w:rsidRPr="0052035A" w:rsidRDefault="0032496D" w:rsidP="00362716">
      <w:pPr>
        <w:spacing w:after="0" w:line="240" w:lineRule="auto"/>
        <w:jc w:val="both"/>
        <w:rPr>
          <w:rFonts w:ascii="LM Roman 12" w:hAnsi="LM Roman 12"/>
          <w:sz w:val="24"/>
          <w:szCs w:val="24"/>
        </w:rPr>
      </w:pPr>
    </w:p>
    <w:p w14:paraId="51CA5126" w14:textId="77777777" w:rsidR="00482B13" w:rsidRPr="0052035A" w:rsidRDefault="00482B13" w:rsidP="00362716">
      <w:pPr>
        <w:jc w:val="both"/>
        <w:rPr>
          <w:rFonts w:ascii="LM Roman 12" w:hAnsi="LM Roman 12"/>
          <w:sz w:val="24"/>
          <w:szCs w:val="24"/>
        </w:rPr>
      </w:pPr>
    </w:p>
    <w:p w14:paraId="6DB96A5F" w14:textId="72F7F8A8" w:rsidR="00E468B4" w:rsidRDefault="00AA4362" w:rsidP="00362716">
      <w:pPr>
        <w:spacing w:after="120" w:line="240" w:lineRule="auto"/>
        <w:jc w:val="both"/>
        <w:rPr>
          <w:rFonts w:ascii="LM Roman 12" w:hAnsi="LM Roman 12"/>
          <w:sz w:val="24"/>
          <w:szCs w:val="24"/>
        </w:rPr>
      </w:pPr>
      <w:r>
        <w:rPr>
          <w:rFonts w:ascii="LM Roman 12" w:hAnsi="LM Roman 12"/>
          <w:b/>
          <w:sz w:val="24"/>
          <w:szCs w:val="24"/>
        </w:rPr>
        <w:t xml:space="preserve">Abstract: </w:t>
      </w:r>
      <w:r w:rsidR="00865758" w:rsidRPr="0052035A">
        <w:rPr>
          <w:rFonts w:ascii="LM Roman 12" w:hAnsi="LM Roman 12"/>
          <w:sz w:val="24"/>
          <w:szCs w:val="24"/>
        </w:rPr>
        <w:t xml:space="preserve">Personalist </w:t>
      </w:r>
      <w:r w:rsidR="00E468B4">
        <w:rPr>
          <w:rFonts w:ascii="LM Roman 12" w:hAnsi="LM Roman 12"/>
          <w:sz w:val="24"/>
          <w:szCs w:val="24"/>
        </w:rPr>
        <w:t>regimes</w:t>
      </w:r>
      <w:r w:rsidR="00865758" w:rsidRPr="0052035A">
        <w:rPr>
          <w:rFonts w:ascii="LM Roman 12" w:hAnsi="LM Roman 12"/>
          <w:sz w:val="24"/>
          <w:szCs w:val="24"/>
        </w:rPr>
        <w:t xml:space="preserve"> are more reliant on </w:t>
      </w:r>
      <w:r w:rsidR="00482B13" w:rsidRPr="0052035A">
        <w:rPr>
          <w:rFonts w:ascii="LM Roman 12" w:hAnsi="LM Roman 12"/>
          <w:kern w:val="2"/>
          <w:sz w:val="24"/>
          <w:szCs w:val="24"/>
          <w14:ligatures w14:val="standard"/>
        </w:rPr>
        <w:t>natural</w:t>
      </w:r>
      <w:r w:rsidR="00482B13" w:rsidRPr="0052035A">
        <w:rPr>
          <w:rFonts w:ascii="LM Roman 12" w:hAnsi="LM Roman 12"/>
          <w:sz w:val="24"/>
          <w:szCs w:val="24"/>
        </w:rPr>
        <w:t xml:space="preserve"> resource rents</w:t>
      </w:r>
      <w:r w:rsidR="00AF57D3">
        <w:rPr>
          <w:rFonts w:ascii="LM Roman 12" w:hAnsi="LM Roman 12"/>
          <w:sz w:val="24"/>
          <w:szCs w:val="24"/>
        </w:rPr>
        <w:t xml:space="preserve"> </w:t>
      </w:r>
      <w:r w:rsidR="00482B13" w:rsidRPr="0052035A">
        <w:rPr>
          <w:rFonts w:ascii="LM Roman 12" w:hAnsi="LM Roman 12"/>
          <w:sz w:val="24"/>
          <w:szCs w:val="24"/>
        </w:rPr>
        <w:t xml:space="preserve">than </w:t>
      </w:r>
      <w:r w:rsidR="00E468B4">
        <w:rPr>
          <w:rFonts w:ascii="LM Roman 12" w:hAnsi="LM Roman 12"/>
          <w:sz w:val="24"/>
          <w:szCs w:val="24"/>
        </w:rPr>
        <w:t>other models of autocracy, but th</w:t>
      </w:r>
      <w:r w:rsidR="00482B13" w:rsidRPr="0052035A">
        <w:rPr>
          <w:rFonts w:ascii="LM Roman 12" w:hAnsi="LM Roman 12"/>
          <w:sz w:val="24"/>
          <w:szCs w:val="24"/>
        </w:rPr>
        <w:t xml:space="preserve">e </w:t>
      </w:r>
      <w:r w:rsidR="00E468B4">
        <w:rPr>
          <w:rFonts w:ascii="LM Roman 12" w:hAnsi="LM Roman 12"/>
          <w:sz w:val="24"/>
          <w:szCs w:val="24"/>
        </w:rPr>
        <w:t>direction of causation</w:t>
      </w:r>
      <w:r w:rsidR="00482B13" w:rsidRPr="0052035A">
        <w:rPr>
          <w:rFonts w:ascii="LM Roman 12" w:hAnsi="LM Roman 12"/>
          <w:sz w:val="24"/>
          <w:szCs w:val="24"/>
        </w:rPr>
        <w:t xml:space="preserve"> is unclear. </w:t>
      </w:r>
      <w:r w:rsidR="00053E15">
        <w:rPr>
          <w:rFonts w:ascii="LM Roman 12" w:hAnsi="LM Roman 12"/>
          <w:sz w:val="24"/>
          <w:szCs w:val="24"/>
        </w:rPr>
        <w:t>R</w:t>
      </w:r>
      <w:r w:rsidR="00482B13" w:rsidRPr="0052035A">
        <w:rPr>
          <w:rFonts w:ascii="LM Roman 12" w:hAnsi="LM Roman 12"/>
          <w:sz w:val="24"/>
          <w:szCs w:val="24"/>
        </w:rPr>
        <w:t xml:space="preserve">esource wealth </w:t>
      </w:r>
      <w:r w:rsidR="00053E15">
        <w:rPr>
          <w:rFonts w:ascii="LM Roman 12" w:hAnsi="LM Roman 12"/>
          <w:sz w:val="24"/>
          <w:szCs w:val="24"/>
        </w:rPr>
        <w:t>could</w:t>
      </w:r>
      <w:r w:rsidR="00571B41">
        <w:rPr>
          <w:rFonts w:ascii="LM Roman 12" w:hAnsi="LM Roman 12"/>
          <w:sz w:val="24"/>
          <w:szCs w:val="24"/>
        </w:rPr>
        <w:t xml:space="preserve"> finance patronage and allow leaders to skip construction of institutionalized systems of rule, lead</w:t>
      </w:r>
      <w:r w:rsidR="007113B8">
        <w:rPr>
          <w:rFonts w:ascii="LM Roman 12" w:hAnsi="LM Roman 12"/>
          <w:sz w:val="24"/>
          <w:szCs w:val="24"/>
        </w:rPr>
        <w:t>ing</w:t>
      </w:r>
      <w:r w:rsidR="00571B41">
        <w:rPr>
          <w:rFonts w:ascii="LM Roman 12" w:hAnsi="LM Roman 12"/>
          <w:sz w:val="24"/>
          <w:szCs w:val="24"/>
        </w:rPr>
        <w:t xml:space="preserve"> to </w:t>
      </w:r>
      <w:r w:rsidR="007F56F3">
        <w:rPr>
          <w:rFonts w:ascii="LM Roman 12" w:hAnsi="LM Roman 12"/>
          <w:sz w:val="24"/>
          <w:szCs w:val="24"/>
        </w:rPr>
        <w:t xml:space="preserve">more </w:t>
      </w:r>
      <w:r w:rsidR="00571B41">
        <w:rPr>
          <w:rFonts w:ascii="LM Roman 12" w:hAnsi="LM Roman 12"/>
          <w:sz w:val="24"/>
          <w:szCs w:val="24"/>
        </w:rPr>
        <w:t xml:space="preserve">personalized autocracies. </w:t>
      </w:r>
      <w:r w:rsidR="00482B13" w:rsidRPr="0052035A">
        <w:rPr>
          <w:rFonts w:ascii="LM Roman 12" w:hAnsi="LM Roman 12"/>
          <w:sz w:val="24"/>
          <w:szCs w:val="24"/>
        </w:rPr>
        <w:t xml:space="preserve">Conversely, personalist leaders may </w:t>
      </w:r>
      <w:r w:rsidR="00B76760">
        <w:rPr>
          <w:rFonts w:ascii="LM Roman 12" w:hAnsi="LM Roman 12"/>
          <w:sz w:val="24"/>
          <w:szCs w:val="24"/>
        </w:rPr>
        <w:t>increase resource extraction</w:t>
      </w:r>
      <w:r w:rsidR="00482B13" w:rsidRPr="0052035A">
        <w:rPr>
          <w:rFonts w:ascii="LM Roman 12" w:hAnsi="LM Roman 12"/>
          <w:sz w:val="24"/>
          <w:szCs w:val="24"/>
        </w:rPr>
        <w:t xml:space="preserve">, since </w:t>
      </w:r>
      <w:r w:rsidR="00891159">
        <w:rPr>
          <w:rFonts w:ascii="LM Roman 12" w:hAnsi="LM Roman 12"/>
          <w:sz w:val="24"/>
          <w:szCs w:val="24"/>
        </w:rPr>
        <w:t>diversifying</w:t>
      </w:r>
      <w:r w:rsidR="00571B41">
        <w:rPr>
          <w:rFonts w:ascii="LM Roman 12" w:hAnsi="LM Roman 12"/>
          <w:sz w:val="24"/>
          <w:szCs w:val="24"/>
        </w:rPr>
        <w:t xml:space="preserve"> </w:t>
      </w:r>
      <w:r w:rsidR="00482B13" w:rsidRPr="0052035A">
        <w:rPr>
          <w:rFonts w:ascii="LM Roman 12" w:hAnsi="LM Roman 12"/>
          <w:sz w:val="24"/>
          <w:szCs w:val="24"/>
        </w:rPr>
        <w:t xml:space="preserve">the economy </w:t>
      </w:r>
      <w:r w:rsidR="0032496D" w:rsidRPr="0052035A">
        <w:rPr>
          <w:rFonts w:ascii="LM Roman 12" w:hAnsi="LM Roman 12"/>
          <w:sz w:val="24"/>
          <w:szCs w:val="24"/>
        </w:rPr>
        <w:t>could increase the</w:t>
      </w:r>
      <w:r w:rsidR="00891159">
        <w:rPr>
          <w:rFonts w:ascii="LM Roman 12" w:hAnsi="LM Roman 12"/>
          <w:sz w:val="24"/>
          <w:szCs w:val="24"/>
        </w:rPr>
        <w:t xml:space="preserve"> power of rivals</w:t>
      </w:r>
      <w:r w:rsidR="00482B13" w:rsidRPr="0052035A">
        <w:rPr>
          <w:rFonts w:ascii="LM Roman 12" w:hAnsi="LM Roman 12"/>
          <w:sz w:val="24"/>
          <w:szCs w:val="24"/>
        </w:rPr>
        <w:t xml:space="preserve">. </w:t>
      </w:r>
      <w:r w:rsidR="0032496D" w:rsidRPr="0052035A">
        <w:rPr>
          <w:rFonts w:ascii="LM Roman 12" w:hAnsi="LM Roman 12"/>
          <w:sz w:val="24"/>
          <w:szCs w:val="24"/>
        </w:rPr>
        <w:t xml:space="preserve">I use data on the degree of personalism </w:t>
      </w:r>
      <w:r w:rsidR="00AF57D3">
        <w:rPr>
          <w:rFonts w:ascii="LM Roman 12" w:hAnsi="LM Roman 12"/>
          <w:sz w:val="24"/>
          <w:szCs w:val="24"/>
        </w:rPr>
        <w:t xml:space="preserve">and level of oil income </w:t>
      </w:r>
      <w:r w:rsidR="0032496D" w:rsidRPr="0052035A">
        <w:rPr>
          <w:rFonts w:ascii="LM Roman 12" w:hAnsi="LM Roman 12"/>
          <w:sz w:val="24"/>
          <w:szCs w:val="24"/>
        </w:rPr>
        <w:t xml:space="preserve">to disentangle these interpretations. The results </w:t>
      </w:r>
      <w:r w:rsidR="00FF786D">
        <w:rPr>
          <w:rFonts w:ascii="LM Roman 12" w:hAnsi="LM Roman 12"/>
          <w:sz w:val="24"/>
          <w:szCs w:val="24"/>
        </w:rPr>
        <w:t>show</w:t>
      </w:r>
      <w:r w:rsidR="0032496D" w:rsidRPr="0052035A">
        <w:rPr>
          <w:rFonts w:ascii="LM Roman 12" w:hAnsi="LM Roman 12"/>
          <w:sz w:val="24"/>
          <w:szCs w:val="24"/>
        </w:rPr>
        <w:t xml:space="preserve"> that increases in oil income are associated with subsequent increases in personalism</w:t>
      </w:r>
      <w:r w:rsidR="003B7C6C" w:rsidRPr="0052035A">
        <w:rPr>
          <w:rFonts w:ascii="LM Roman 12" w:hAnsi="LM Roman 12"/>
          <w:sz w:val="24"/>
          <w:szCs w:val="24"/>
        </w:rPr>
        <w:t xml:space="preserve"> within autocracies</w:t>
      </w:r>
      <w:r w:rsidR="00CE5D6E">
        <w:rPr>
          <w:rFonts w:ascii="LM Roman 12" w:hAnsi="LM Roman 12"/>
          <w:sz w:val="24"/>
          <w:szCs w:val="24"/>
        </w:rPr>
        <w:t xml:space="preserve">. </w:t>
      </w:r>
      <w:r w:rsidR="00E468B4">
        <w:rPr>
          <w:rFonts w:ascii="LM Roman 12" w:hAnsi="LM Roman 12"/>
          <w:sz w:val="24"/>
          <w:szCs w:val="24"/>
        </w:rPr>
        <w:t>Since personalist regimes are less likely to successfully democratize, the results also provide important evidence as to why oil impedes democracy.</w:t>
      </w:r>
    </w:p>
    <w:p w14:paraId="1D69B410" w14:textId="77777777" w:rsidR="00E468B4" w:rsidRDefault="00E468B4" w:rsidP="00362716">
      <w:pPr>
        <w:spacing w:after="120" w:line="240" w:lineRule="auto"/>
        <w:jc w:val="both"/>
        <w:rPr>
          <w:rFonts w:ascii="LM Roman 12" w:hAnsi="LM Roman 12"/>
          <w:sz w:val="24"/>
          <w:szCs w:val="24"/>
        </w:rPr>
      </w:pPr>
    </w:p>
    <w:p w14:paraId="379D72EE" w14:textId="77777777" w:rsidR="00AA4362" w:rsidRDefault="00AA4362" w:rsidP="00362716">
      <w:pPr>
        <w:spacing w:after="120" w:line="240" w:lineRule="auto"/>
        <w:jc w:val="both"/>
        <w:rPr>
          <w:rFonts w:ascii="LM Roman 12" w:hAnsi="LM Roman 12"/>
          <w:sz w:val="24"/>
          <w:szCs w:val="24"/>
        </w:rPr>
      </w:pPr>
    </w:p>
    <w:p w14:paraId="25D968FB" w14:textId="77777777" w:rsidR="00482B13" w:rsidRDefault="00482B13" w:rsidP="00362716">
      <w:pPr>
        <w:jc w:val="both"/>
        <w:rPr>
          <w:rFonts w:ascii="LM Roman 12" w:hAnsi="LM Roman 12"/>
          <w:sz w:val="24"/>
          <w:szCs w:val="24"/>
        </w:rPr>
      </w:pPr>
      <w:r w:rsidRPr="0052035A">
        <w:rPr>
          <w:rFonts w:ascii="LM Roman 12" w:hAnsi="LM Roman 12"/>
          <w:sz w:val="24"/>
          <w:szCs w:val="24"/>
        </w:rPr>
        <w:br w:type="page"/>
      </w:r>
      <w:bookmarkStart w:id="0" w:name="_GoBack"/>
      <w:bookmarkEnd w:id="0"/>
    </w:p>
    <w:p w14:paraId="209D3702" w14:textId="77777777" w:rsidR="00B007ED" w:rsidRDefault="00B007ED" w:rsidP="00362716">
      <w:pPr>
        <w:jc w:val="both"/>
        <w:rPr>
          <w:rFonts w:ascii="LM Roman 12" w:hAnsi="LM Roman 12"/>
          <w:sz w:val="36"/>
          <w:szCs w:val="36"/>
        </w:rPr>
      </w:pPr>
      <w:r>
        <w:rPr>
          <w:rFonts w:ascii="LM Roman 12" w:hAnsi="LM Roman 12"/>
          <w:b/>
          <w:sz w:val="36"/>
          <w:szCs w:val="36"/>
        </w:rPr>
        <w:lastRenderedPageBreak/>
        <w:t>Introduction</w:t>
      </w:r>
    </w:p>
    <w:p w14:paraId="3733AB71" w14:textId="58894D9C" w:rsidR="00ED2B7B" w:rsidRDefault="00D6126B" w:rsidP="00ED2B7B">
      <w:pPr>
        <w:spacing w:after="120" w:line="360" w:lineRule="auto"/>
        <w:ind w:firstLine="720"/>
        <w:contextualSpacing/>
        <w:jc w:val="both"/>
        <w:rPr>
          <w:rFonts w:ascii="LM Roman 12" w:hAnsi="LM Roman 12"/>
          <w:sz w:val="24"/>
          <w:szCs w:val="24"/>
        </w:rPr>
      </w:pPr>
      <w:r>
        <w:rPr>
          <w:rFonts w:ascii="LM Roman 12" w:hAnsi="LM Roman 12"/>
          <w:sz w:val="24"/>
          <w:szCs w:val="24"/>
        </w:rPr>
        <w:t>C</w:t>
      </w:r>
      <w:r w:rsidR="00E2264E">
        <w:rPr>
          <w:rFonts w:ascii="LM Roman 12" w:hAnsi="LM Roman 12"/>
          <w:sz w:val="24"/>
          <w:szCs w:val="24"/>
        </w:rPr>
        <w:t>omparative authoritarianism</w:t>
      </w:r>
      <w:r>
        <w:rPr>
          <w:rFonts w:ascii="LM Roman 12" w:hAnsi="LM Roman 12"/>
          <w:sz w:val="24"/>
          <w:szCs w:val="24"/>
        </w:rPr>
        <w:t xml:space="preserve"> scholars</w:t>
      </w:r>
      <w:r w:rsidR="00E2264E">
        <w:rPr>
          <w:rFonts w:ascii="LM Roman 12" w:hAnsi="LM Roman 12"/>
          <w:sz w:val="24"/>
          <w:szCs w:val="24"/>
        </w:rPr>
        <w:t xml:space="preserve"> often note that personalist regimes </w:t>
      </w:r>
      <w:r w:rsidR="00E90FFF">
        <w:rPr>
          <w:rFonts w:ascii="LM Roman 12" w:hAnsi="LM Roman 12"/>
          <w:sz w:val="24"/>
          <w:szCs w:val="24"/>
        </w:rPr>
        <w:t xml:space="preserve">– those where </w:t>
      </w:r>
      <w:r w:rsidR="00200846">
        <w:rPr>
          <w:rFonts w:ascii="LM Roman 12" w:hAnsi="LM Roman 12"/>
          <w:sz w:val="24"/>
          <w:szCs w:val="24"/>
        </w:rPr>
        <w:t>power is concentrated in a single leader –</w:t>
      </w:r>
      <w:r w:rsidR="00CE5D6E">
        <w:rPr>
          <w:rFonts w:ascii="LM Roman 12" w:hAnsi="LM Roman 12"/>
          <w:sz w:val="24"/>
          <w:szCs w:val="24"/>
        </w:rPr>
        <w:t xml:space="preserve"> </w:t>
      </w:r>
      <w:r w:rsidR="00662B5A">
        <w:rPr>
          <w:rFonts w:ascii="LM Roman 12" w:hAnsi="LM Roman 12"/>
          <w:sz w:val="24"/>
          <w:szCs w:val="24"/>
        </w:rPr>
        <w:t>are</w:t>
      </w:r>
      <w:r w:rsidR="00E2264E">
        <w:rPr>
          <w:rFonts w:ascii="LM Roman 12" w:hAnsi="LM Roman 12"/>
          <w:sz w:val="24"/>
          <w:szCs w:val="24"/>
        </w:rPr>
        <w:t xml:space="preserve"> more dependent on natural resource wealth </w:t>
      </w:r>
      <w:r w:rsidR="00CE5D6E">
        <w:rPr>
          <w:rFonts w:ascii="LM Roman 12" w:hAnsi="LM Roman 12"/>
          <w:sz w:val="24"/>
          <w:szCs w:val="24"/>
        </w:rPr>
        <w:t xml:space="preserve">and international aid </w:t>
      </w:r>
      <w:r w:rsidR="00E2264E">
        <w:rPr>
          <w:rFonts w:ascii="LM Roman 12" w:hAnsi="LM Roman 12"/>
          <w:sz w:val="24"/>
          <w:szCs w:val="24"/>
        </w:rPr>
        <w:t>than their party-bas</w:t>
      </w:r>
      <w:r w:rsidR="00662B5A">
        <w:rPr>
          <w:rFonts w:ascii="LM Roman 12" w:hAnsi="LM Roman 12"/>
          <w:sz w:val="24"/>
          <w:szCs w:val="24"/>
        </w:rPr>
        <w:t>ed or military counterparts (</w:t>
      </w:r>
      <w:r w:rsidR="00E2264E">
        <w:rPr>
          <w:rFonts w:ascii="LM Roman 12" w:hAnsi="LM Roman 12"/>
          <w:sz w:val="24"/>
          <w:szCs w:val="24"/>
        </w:rPr>
        <w:t>Wright 2008</w:t>
      </w:r>
      <w:r w:rsidR="007728A7">
        <w:rPr>
          <w:rFonts w:ascii="LM Roman 12" w:hAnsi="LM Roman 12"/>
          <w:sz w:val="24"/>
          <w:szCs w:val="24"/>
        </w:rPr>
        <w:t>; Acemoglu, Robinson, and Verdier 2004</w:t>
      </w:r>
      <w:r w:rsidR="00ED2B7B">
        <w:rPr>
          <w:rFonts w:ascii="LM Roman 12" w:hAnsi="LM Roman 12"/>
          <w:sz w:val="24"/>
          <w:szCs w:val="24"/>
        </w:rPr>
        <w:t>;</w:t>
      </w:r>
      <w:r w:rsidR="00FA3606">
        <w:rPr>
          <w:rFonts w:ascii="LM Roman 12" w:hAnsi="LM Roman 12"/>
          <w:sz w:val="24"/>
          <w:szCs w:val="24"/>
        </w:rPr>
        <w:t xml:space="preserve"> </w:t>
      </w:r>
      <w:r w:rsidR="00E2264E">
        <w:rPr>
          <w:rFonts w:ascii="LM Roman 12" w:hAnsi="LM Roman 12"/>
          <w:sz w:val="24"/>
          <w:szCs w:val="24"/>
        </w:rPr>
        <w:t xml:space="preserve">Callaghy </w:t>
      </w:r>
      <w:r w:rsidR="00BD2613">
        <w:rPr>
          <w:rFonts w:ascii="LM Roman 12" w:hAnsi="LM Roman 12"/>
          <w:sz w:val="24"/>
          <w:szCs w:val="24"/>
        </w:rPr>
        <w:t>1984</w:t>
      </w:r>
      <w:r w:rsidR="00E2264E">
        <w:rPr>
          <w:rFonts w:ascii="LM Roman 12" w:hAnsi="LM Roman 12"/>
          <w:sz w:val="24"/>
          <w:szCs w:val="24"/>
        </w:rPr>
        <w:t xml:space="preserve">). </w:t>
      </w:r>
      <w:r w:rsidR="00FA3606">
        <w:rPr>
          <w:rFonts w:ascii="LM Roman 12" w:hAnsi="LM Roman 12"/>
          <w:sz w:val="24"/>
          <w:szCs w:val="24"/>
        </w:rPr>
        <w:t>This</w:t>
      </w:r>
      <w:r w:rsidR="00FF786D">
        <w:rPr>
          <w:rFonts w:ascii="LM Roman 12" w:hAnsi="LM Roman 12"/>
          <w:sz w:val="24"/>
          <w:szCs w:val="24"/>
        </w:rPr>
        <w:t xml:space="preserve"> connection </w:t>
      </w:r>
      <w:r w:rsidR="00FA3606">
        <w:rPr>
          <w:rFonts w:ascii="LM Roman 12" w:hAnsi="LM Roman 12"/>
          <w:sz w:val="24"/>
          <w:szCs w:val="24"/>
        </w:rPr>
        <w:t xml:space="preserve">also </w:t>
      </w:r>
      <w:r w:rsidR="00FF786D">
        <w:rPr>
          <w:rFonts w:ascii="LM Roman 12" w:hAnsi="LM Roman 12"/>
          <w:sz w:val="24"/>
          <w:szCs w:val="24"/>
        </w:rPr>
        <w:t xml:space="preserve">underpins </w:t>
      </w:r>
      <w:r w:rsidR="00CE5D6E">
        <w:rPr>
          <w:rFonts w:ascii="LM Roman 12" w:hAnsi="LM Roman 12"/>
          <w:sz w:val="24"/>
          <w:szCs w:val="24"/>
        </w:rPr>
        <w:t xml:space="preserve">the prominent argument that </w:t>
      </w:r>
      <w:r w:rsidR="009218CF">
        <w:rPr>
          <w:rFonts w:ascii="LM Roman 12" w:hAnsi="LM Roman 12"/>
          <w:sz w:val="24"/>
          <w:szCs w:val="24"/>
        </w:rPr>
        <w:t>personalist regime</w:t>
      </w:r>
      <w:r w:rsidR="007D3E02">
        <w:rPr>
          <w:rFonts w:ascii="LM Roman 12" w:hAnsi="LM Roman 12"/>
          <w:sz w:val="24"/>
          <w:szCs w:val="24"/>
        </w:rPr>
        <w:t>s</w:t>
      </w:r>
      <w:r w:rsidR="009218CF">
        <w:rPr>
          <w:rFonts w:ascii="LM Roman 12" w:hAnsi="LM Roman 12"/>
          <w:sz w:val="24"/>
          <w:szCs w:val="24"/>
        </w:rPr>
        <w:t xml:space="preserve"> are uniquely susceptible to collapse </w:t>
      </w:r>
      <w:r w:rsidR="00571B41">
        <w:rPr>
          <w:rFonts w:ascii="LM Roman 12" w:hAnsi="LM Roman 12"/>
          <w:sz w:val="24"/>
          <w:szCs w:val="24"/>
        </w:rPr>
        <w:t>when</w:t>
      </w:r>
      <w:r w:rsidR="009218CF">
        <w:rPr>
          <w:rFonts w:ascii="LM Roman 12" w:hAnsi="LM Roman 12"/>
          <w:sz w:val="24"/>
          <w:szCs w:val="24"/>
        </w:rPr>
        <w:t xml:space="preserve"> economic </w:t>
      </w:r>
      <w:r w:rsidR="008E2B58">
        <w:rPr>
          <w:rFonts w:ascii="LM Roman 12" w:hAnsi="LM Roman 12"/>
          <w:sz w:val="24"/>
          <w:szCs w:val="24"/>
        </w:rPr>
        <w:t>challenges</w:t>
      </w:r>
      <w:r w:rsidR="007728A7">
        <w:rPr>
          <w:rFonts w:ascii="LM Roman 12" w:hAnsi="LM Roman 12"/>
          <w:sz w:val="24"/>
          <w:szCs w:val="24"/>
        </w:rPr>
        <w:t xml:space="preserve"> deplete their </w:t>
      </w:r>
      <w:r w:rsidR="007D3E02">
        <w:rPr>
          <w:rFonts w:ascii="LM Roman 12" w:hAnsi="LM Roman 12"/>
          <w:sz w:val="24"/>
          <w:szCs w:val="24"/>
        </w:rPr>
        <w:t>ability to finance</w:t>
      </w:r>
      <w:r w:rsidR="007728A7">
        <w:rPr>
          <w:rFonts w:ascii="LM Roman 12" w:hAnsi="LM Roman 12"/>
          <w:sz w:val="24"/>
          <w:szCs w:val="24"/>
        </w:rPr>
        <w:t xml:space="preserve"> </w:t>
      </w:r>
      <w:r w:rsidR="00571B41">
        <w:rPr>
          <w:rFonts w:ascii="LM Roman 12" w:hAnsi="LM Roman 12"/>
          <w:sz w:val="24"/>
          <w:szCs w:val="24"/>
        </w:rPr>
        <w:t xml:space="preserve">patronage </w:t>
      </w:r>
      <w:r w:rsidR="00662B5A">
        <w:rPr>
          <w:rFonts w:ascii="LM Roman 12" w:hAnsi="LM Roman 12"/>
          <w:sz w:val="24"/>
          <w:szCs w:val="24"/>
        </w:rPr>
        <w:t>(</w:t>
      </w:r>
      <w:r w:rsidR="00660540">
        <w:rPr>
          <w:rFonts w:ascii="LM Roman 12" w:hAnsi="LM Roman 12"/>
          <w:sz w:val="24"/>
          <w:szCs w:val="24"/>
        </w:rPr>
        <w:t>Bratton and van de Walle 1994</w:t>
      </w:r>
      <w:r w:rsidR="00E84A5B">
        <w:rPr>
          <w:rFonts w:ascii="LM Roman 12" w:hAnsi="LM Roman 12"/>
          <w:sz w:val="24"/>
          <w:szCs w:val="24"/>
        </w:rPr>
        <w:t>; Geddes 1999; Escribà-Folch and Wright 2010).</w:t>
      </w:r>
      <w:r w:rsidR="009D2A06">
        <w:rPr>
          <w:rFonts w:ascii="LM Roman 12" w:hAnsi="LM Roman 12"/>
          <w:sz w:val="24"/>
          <w:szCs w:val="24"/>
        </w:rPr>
        <w:t xml:space="preserve"> </w:t>
      </w:r>
    </w:p>
    <w:p w14:paraId="6C433D8E" w14:textId="5696ACD0" w:rsidR="002A77C5" w:rsidRDefault="00ED2B7B" w:rsidP="00ED2B7B">
      <w:pPr>
        <w:spacing w:after="120" w:line="360" w:lineRule="auto"/>
        <w:ind w:firstLine="720"/>
        <w:contextualSpacing/>
        <w:jc w:val="both"/>
        <w:rPr>
          <w:rFonts w:ascii="LM Roman 12" w:hAnsi="LM Roman 12"/>
          <w:sz w:val="24"/>
          <w:szCs w:val="24"/>
        </w:rPr>
      </w:pPr>
      <w:r>
        <w:rPr>
          <w:rFonts w:ascii="LM Roman 12" w:hAnsi="LM Roman 12"/>
          <w:sz w:val="24"/>
          <w:szCs w:val="24"/>
        </w:rPr>
        <w:t xml:space="preserve">Systematic </w:t>
      </w:r>
      <w:r w:rsidR="00362716">
        <w:rPr>
          <w:rFonts w:ascii="LM Roman 12" w:hAnsi="LM Roman 12"/>
          <w:sz w:val="24"/>
          <w:szCs w:val="24"/>
        </w:rPr>
        <w:t xml:space="preserve">cross-national evidence </w:t>
      </w:r>
      <w:r w:rsidR="00FA3606">
        <w:rPr>
          <w:rFonts w:ascii="LM Roman 12" w:hAnsi="LM Roman 12"/>
          <w:sz w:val="24"/>
          <w:szCs w:val="24"/>
        </w:rPr>
        <w:t>of this connection</w:t>
      </w:r>
      <w:r>
        <w:rPr>
          <w:rFonts w:ascii="LM Roman 12" w:hAnsi="LM Roman 12"/>
          <w:sz w:val="24"/>
          <w:szCs w:val="24"/>
        </w:rPr>
        <w:t>, however,</w:t>
      </w:r>
      <w:r w:rsidR="00FA3606">
        <w:rPr>
          <w:rFonts w:ascii="LM Roman 12" w:hAnsi="LM Roman 12"/>
          <w:sz w:val="24"/>
          <w:szCs w:val="24"/>
        </w:rPr>
        <w:t xml:space="preserve"> </w:t>
      </w:r>
      <w:r w:rsidR="00362716">
        <w:rPr>
          <w:rFonts w:ascii="LM Roman 12" w:hAnsi="LM Roman 12"/>
          <w:sz w:val="24"/>
          <w:szCs w:val="24"/>
        </w:rPr>
        <w:t>is relatively limited</w:t>
      </w:r>
      <w:r w:rsidR="00662B5A">
        <w:rPr>
          <w:rFonts w:ascii="LM Roman 12" w:hAnsi="LM Roman 12"/>
          <w:sz w:val="24"/>
          <w:szCs w:val="24"/>
        </w:rPr>
        <w:t>.</w:t>
      </w:r>
      <w:r w:rsidR="00362716">
        <w:rPr>
          <w:rFonts w:ascii="LM Roman 12" w:hAnsi="LM Roman 12"/>
          <w:sz w:val="24"/>
          <w:szCs w:val="24"/>
        </w:rPr>
        <w:t xml:space="preserve"> Wright (2008, 325) offers the clearest </w:t>
      </w:r>
      <w:r w:rsidR="00FC5665">
        <w:rPr>
          <w:rFonts w:ascii="LM Roman 12" w:hAnsi="LM Roman 12"/>
          <w:sz w:val="24"/>
          <w:szCs w:val="24"/>
        </w:rPr>
        <w:t>demonstration</w:t>
      </w:r>
      <w:r w:rsidR="00362716">
        <w:rPr>
          <w:rFonts w:ascii="LM Roman 12" w:hAnsi="LM Roman 12"/>
          <w:sz w:val="24"/>
          <w:szCs w:val="24"/>
        </w:rPr>
        <w:t xml:space="preserve"> that personalist autocracies are more dependent on “unearned” income than</w:t>
      </w:r>
      <w:r w:rsidR="00FF786D">
        <w:rPr>
          <w:rFonts w:ascii="LM Roman 12" w:hAnsi="LM Roman 12"/>
          <w:sz w:val="24"/>
          <w:szCs w:val="24"/>
        </w:rPr>
        <w:t xml:space="preserve"> other </w:t>
      </w:r>
      <w:r w:rsidR="007902CB">
        <w:rPr>
          <w:rFonts w:ascii="LM Roman 12" w:hAnsi="LM Roman 12"/>
          <w:sz w:val="24"/>
          <w:szCs w:val="24"/>
        </w:rPr>
        <w:t>autocracies, though t</w:t>
      </w:r>
      <w:r w:rsidR="00362716">
        <w:rPr>
          <w:rFonts w:ascii="LM Roman 12" w:hAnsi="LM Roman 12"/>
          <w:sz w:val="24"/>
          <w:szCs w:val="24"/>
        </w:rPr>
        <w:t xml:space="preserve">his point is a precursor to his larger argument that legislatures in such regimes have less </w:t>
      </w:r>
      <w:r w:rsidR="00951FAB">
        <w:rPr>
          <w:rFonts w:ascii="LM Roman 12" w:hAnsi="LM Roman 12"/>
          <w:sz w:val="24"/>
          <w:szCs w:val="24"/>
        </w:rPr>
        <w:t>impact</w:t>
      </w:r>
      <w:r w:rsidR="00362716">
        <w:rPr>
          <w:rFonts w:ascii="LM Roman 12" w:hAnsi="LM Roman 12"/>
          <w:sz w:val="24"/>
          <w:szCs w:val="24"/>
        </w:rPr>
        <w:t xml:space="preserve"> on investment and economic growth. </w:t>
      </w:r>
      <w:r w:rsidR="008E2B58">
        <w:rPr>
          <w:rFonts w:ascii="LM Roman 12" w:hAnsi="LM Roman 12"/>
          <w:sz w:val="24"/>
          <w:szCs w:val="24"/>
        </w:rPr>
        <w:t>Beyond this</w:t>
      </w:r>
      <w:r w:rsidR="005954F6">
        <w:rPr>
          <w:rFonts w:ascii="LM Roman 12" w:hAnsi="LM Roman 12"/>
          <w:sz w:val="24"/>
          <w:szCs w:val="24"/>
        </w:rPr>
        <w:t xml:space="preserve">, the connection between </w:t>
      </w:r>
      <w:r w:rsidR="00F14F69">
        <w:rPr>
          <w:rFonts w:ascii="LM Roman 12" w:hAnsi="LM Roman 12"/>
          <w:sz w:val="24"/>
          <w:szCs w:val="24"/>
        </w:rPr>
        <w:t>personal rule</w:t>
      </w:r>
      <w:r w:rsidR="005954F6">
        <w:rPr>
          <w:rFonts w:ascii="LM Roman 12" w:hAnsi="LM Roman 12"/>
          <w:sz w:val="24"/>
          <w:szCs w:val="24"/>
        </w:rPr>
        <w:t xml:space="preserve"> and external rents </w:t>
      </w:r>
      <w:r w:rsidR="00D8200A">
        <w:rPr>
          <w:rFonts w:ascii="LM Roman 12" w:hAnsi="LM Roman 12"/>
          <w:sz w:val="24"/>
          <w:szCs w:val="24"/>
        </w:rPr>
        <w:t>is largely</w:t>
      </w:r>
      <w:r w:rsidR="005954F6">
        <w:rPr>
          <w:rFonts w:ascii="LM Roman 12" w:hAnsi="LM Roman 12"/>
          <w:sz w:val="24"/>
          <w:szCs w:val="24"/>
        </w:rPr>
        <w:t xml:space="preserve"> a matter of faith (Guliyev 2014). </w:t>
      </w:r>
    </w:p>
    <w:p w14:paraId="51A31249" w14:textId="5F2EC937" w:rsidR="006A2B9D" w:rsidRDefault="00ED2B7B" w:rsidP="00D243CE">
      <w:pPr>
        <w:spacing w:after="120" w:line="360" w:lineRule="auto"/>
        <w:ind w:firstLine="720"/>
        <w:contextualSpacing/>
        <w:jc w:val="both"/>
        <w:rPr>
          <w:rFonts w:ascii="LM Roman 12" w:hAnsi="LM Roman 12"/>
          <w:sz w:val="24"/>
          <w:szCs w:val="24"/>
        </w:rPr>
      </w:pPr>
      <w:r>
        <w:rPr>
          <w:rFonts w:ascii="LM Roman 12" w:hAnsi="LM Roman 12"/>
          <w:sz w:val="24"/>
          <w:szCs w:val="24"/>
        </w:rPr>
        <w:t>Even more troubling</w:t>
      </w:r>
      <w:r w:rsidR="007113B8">
        <w:rPr>
          <w:rFonts w:ascii="LM Roman 12" w:hAnsi="LM Roman 12"/>
          <w:sz w:val="24"/>
          <w:szCs w:val="24"/>
        </w:rPr>
        <w:t>,</w:t>
      </w:r>
      <w:r w:rsidR="007708F1">
        <w:rPr>
          <w:rFonts w:ascii="LM Roman 12" w:hAnsi="LM Roman 12"/>
          <w:sz w:val="24"/>
          <w:szCs w:val="24"/>
        </w:rPr>
        <w:t xml:space="preserve"> </w:t>
      </w:r>
      <w:r w:rsidR="00FC5665">
        <w:rPr>
          <w:rFonts w:ascii="LM Roman 12" w:hAnsi="LM Roman 12"/>
          <w:sz w:val="24"/>
          <w:szCs w:val="24"/>
        </w:rPr>
        <w:t xml:space="preserve">competing theories offer </w:t>
      </w:r>
      <w:r>
        <w:rPr>
          <w:rFonts w:ascii="LM Roman 12" w:hAnsi="LM Roman 12"/>
          <w:sz w:val="24"/>
          <w:szCs w:val="24"/>
        </w:rPr>
        <w:t>very different</w:t>
      </w:r>
      <w:r w:rsidR="00FC5665">
        <w:rPr>
          <w:rFonts w:ascii="LM Roman 12" w:hAnsi="LM Roman 12"/>
          <w:sz w:val="24"/>
          <w:szCs w:val="24"/>
        </w:rPr>
        <w:t xml:space="preserve"> </w:t>
      </w:r>
      <w:r w:rsidR="007708F1">
        <w:rPr>
          <w:rFonts w:ascii="LM Roman 12" w:hAnsi="LM Roman 12"/>
          <w:sz w:val="24"/>
          <w:szCs w:val="24"/>
        </w:rPr>
        <w:t xml:space="preserve">explanations as to why this connection exists. The studies cited above tend to argue that autocratic leaders </w:t>
      </w:r>
      <w:r w:rsidR="007902CB">
        <w:rPr>
          <w:rFonts w:ascii="LM Roman 12" w:hAnsi="LM Roman 12"/>
          <w:sz w:val="24"/>
          <w:szCs w:val="24"/>
        </w:rPr>
        <w:t xml:space="preserve">use these </w:t>
      </w:r>
      <w:r w:rsidR="00662B5A">
        <w:rPr>
          <w:rFonts w:ascii="LM Roman 12" w:hAnsi="LM Roman 12"/>
          <w:sz w:val="24"/>
          <w:szCs w:val="24"/>
        </w:rPr>
        <w:t>rents</w:t>
      </w:r>
      <w:r w:rsidR="00773505">
        <w:rPr>
          <w:rFonts w:ascii="LM Roman 12" w:hAnsi="LM Roman 12"/>
          <w:sz w:val="24"/>
          <w:szCs w:val="24"/>
        </w:rPr>
        <w:t xml:space="preserve"> </w:t>
      </w:r>
      <w:r w:rsidR="00614F16">
        <w:rPr>
          <w:rFonts w:ascii="LM Roman 12" w:hAnsi="LM Roman 12"/>
          <w:sz w:val="24"/>
          <w:szCs w:val="24"/>
        </w:rPr>
        <w:t xml:space="preserve">to placate regime insiders through patronage, as opposed to the more </w:t>
      </w:r>
      <w:r>
        <w:rPr>
          <w:rFonts w:ascii="LM Roman 12" w:hAnsi="LM Roman 12"/>
          <w:sz w:val="24"/>
          <w:szCs w:val="24"/>
        </w:rPr>
        <w:t>challenging</w:t>
      </w:r>
      <w:r w:rsidR="00614F16">
        <w:rPr>
          <w:rFonts w:ascii="LM Roman 12" w:hAnsi="LM Roman 12"/>
          <w:sz w:val="24"/>
          <w:szCs w:val="24"/>
        </w:rPr>
        <w:t xml:space="preserve"> </w:t>
      </w:r>
      <w:r w:rsidR="00571B41">
        <w:rPr>
          <w:rFonts w:ascii="LM Roman 12" w:hAnsi="LM Roman 12"/>
          <w:sz w:val="24"/>
          <w:szCs w:val="24"/>
        </w:rPr>
        <w:t>task of</w:t>
      </w:r>
      <w:r w:rsidR="00614F16">
        <w:rPr>
          <w:rFonts w:ascii="LM Roman 12" w:hAnsi="LM Roman 12"/>
          <w:sz w:val="24"/>
          <w:szCs w:val="24"/>
        </w:rPr>
        <w:t xml:space="preserve"> creating</w:t>
      </w:r>
      <w:r w:rsidR="00E70678">
        <w:rPr>
          <w:rFonts w:ascii="LM Roman 12" w:hAnsi="LM Roman 12"/>
          <w:sz w:val="24"/>
          <w:szCs w:val="24"/>
        </w:rPr>
        <w:t xml:space="preserve"> </w:t>
      </w:r>
      <w:r w:rsidR="007902CB">
        <w:rPr>
          <w:rFonts w:ascii="LM Roman 12" w:hAnsi="LM Roman 12"/>
          <w:sz w:val="24"/>
          <w:szCs w:val="24"/>
        </w:rPr>
        <w:t xml:space="preserve">political </w:t>
      </w:r>
      <w:r w:rsidR="00E70678">
        <w:rPr>
          <w:rFonts w:ascii="LM Roman 12" w:hAnsi="LM Roman 12"/>
          <w:sz w:val="24"/>
          <w:szCs w:val="24"/>
        </w:rPr>
        <w:t xml:space="preserve">parties and legislatures. </w:t>
      </w:r>
      <w:r w:rsidR="00662B5A">
        <w:rPr>
          <w:rFonts w:ascii="LM Roman 12" w:hAnsi="LM Roman 12"/>
          <w:sz w:val="24"/>
          <w:szCs w:val="24"/>
        </w:rPr>
        <w:t>In an</w:t>
      </w:r>
      <w:r w:rsidR="00571B41">
        <w:rPr>
          <w:rFonts w:ascii="LM Roman 12" w:hAnsi="LM Roman 12"/>
          <w:sz w:val="24"/>
          <w:szCs w:val="24"/>
        </w:rPr>
        <w:t xml:space="preserve"> </w:t>
      </w:r>
      <w:r w:rsidR="00662B5A">
        <w:rPr>
          <w:rFonts w:ascii="LM Roman 12" w:hAnsi="LM Roman 12"/>
          <w:sz w:val="24"/>
          <w:szCs w:val="24"/>
        </w:rPr>
        <w:t>early example</w:t>
      </w:r>
      <w:r w:rsidR="00571B41">
        <w:rPr>
          <w:rFonts w:ascii="LM Roman 12" w:hAnsi="LM Roman 12"/>
          <w:sz w:val="24"/>
          <w:szCs w:val="24"/>
        </w:rPr>
        <w:t xml:space="preserve">, </w:t>
      </w:r>
      <w:r w:rsidR="007708F1">
        <w:rPr>
          <w:rFonts w:ascii="LM Roman 12" w:hAnsi="LM Roman 12"/>
          <w:sz w:val="24"/>
          <w:szCs w:val="24"/>
        </w:rPr>
        <w:t>Chebabi and Linz (1998)</w:t>
      </w:r>
      <w:r w:rsidR="00662B5A">
        <w:rPr>
          <w:rFonts w:ascii="LM Roman 12" w:hAnsi="LM Roman 12"/>
          <w:sz w:val="24"/>
          <w:szCs w:val="24"/>
        </w:rPr>
        <w:t xml:space="preserve"> argue</w:t>
      </w:r>
      <w:r w:rsidR="007708F1">
        <w:rPr>
          <w:rFonts w:ascii="LM Roman 12" w:hAnsi="LM Roman 12"/>
          <w:sz w:val="24"/>
          <w:szCs w:val="24"/>
        </w:rPr>
        <w:t xml:space="preserve"> that “easily exploitable natural resources whose production is in the hands of one or only a few enterprises with high profits</w:t>
      </w:r>
      <w:r>
        <w:rPr>
          <w:rFonts w:ascii="LM Roman 12" w:hAnsi="LM Roman 12"/>
          <w:sz w:val="24"/>
          <w:szCs w:val="24"/>
        </w:rPr>
        <w:t>”</w:t>
      </w:r>
      <w:r w:rsidR="007708F1">
        <w:rPr>
          <w:rFonts w:ascii="LM Roman 12" w:hAnsi="LM Roman 12"/>
          <w:sz w:val="24"/>
          <w:szCs w:val="24"/>
        </w:rPr>
        <w:t xml:space="preserve"> can provide the resources</w:t>
      </w:r>
      <w:r w:rsidR="00571B41">
        <w:rPr>
          <w:rFonts w:ascii="LM Roman 12" w:hAnsi="LM Roman 12"/>
          <w:sz w:val="24"/>
          <w:szCs w:val="24"/>
        </w:rPr>
        <w:t xml:space="preserve"> for personalist – or what they caused “sultanistic” – regimes </w:t>
      </w:r>
      <w:r w:rsidR="007708F1">
        <w:rPr>
          <w:rFonts w:ascii="LM Roman 12" w:hAnsi="LM Roman 12"/>
          <w:sz w:val="24"/>
          <w:szCs w:val="24"/>
        </w:rPr>
        <w:t xml:space="preserve">(27). </w:t>
      </w:r>
      <w:r w:rsidR="00A34451">
        <w:rPr>
          <w:rFonts w:ascii="LM Roman 12" w:hAnsi="LM Roman 12"/>
          <w:sz w:val="24"/>
          <w:szCs w:val="24"/>
        </w:rPr>
        <w:t>More recently, Wright, Geddes, and Frantz (2015) suggest that oil wealth facilitates co-optation by the regime, including “distributing more rents to discontented regime insiders, leaders of the opposition, and/or security forces” (289).</w:t>
      </w:r>
      <w:r w:rsidR="00614F16">
        <w:rPr>
          <w:rFonts w:ascii="LM Roman 12" w:hAnsi="LM Roman 12"/>
          <w:sz w:val="24"/>
          <w:szCs w:val="24"/>
        </w:rPr>
        <w:t xml:space="preserve"> </w:t>
      </w:r>
      <w:r w:rsidR="00773505">
        <w:rPr>
          <w:rFonts w:ascii="LM Roman 12" w:hAnsi="LM Roman 12"/>
          <w:sz w:val="24"/>
          <w:szCs w:val="24"/>
        </w:rPr>
        <w:t xml:space="preserve">These perspectives imply </w:t>
      </w:r>
      <w:r w:rsidR="007F56F3">
        <w:rPr>
          <w:rFonts w:ascii="LM Roman 12" w:hAnsi="LM Roman 12"/>
          <w:sz w:val="24"/>
          <w:szCs w:val="24"/>
        </w:rPr>
        <w:t>that such rents are an underlying cause</w:t>
      </w:r>
      <w:r w:rsidR="00F14F69">
        <w:rPr>
          <w:rFonts w:ascii="LM Roman 12" w:hAnsi="LM Roman 12"/>
          <w:sz w:val="24"/>
          <w:szCs w:val="24"/>
        </w:rPr>
        <w:t xml:space="preserve"> of personalis</w:t>
      </w:r>
      <w:r w:rsidR="006A2B9D">
        <w:rPr>
          <w:rFonts w:ascii="LM Roman 12" w:hAnsi="LM Roman 12"/>
          <w:sz w:val="24"/>
          <w:szCs w:val="24"/>
        </w:rPr>
        <w:t xml:space="preserve">t </w:t>
      </w:r>
      <w:r w:rsidR="006A2B9D">
        <w:rPr>
          <w:rFonts w:ascii="LM Roman 12" w:hAnsi="LM Roman 12"/>
          <w:sz w:val="24"/>
          <w:szCs w:val="24"/>
        </w:rPr>
        <w:lastRenderedPageBreak/>
        <w:t>authoritarian rule</w:t>
      </w:r>
      <w:r w:rsidR="00E84A5B">
        <w:rPr>
          <w:rFonts w:ascii="LM Roman 12" w:hAnsi="LM Roman 12"/>
          <w:sz w:val="24"/>
          <w:szCs w:val="24"/>
        </w:rPr>
        <w:t xml:space="preserve">, and that </w:t>
      </w:r>
      <w:r w:rsidR="006A2B9D">
        <w:rPr>
          <w:rFonts w:ascii="LM Roman 12" w:hAnsi="LM Roman 12"/>
          <w:sz w:val="24"/>
          <w:szCs w:val="24"/>
        </w:rPr>
        <w:t xml:space="preserve">as these rents increase in size, </w:t>
      </w:r>
      <w:r w:rsidR="00571B41">
        <w:rPr>
          <w:rFonts w:ascii="LM Roman 12" w:hAnsi="LM Roman 12"/>
          <w:sz w:val="24"/>
          <w:szCs w:val="24"/>
        </w:rPr>
        <w:t xml:space="preserve">so </w:t>
      </w:r>
      <w:r w:rsidR="006A2B9D">
        <w:rPr>
          <w:rFonts w:ascii="LM Roman 12" w:hAnsi="LM Roman 12"/>
          <w:sz w:val="24"/>
          <w:szCs w:val="24"/>
        </w:rPr>
        <w:t>does the level of personalism in a</w:t>
      </w:r>
      <w:r w:rsidR="00CA7D28">
        <w:rPr>
          <w:rFonts w:ascii="LM Roman 12" w:hAnsi="LM Roman 12"/>
          <w:sz w:val="24"/>
          <w:szCs w:val="24"/>
        </w:rPr>
        <w:t>n autocracy</w:t>
      </w:r>
      <w:r w:rsidR="006A2B9D">
        <w:rPr>
          <w:rFonts w:ascii="LM Roman 12" w:hAnsi="LM Roman 12"/>
          <w:sz w:val="24"/>
          <w:szCs w:val="24"/>
        </w:rPr>
        <w:t>.</w:t>
      </w:r>
    </w:p>
    <w:p w14:paraId="228DBE93" w14:textId="48FCAA33" w:rsidR="00DB2D46" w:rsidRDefault="00E70678" w:rsidP="00D243CE">
      <w:pPr>
        <w:spacing w:after="120" w:line="360" w:lineRule="auto"/>
        <w:ind w:firstLine="720"/>
        <w:contextualSpacing/>
        <w:jc w:val="both"/>
        <w:rPr>
          <w:rFonts w:ascii="LM Roman 12" w:hAnsi="LM Roman 12"/>
          <w:sz w:val="24"/>
          <w:szCs w:val="24"/>
        </w:rPr>
      </w:pPr>
      <w:r>
        <w:rPr>
          <w:rFonts w:ascii="LM Roman 12" w:hAnsi="LM Roman 12"/>
          <w:sz w:val="24"/>
          <w:szCs w:val="24"/>
        </w:rPr>
        <w:t xml:space="preserve">By </w:t>
      </w:r>
      <w:r w:rsidR="009F2FA9">
        <w:rPr>
          <w:rFonts w:ascii="LM Roman 12" w:hAnsi="LM Roman 12"/>
          <w:sz w:val="24"/>
          <w:szCs w:val="24"/>
        </w:rPr>
        <w:t xml:space="preserve">sharp </w:t>
      </w:r>
      <w:r>
        <w:rPr>
          <w:rFonts w:ascii="LM Roman 12" w:hAnsi="LM Roman 12"/>
          <w:sz w:val="24"/>
          <w:szCs w:val="24"/>
        </w:rPr>
        <w:t>cont</w:t>
      </w:r>
      <w:r w:rsidR="0082740C">
        <w:rPr>
          <w:rFonts w:ascii="LM Roman 12" w:hAnsi="LM Roman 12"/>
          <w:sz w:val="24"/>
          <w:szCs w:val="24"/>
        </w:rPr>
        <w:t>rast, other scholars ar</w:t>
      </w:r>
      <w:r w:rsidR="007113B8">
        <w:rPr>
          <w:rFonts w:ascii="LM Roman 12" w:hAnsi="LM Roman 12"/>
          <w:sz w:val="24"/>
          <w:szCs w:val="24"/>
        </w:rPr>
        <w:t>gue that personalist rulers are</w:t>
      </w:r>
      <w:r w:rsidR="0082740C">
        <w:rPr>
          <w:rFonts w:ascii="LM Roman 12" w:hAnsi="LM Roman 12"/>
          <w:sz w:val="24"/>
          <w:szCs w:val="24"/>
        </w:rPr>
        <w:t xml:space="preserve"> more likely to </w:t>
      </w:r>
      <w:r w:rsidR="007113B8">
        <w:rPr>
          <w:rFonts w:ascii="LM Roman 12" w:hAnsi="LM Roman 12"/>
          <w:sz w:val="24"/>
          <w:szCs w:val="24"/>
        </w:rPr>
        <w:t xml:space="preserve">extract and </w:t>
      </w:r>
      <w:r w:rsidR="003D59BD">
        <w:rPr>
          <w:rFonts w:ascii="LM Roman 12" w:hAnsi="LM Roman 12"/>
          <w:sz w:val="24"/>
          <w:szCs w:val="24"/>
        </w:rPr>
        <w:t xml:space="preserve">ultimately depend </w:t>
      </w:r>
      <w:r w:rsidR="007113B8">
        <w:rPr>
          <w:rFonts w:ascii="LM Roman 12" w:hAnsi="LM Roman 12"/>
          <w:sz w:val="24"/>
          <w:szCs w:val="24"/>
        </w:rPr>
        <w:t>on</w:t>
      </w:r>
      <w:r w:rsidR="0082740C">
        <w:rPr>
          <w:rFonts w:ascii="LM Roman 12" w:hAnsi="LM Roman 12"/>
          <w:sz w:val="24"/>
          <w:szCs w:val="24"/>
        </w:rPr>
        <w:t xml:space="preserve"> </w:t>
      </w:r>
      <w:r w:rsidR="003D59BD">
        <w:rPr>
          <w:rFonts w:ascii="LM Roman 12" w:hAnsi="LM Roman 12"/>
          <w:sz w:val="24"/>
          <w:szCs w:val="24"/>
        </w:rPr>
        <w:t xml:space="preserve">these </w:t>
      </w:r>
      <w:r w:rsidR="00773505">
        <w:rPr>
          <w:rFonts w:ascii="LM Roman 12" w:hAnsi="LM Roman 12"/>
          <w:sz w:val="24"/>
          <w:szCs w:val="24"/>
        </w:rPr>
        <w:t xml:space="preserve">unearned revenues. </w:t>
      </w:r>
      <w:r w:rsidR="003D59BD">
        <w:rPr>
          <w:rFonts w:ascii="LM Roman 12" w:hAnsi="LM Roman 12"/>
          <w:sz w:val="24"/>
          <w:szCs w:val="24"/>
        </w:rPr>
        <w:t xml:space="preserve">Menaldo </w:t>
      </w:r>
      <w:r w:rsidR="00773505">
        <w:rPr>
          <w:rFonts w:ascii="LM Roman 12" w:hAnsi="LM Roman 12"/>
          <w:sz w:val="24"/>
          <w:szCs w:val="24"/>
        </w:rPr>
        <w:t>(</w:t>
      </w:r>
      <w:r w:rsidR="003D59BD">
        <w:rPr>
          <w:rFonts w:ascii="LM Roman 12" w:hAnsi="LM Roman 12"/>
          <w:sz w:val="24"/>
          <w:szCs w:val="24"/>
        </w:rPr>
        <w:t>2016</w:t>
      </w:r>
      <w:r w:rsidR="00662B5A">
        <w:rPr>
          <w:rFonts w:ascii="LM Roman 12" w:hAnsi="LM Roman 12"/>
          <w:sz w:val="24"/>
          <w:szCs w:val="24"/>
        </w:rPr>
        <w:t xml:space="preserve">) </w:t>
      </w:r>
      <w:r w:rsidR="003D59BD">
        <w:rPr>
          <w:rFonts w:ascii="LM Roman 12" w:hAnsi="LM Roman 12"/>
          <w:sz w:val="24"/>
          <w:szCs w:val="24"/>
        </w:rPr>
        <w:t>suggests that resource depend</w:t>
      </w:r>
      <w:r w:rsidR="00ED2B7B">
        <w:rPr>
          <w:rFonts w:ascii="LM Roman 12" w:hAnsi="LM Roman 12"/>
          <w:sz w:val="24"/>
          <w:szCs w:val="24"/>
        </w:rPr>
        <w:t xml:space="preserve">ence is not exogenous but </w:t>
      </w:r>
      <w:r w:rsidR="00662B5A">
        <w:rPr>
          <w:rFonts w:ascii="LM Roman 12" w:hAnsi="LM Roman 12"/>
          <w:sz w:val="24"/>
          <w:szCs w:val="24"/>
        </w:rPr>
        <w:t>rather</w:t>
      </w:r>
      <w:r w:rsidR="00756987">
        <w:rPr>
          <w:rFonts w:ascii="LM Roman 12" w:hAnsi="LM Roman 12"/>
          <w:sz w:val="24"/>
          <w:szCs w:val="24"/>
        </w:rPr>
        <w:t xml:space="preserve"> a </w:t>
      </w:r>
      <w:r w:rsidR="007F56F3">
        <w:rPr>
          <w:rFonts w:ascii="LM Roman 12" w:hAnsi="LM Roman 12"/>
          <w:sz w:val="24"/>
          <w:szCs w:val="24"/>
        </w:rPr>
        <w:t xml:space="preserve">purposeful choice </w:t>
      </w:r>
      <w:r w:rsidR="000F4C50">
        <w:rPr>
          <w:rFonts w:ascii="LM Roman 12" w:hAnsi="LM Roman 12"/>
          <w:sz w:val="24"/>
          <w:szCs w:val="24"/>
        </w:rPr>
        <w:t>when</w:t>
      </w:r>
      <w:r w:rsidR="007F56F3">
        <w:rPr>
          <w:rFonts w:ascii="LM Roman 12" w:hAnsi="LM Roman 12"/>
          <w:sz w:val="24"/>
          <w:szCs w:val="24"/>
        </w:rPr>
        <w:t xml:space="preserve"> </w:t>
      </w:r>
      <w:r w:rsidR="003D59BD">
        <w:rPr>
          <w:rFonts w:ascii="LM Roman 12" w:hAnsi="LM Roman 12"/>
          <w:sz w:val="24"/>
          <w:szCs w:val="24"/>
        </w:rPr>
        <w:t xml:space="preserve">states </w:t>
      </w:r>
      <w:r w:rsidR="000F4C50">
        <w:rPr>
          <w:rFonts w:ascii="LM Roman 12" w:hAnsi="LM Roman 12"/>
          <w:sz w:val="24"/>
          <w:szCs w:val="24"/>
        </w:rPr>
        <w:t>lack</w:t>
      </w:r>
      <w:r w:rsidR="00756987">
        <w:rPr>
          <w:rFonts w:ascii="LM Roman 12" w:hAnsi="LM Roman 12"/>
          <w:sz w:val="24"/>
          <w:szCs w:val="24"/>
        </w:rPr>
        <w:t xml:space="preserve"> the capacity to</w:t>
      </w:r>
      <w:r w:rsidR="003D59BD">
        <w:rPr>
          <w:rFonts w:ascii="LM Roman 12" w:hAnsi="LM Roman 12"/>
          <w:sz w:val="24"/>
          <w:szCs w:val="24"/>
        </w:rPr>
        <w:t xml:space="preserve"> generate sufficient operating revenues through conventional taxation. </w:t>
      </w:r>
      <w:r w:rsidR="00662B5A">
        <w:rPr>
          <w:rFonts w:ascii="LM Roman 12" w:hAnsi="LM Roman 12"/>
          <w:sz w:val="24"/>
          <w:szCs w:val="24"/>
        </w:rPr>
        <w:t>Though his f</w:t>
      </w:r>
      <w:r w:rsidR="003D59BD">
        <w:rPr>
          <w:rFonts w:ascii="LM Roman 12" w:hAnsi="LM Roman 12"/>
          <w:sz w:val="24"/>
          <w:szCs w:val="24"/>
        </w:rPr>
        <w:t>ocus is on non-democratic regimes broadly, it seems likely that personalist regimes suffer from capacity deficits vis-à-vis other models of autocracy. Acemoglu and Robinson (2006)</w:t>
      </w:r>
      <w:r w:rsidR="00A82D75">
        <w:rPr>
          <w:rFonts w:ascii="LM Roman 12" w:hAnsi="LM Roman 12"/>
          <w:sz w:val="24"/>
          <w:szCs w:val="24"/>
        </w:rPr>
        <w:t xml:space="preserve"> and Dunning (2005)</w:t>
      </w:r>
      <w:r w:rsidR="003D59BD">
        <w:rPr>
          <w:rFonts w:ascii="LM Roman 12" w:hAnsi="LM Roman 12"/>
          <w:sz w:val="24"/>
          <w:szCs w:val="24"/>
        </w:rPr>
        <w:t xml:space="preserve"> </w:t>
      </w:r>
      <w:r w:rsidR="00A82D75">
        <w:rPr>
          <w:rFonts w:ascii="LM Roman 12" w:hAnsi="LM Roman 12"/>
          <w:sz w:val="24"/>
          <w:szCs w:val="24"/>
        </w:rPr>
        <w:t>suggest</w:t>
      </w:r>
      <w:r w:rsidR="003D59BD">
        <w:rPr>
          <w:rFonts w:ascii="LM Roman 12" w:hAnsi="LM Roman 12"/>
          <w:sz w:val="24"/>
          <w:szCs w:val="24"/>
        </w:rPr>
        <w:t xml:space="preserve"> more general version</w:t>
      </w:r>
      <w:r w:rsidR="00A82D75">
        <w:rPr>
          <w:rFonts w:ascii="LM Roman 12" w:hAnsi="LM Roman 12"/>
          <w:sz w:val="24"/>
          <w:szCs w:val="24"/>
        </w:rPr>
        <w:t>s</w:t>
      </w:r>
      <w:r w:rsidR="003D59BD">
        <w:rPr>
          <w:rFonts w:ascii="LM Roman 12" w:hAnsi="LM Roman 12"/>
          <w:sz w:val="24"/>
          <w:szCs w:val="24"/>
        </w:rPr>
        <w:t xml:space="preserve"> of this relationship, where </w:t>
      </w:r>
      <w:r w:rsidR="00A82D75">
        <w:rPr>
          <w:rFonts w:ascii="LM Roman 12" w:hAnsi="LM Roman 12"/>
          <w:sz w:val="24"/>
          <w:szCs w:val="24"/>
        </w:rPr>
        <w:t xml:space="preserve">autocrats resist diversifying resource-dominant economies for fear of empowering societal actors who may mobilize against them. </w:t>
      </w:r>
      <w:r w:rsidR="00773505">
        <w:rPr>
          <w:rFonts w:ascii="LM Roman 12" w:hAnsi="LM Roman 12"/>
          <w:sz w:val="24"/>
          <w:szCs w:val="24"/>
        </w:rPr>
        <w:t>I</w:t>
      </w:r>
      <w:r w:rsidR="003D59BD">
        <w:rPr>
          <w:rFonts w:ascii="LM Roman 12" w:hAnsi="LM Roman 12"/>
          <w:sz w:val="24"/>
          <w:szCs w:val="24"/>
        </w:rPr>
        <w:t xml:space="preserve">f </w:t>
      </w:r>
      <w:r w:rsidR="00A82D75">
        <w:rPr>
          <w:rFonts w:ascii="LM Roman 12" w:hAnsi="LM Roman 12"/>
          <w:sz w:val="24"/>
          <w:szCs w:val="24"/>
        </w:rPr>
        <w:t>such arguments are</w:t>
      </w:r>
      <w:r w:rsidR="003D59BD">
        <w:rPr>
          <w:rFonts w:ascii="LM Roman 12" w:hAnsi="LM Roman 12"/>
          <w:sz w:val="24"/>
          <w:szCs w:val="24"/>
        </w:rPr>
        <w:t xml:space="preserve"> </w:t>
      </w:r>
      <w:r w:rsidR="00A82D75">
        <w:rPr>
          <w:rFonts w:ascii="LM Roman 12" w:hAnsi="LM Roman 12"/>
          <w:sz w:val="24"/>
          <w:szCs w:val="24"/>
        </w:rPr>
        <w:t>accurate</w:t>
      </w:r>
      <w:r w:rsidR="003D59BD">
        <w:rPr>
          <w:rFonts w:ascii="LM Roman 12" w:hAnsi="LM Roman 12"/>
          <w:sz w:val="24"/>
          <w:szCs w:val="24"/>
        </w:rPr>
        <w:t>, the above interpretation – that greater rents allow personalist rule to emerge and consolidate – reflects reverse causality</w:t>
      </w:r>
      <w:r w:rsidR="00A82D75">
        <w:rPr>
          <w:rFonts w:ascii="LM Roman 12" w:hAnsi="LM Roman 12"/>
          <w:sz w:val="24"/>
          <w:szCs w:val="24"/>
        </w:rPr>
        <w:t xml:space="preserve">. </w:t>
      </w:r>
    </w:p>
    <w:p w14:paraId="51297F7E" w14:textId="15C9D828" w:rsidR="00100F29" w:rsidRDefault="00100F29" w:rsidP="00100F29">
      <w:pPr>
        <w:spacing w:after="120" w:line="360" w:lineRule="auto"/>
        <w:ind w:firstLine="720"/>
        <w:contextualSpacing/>
        <w:jc w:val="both"/>
        <w:rPr>
          <w:rFonts w:ascii="LM Roman 12" w:hAnsi="LM Roman 12"/>
          <w:sz w:val="24"/>
          <w:szCs w:val="24"/>
        </w:rPr>
      </w:pPr>
      <w:r>
        <w:rPr>
          <w:rFonts w:ascii="LM Roman 12" w:hAnsi="LM Roman 12"/>
          <w:sz w:val="24"/>
          <w:szCs w:val="24"/>
        </w:rPr>
        <w:t xml:space="preserve">Resolving the debate between these perspectives is </w:t>
      </w:r>
      <w:r w:rsidR="00662B5A">
        <w:rPr>
          <w:rFonts w:ascii="LM Roman 12" w:hAnsi="LM Roman 12"/>
          <w:sz w:val="24"/>
          <w:szCs w:val="24"/>
        </w:rPr>
        <w:t>critical</w:t>
      </w:r>
      <w:r>
        <w:rPr>
          <w:rFonts w:ascii="LM Roman 12" w:hAnsi="LM Roman 12"/>
          <w:sz w:val="24"/>
          <w:szCs w:val="24"/>
        </w:rPr>
        <w:t xml:space="preserve">. </w:t>
      </w:r>
      <w:r w:rsidR="00A82D75">
        <w:rPr>
          <w:rFonts w:ascii="LM Roman 12" w:hAnsi="LM Roman 12"/>
          <w:sz w:val="24"/>
          <w:szCs w:val="24"/>
        </w:rPr>
        <w:t>P</w:t>
      </w:r>
      <w:r w:rsidR="00662B5A">
        <w:rPr>
          <w:rFonts w:ascii="LM Roman 12" w:hAnsi="LM Roman 12"/>
          <w:sz w:val="24"/>
          <w:szCs w:val="24"/>
        </w:rPr>
        <w:t>ersonalism is expanding</w:t>
      </w:r>
      <w:r>
        <w:rPr>
          <w:rFonts w:ascii="LM Roman 12" w:hAnsi="LM Roman 12"/>
          <w:sz w:val="24"/>
          <w:szCs w:val="24"/>
        </w:rPr>
        <w:t xml:space="preserve"> globally (Kendall-Taylor, Frantz, and Wright 2017), so understanding </w:t>
      </w:r>
      <w:r w:rsidR="00662B5A">
        <w:rPr>
          <w:rFonts w:ascii="LM Roman 12" w:hAnsi="LM Roman 12"/>
          <w:sz w:val="24"/>
          <w:szCs w:val="24"/>
        </w:rPr>
        <w:t>its</w:t>
      </w:r>
      <w:r>
        <w:rPr>
          <w:rFonts w:ascii="LM Roman 12" w:hAnsi="LM Roman 12"/>
          <w:sz w:val="24"/>
          <w:szCs w:val="24"/>
        </w:rPr>
        <w:t xml:space="preserve"> </w:t>
      </w:r>
      <w:r w:rsidR="00662B5A">
        <w:rPr>
          <w:rFonts w:ascii="LM Roman 12" w:hAnsi="LM Roman 12"/>
          <w:sz w:val="24"/>
          <w:szCs w:val="24"/>
        </w:rPr>
        <w:t>roots</w:t>
      </w:r>
      <w:r>
        <w:rPr>
          <w:rFonts w:ascii="LM Roman 12" w:hAnsi="LM Roman 12"/>
          <w:sz w:val="24"/>
          <w:szCs w:val="24"/>
        </w:rPr>
        <w:t xml:space="preserve"> is increasingly important. Moreover, this focus may also resolve considerable gaps in the broader political resource curse literature, which typically argues that high levels of resource wealth (most often oil) are an impediment to democratization. Increasingly robust empirical evidence supports this conclusion, but </w:t>
      </w:r>
      <w:r w:rsidR="00ED2B7B">
        <w:rPr>
          <w:rFonts w:ascii="LM Roman 12" w:hAnsi="LM Roman 12"/>
          <w:sz w:val="24"/>
          <w:szCs w:val="24"/>
        </w:rPr>
        <w:t xml:space="preserve">the precise causal mechanism at work </w:t>
      </w:r>
      <w:r>
        <w:rPr>
          <w:rFonts w:ascii="LM Roman 12" w:hAnsi="LM Roman 12"/>
          <w:sz w:val="24"/>
          <w:szCs w:val="24"/>
        </w:rPr>
        <w:t>remain</w:t>
      </w:r>
      <w:r w:rsidR="00ED2B7B">
        <w:rPr>
          <w:rFonts w:ascii="LM Roman 12" w:hAnsi="LM Roman 12"/>
          <w:sz w:val="24"/>
          <w:szCs w:val="24"/>
        </w:rPr>
        <w:t>s</w:t>
      </w:r>
      <w:r>
        <w:rPr>
          <w:rFonts w:ascii="LM Roman 12" w:hAnsi="LM Roman 12"/>
          <w:sz w:val="24"/>
          <w:szCs w:val="24"/>
        </w:rPr>
        <w:t xml:space="preserve"> the subject of much debate.</w:t>
      </w:r>
      <w:r>
        <w:rPr>
          <w:rStyle w:val="FootnoteReference"/>
          <w:rFonts w:ascii="LM Roman 12" w:hAnsi="LM Roman 12"/>
          <w:sz w:val="24"/>
          <w:szCs w:val="24"/>
        </w:rPr>
        <w:footnoteReference w:id="1"/>
      </w:r>
      <w:r w:rsidR="00662B5A">
        <w:rPr>
          <w:rFonts w:ascii="LM Roman 12" w:hAnsi="LM Roman 12"/>
          <w:sz w:val="24"/>
          <w:szCs w:val="24"/>
        </w:rPr>
        <w:t xml:space="preserve"> O</w:t>
      </w:r>
      <w:r>
        <w:rPr>
          <w:rFonts w:ascii="LM Roman 12" w:hAnsi="LM Roman 12"/>
          <w:sz w:val="24"/>
          <w:szCs w:val="24"/>
        </w:rPr>
        <w:t xml:space="preserve">il may finance societal benefits which reduce mass demands for democracy (Ross 2012), co-opt regime insiders (Wright, Geddes, and Frantz 2015), or </w:t>
      </w:r>
      <w:r w:rsidR="00662B5A">
        <w:rPr>
          <w:rFonts w:ascii="LM Roman 12" w:hAnsi="LM Roman 12"/>
          <w:sz w:val="24"/>
          <w:szCs w:val="24"/>
        </w:rPr>
        <w:t xml:space="preserve">pay for coercive tools to crush </w:t>
      </w:r>
      <w:r>
        <w:rPr>
          <w:rFonts w:ascii="LM Roman 12" w:hAnsi="LM Roman 12"/>
          <w:sz w:val="24"/>
          <w:szCs w:val="24"/>
        </w:rPr>
        <w:t>protests (</w:t>
      </w:r>
      <w:r w:rsidRPr="00C664C7">
        <w:rPr>
          <w:rFonts w:ascii="LM Roman 12" w:hAnsi="LM Roman 12"/>
          <w:sz w:val="24"/>
          <w:szCs w:val="24"/>
        </w:rPr>
        <w:t>Girod, Steward, and Walters</w:t>
      </w:r>
      <w:r>
        <w:rPr>
          <w:rFonts w:ascii="LM Roman 12" w:hAnsi="LM Roman 12"/>
          <w:sz w:val="24"/>
          <w:szCs w:val="24"/>
        </w:rPr>
        <w:t xml:space="preserve"> </w:t>
      </w:r>
      <w:r w:rsidRPr="00C664C7">
        <w:rPr>
          <w:rFonts w:ascii="LM Roman 12" w:hAnsi="LM Roman 12"/>
          <w:sz w:val="24"/>
          <w:szCs w:val="24"/>
        </w:rPr>
        <w:t>2016)</w:t>
      </w:r>
      <w:r>
        <w:rPr>
          <w:rFonts w:ascii="LM Roman 12" w:hAnsi="LM Roman 12"/>
          <w:sz w:val="24"/>
          <w:szCs w:val="24"/>
        </w:rPr>
        <w:t xml:space="preserve"> to name only a few plausible linkages.</w:t>
      </w:r>
      <w:r w:rsidRPr="00C664C7">
        <w:rPr>
          <w:rFonts w:ascii="LM Roman 12" w:hAnsi="LM Roman 12"/>
          <w:sz w:val="24"/>
          <w:szCs w:val="24"/>
        </w:rPr>
        <w:t xml:space="preserve"> </w:t>
      </w:r>
      <w:r>
        <w:rPr>
          <w:rFonts w:ascii="LM Roman 12" w:hAnsi="LM Roman 12"/>
          <w:sz w:val="24"/>
          <w:szCs w:val="24"/>
        </w:rPr>
        <w:t xml:space="preserve">Understanding the connection between oil income and personalism holds some promise to further clarify </w:t>
      </w:r>
      <w:r w:rsidR="00662B5A">
        <w:rPr>
          <w:rFonts w:ascii="LM Roman 12" w:hAnsi="LM Roman 12"/>
          <w:sz w:val="24"/>
          <w:szCs w:val="24"/>
        </w:rPr>
        <w:t>the political resource curse</w:t>
      </w:r>
      <w:r>
        <w:rPr>
          <w:rFonts w:ascii="LM Roman 12" w:hAnsi="LM Roman 12"/>
          <w:sz w:val="24"/>
          <w:szCs w:val="24"/>
        </w:rPr>
        <w:t xml:space="preserve">. For instance, personalist regimes </w:t>
      </w:r>
      <w:r>
        <w:rPr>
          <w:rFonts w:ascii="LM Roman 12" w:hAnsi="LM Roman 12"/>
          <w:sz w:val="24"/>
          <w:szCs w:val="24"/>
        </w:rPr>
        <w:lastRenderedPageBreak/>
        <w:t>are less likely to successfully transition to democracy than are othe</w:t>
      </w:r>
      <w:r w:rsidR="00662B5A">
        <w:rPr>
          <w:rFonts w:ascii="LM Roman 12" w:hAnsi="LM Roman 12"/>
          <w:sz w:val="24"/>
          <w:szCs w:val="24"/>
        </w:rPr>
        <w:t>r models of dictatorships (</w:t>
      </w:r>
      <w:r>
        <w:rPr>
          <w:rFonts w:ascii="LM Roman 12" w:hAnsi="LM Roman 12"/>
          <w:sz w:val="24"/>
          <w:szCs w:val="24"/>
        </w:rPr>
        <w:t>Frantz and Kendall-Taylor 2016; Chehabi and Linz 1998). If oil income leads to personalism, this can clarify one causal pathway</w:t>
      </w:r>
      <w:r w:rsidR="00662B5A">
        <w:rPr>
          <w:rFonts w:ascii="LM Roman 12" w:hAnsi="LM Roman 12"/>
          <w:sz w:val="24"/>
          <w:szCs w:val="24"/>
        </w:rPr>
        <w:t xml:space="preserve"> through which oil impedes democracy</w:t>
      </w:r>
      <w:r>
        <w:rPr>
          <w:rFonts w:ascii="LM Roman 12" w:hAnsi="LM Roman 12"/>
          <w:sz w:val="24"/>
          <w:szCs w:val="24"/>
        </w:rPr>
        <w:t>.</w:t>
      </w:r>
      <w:r w:rsidR="00D6126B">
        <w:rPr>
          <w:rFonts w:ascii="LM Roman 12" w:hAnsi="LM Roman 12"/>
          <w:sz w:val="24"/>
          <w:szCs w:val="24"/>
        </w:rPr>
        <w:t xml:space="preserve"> The remainder of this note </w:t>
      </w:r>
      <w:r w:rsidR="00662B5A">
        <w:rPr>
          <w:rFonts w:ascii="LM Roman 12" w:hAnsi="LM Roman 12"/>
          <w:sz w:val="24"/>
          <w:szCs w:val="24"/>
        </w:rPr>
        <w:t>explores this in detail.</w:t>
      </w:r>
    </w:p>
    <w:p w14:paraId="124A476E" w14:textId="77777777" w:rsidR="00FD2D1B" w:rsidRPr="000A7EF6" w:rsidRDefault="00FD2D1B" w:rsidP="00100F29">
      <w:pPr>
        <w:spacing w:after="120" w:line="360" w:lineRule="auto"/>
        <w:ind w:firstLine="720"/>
        <w:contextualSpacing/>
        <w:jc w:val="both"/>
        <w:rPr>
          <w:rFonts w:ascii="LM Roman 12" w:hAnsi="LM Roman 12"/>
          <w:sz w:val="24"/>
          <w:szCs w:val="24"/>
        </w:rPr>
      </w:pPr>
    </w:p>
    <w:p w14:paraId="07D195ED" w14:textId="58EB34D9" w:rsidR="005610C0" w:rsidRDefault="005610C0" w:rsidP="005610C0">
      <w:pPr>
        <w:jc w:val="both"/>
        <w:rPr>
          <w:rFonts w:ascii="LM Roman 12" w:hAnsi="LM Roman 12"/>
          <w:sz w:val="36"/>
          <w:szCs w:val="36"/>
        </w:rPr>
      </w:pPr>
      <w:r>
        <w:rPr>
          <w:rFonts w:ascii="LM Roman 12" w:hAnsi="LM Roman 12"/>
          <w:b/>
          <w:sz w:val="36"/>
          <w:szCs w:val="36"/>
        </w:rPr>
        <w:t>Personalism and Oil: A Look at the Data</w:t>
      </w:r>
    </w:p>
    <w:p w14:paraId="0F0D781B" w14:textId="11C9A01E" w:rsidR="00234C7B" w:rsidRDefault="00922DBF" w:rsidP="00234C7B">
      <w:pPr>
        <w:spacing w:after="120" w:line="360" w:lineRule="auto"/>
        <w:ind w:firstLine="720"/>
        <w:contextualSpacing/>
        <w:jc w:val="both"/>
        <w:rPr>
          <w:rFonts w:ascii="LM Roman 12" w:hAnsi="LM Roman 12"/>
          <w:sz w:val="24"/>
          <w:szCs w:val="24"/>
        </w:rPr>
      </w:pPr>
      <w:r>
        <w:rPr>
          <w:rFonts w:ascii="LM Roman 12" w:hAnsi="LM Roman 12"/>
          <w:sz w:val="24"/>
          <w:szCs w:val="24"/>
        </w:rPr>
        <w:t>Prior</w:t>
      </w:r>
      <w:r w:rsidR="00234C7B">
        <w:rPr>
          <w:rFonts w:ascii="LM Roman 12" w:hAnsi="LM Roman 12"/>
          <w:sz w:val="24"/>
          <w:szCs w:val="24"/>
        </w:rPr>
        <w:t xml:space="preserve"> scholarship on personalism </w:t>
      </w:r>
      <w:r w:rsidR="00A35E13">
        <w:rPr>
          <w:rFonts w:ascii="LM Roman 12" w:hAnsi="LM Roman 12"/>
          <w:sz w:val="24"/>
          <w:szCs w:val="24"/>
        </w:rPr>
        <w:t>relies</w:t>
      </w:r>
      <w:r w:rsidR="00234C7B">
        <w:rPr>
          <w:rFonts w:ascii="LM Roman 12" w:hAnsi="LM Roman 12"/>
          <w:sz w:val="24"/>
          <w:szCs w:val="24"/>
        </w:rPr>
        <w:t xml:space="preserve"> </w:t>
      </w:r>
      <w:r>
        <w:rPr>
          <w:rFonts w:ascii="LM Roman 12" w:hAnsi="LM Roman 12"/>
          <w:sz w:val="24"/>
          <w:szCs w:val="24"/>
        </w:rPr>
        <w:t xml:space="preserve">overwhelmingly </w:t>
      </w:r>
      <w:r w:rsidR="00234C7B">
        <w:rPr>
          <w:rFonts w:ascii="LM Roman 12" w:hAnsi="LM Roman 12"/>
          <w:sz w:val="24"/>
          <w:szCs w:val="24"/>
        </w:rPr>
        <w:t>on the categorical measures of authoritarian regime type created by Geddes (199</w:t>
      </w:r>
      <w:r w:rsidR="00ED2B7B">
        <w:rPr>
          <w:rFonts w:ascii="LM Roman 12" w:hAnsi="LM Roman 12"/>
          <w:sz w:val="24"/>
          <w:szCs w:val="24"/>
        </w:rPr>
        <w:t>9)</w:t>
      </w:r>
      <w:r w:rsidR="00234C7B">
        <w:rPr>
          <w:rFonts w:ascii="LM Roman 12" w:hAnsi="LM Roman 12"/>
          <w:sz w:val="24"/>
          <w:szCs w:val="24"/>
        </w:rPr>
        <w:t xml:space="preserve"> and expanded by Geddes, Wright, and Frantz (2014). Though influential, this approach </w:t>
      </w:r>
      <w:r>
        <w:rPr>
          <w:rFonts w:ascii="LM Roman 12" w:hAnsi="LM Roman 12"/>
          <w:sz w:val="24"/>
          <w:szCs w:val="24"/>
        </w:rPr>
        <w:t>leaves</w:t>
      </w:r>
      <w:r w:rsidR="00A35E13">
        <w:rPr>
          <w:rFonts w:ascii="LM Roman 12" w:hAnsi="LM Roman 12"/>
          <w:sz w:val="24"/>
          <w:szCs w:val="24"/>
        </w:rPr>
        <w:t xml:space="preserve"> the core theoretical debate described above</w:t>
      </w:r>
      <w:r>
        <w:rPr>
          <w:rFonts w:ascii="LM Roman 12" w:hAnsi="LM Roman 12"/>
          <w:sz w:val="24"/>
          <w:szCs w:val="24"/>
        </w:rPr>
        <w:t xml:space="preserve"> unresolved</w:t>
      </w:r>
      <w:r w:rsidR="00A35E13">
        <w:rPr>
          <w:rFonts w:ascii="LM Roman 12" w:hAnsi="LM Roman 12"/>
          <w:sz w:val="24"/>
          <w:szCs w:val="24"/>
        </w:rPr>
        <w:t xml:space="preserve">, since it </w:t>
      </w:r>
      <w:r w:rsidR="00ED2B7B">
        <w:rPr>
          <w:rFonts w:ascii="LM Roman 12" w:hAnsi="LM Roman 12"/>
          <w:sz w:val="24"/>
          <w:szCs w:val="24"/>
        </w:rPr>
        <w:t>is unable to</w:t>
      </w:r>
      <w:r>
        <w:rPr>
          <w:rFonts w:ascii="LM Roman 12" w:hAnsi="LM Roman 12"/>
          <w:sz w:val="24"/>
          <w:szCs w:val="24"/>
        </w:rPr>
        <w:t xml:space="preserve"> </w:t>
      </w:r>
      <w:r w:rsidR="00234C7B">
        <w:rPr>
          <w:rFonts w:ascii="LM Roman 12" w:hAnsi="LM Roman 12"/>
          <w:sz w:val="24"/>
          <w:szCs w:val="24"/>
        </w:rPr>
        <w:t xml:space="preserve">capture the hypothesized changes in the </w:t>
      </w:r>
      <w:r w:rsidR="00A35E13" w:rsidRPr="00662B5A">
        <w:rPr>
          <w:rFonts w:ascii="LM Roman 12" w:hAnsi="LM Roman 12"/>
          <w:i/>
          <w:sz w:val="24"/>
          <w:szCs w:val="24"/>
        </w:rPr>
        <w:t>level</w:t>
      </w:r>
      <w:r w:rsidR="00A35E13">
        <w:rPr>
          <w:rFonts w:ascii="LM Roman 12" w:hAnsi="LM Roman 12"/>
          <w:sz w:val="24"/>
          <w:szCs w:val="24"/>
        </w:rPr>
        <w:t xml:space="preserve"> of </w:t>
      </w:r>
      <w:r w:rsidR="00DC3283">
        <w:rPr>
          <w:rFonts w:ascii="LM Roman 12" w:hAnsi="LM Roman 12"/>
          <w:sz w:val="24"/>
          <w:szCs w:val="24"/>
        </w:rPr>
        <w:t>personalism</w:t>
      </w:r>
      <w:r w:rsidR="00234C7B">
        <w:rPr>
          <w:rFonts w:ascii="LM Roman 12" w:hAnsi="LM Roman 12"/>
          <w:sz w:val="24"/>
          <w:szCs w:val="24"/>
        </w:rPr>
        <w:t>, no ma</w:t>
      </w:r>
      <w:r w:rsidR="00DC3283">
        <w:rPr>
          <w:rFonts w:ascii="LM Roman 12" w:hAnsi="LM Roman 12"/>
          <w:sz w:val="24"/>
          <w:szCs w:val="24"/>
        </w:rPr>
        <w:t>tter if it is a consequence or</w:t>
      </w:r>
      <w:r w:rsidR="00234C7B">
        <w:rPr>
          <w:rFonts w:ascii="LM Roman 12" w:hAnsi="LM Roman 12"/>
          <w:sz w:val="24"/>
          <w:szCs w:val="24"/>
        </w:rPr>
        <w:t xml:space="preserve"> cause</w:t>
      </w:r>
      <w:r w:rsidR="00234C7B" w:rsidRPr="008E2B58">
        <w:rPr>
          <w:rFonts w:ascii="LM Roman 12" w:hAnsi="LM Roman 12"/>
          <w:sz w:val="24"/>
          <w:szCs w:val="24"/>
        </w:rPr>
        <w:t xml:space="preserve"> </w:t>
      </w:r>
      <w:r w:rsidR="00234C7B">
        <w:rPr>
          <w:rFonts w:ascii="LM Roman 12" w:hAnsi="LM Roman 12"/>
          <w:sz w:val="24"/>
          <w:szCs w:val="24"/>
        </w:rPr>
        <w:t>of increased external rents</w:t>
      </w:r>
      <w:r w:rsidR="00A35E13">
        <w:rPr>
          <w:rFonts w:ascii="LM Roman 12" w:hAnsi="LM Roman 12"/>
          <w:sz w:val="24"/>
          <w:szCs w:val="24"/>
        </w:rPr>
        <w:t>.</w:t>
      </w:r>
      <w:r w:rsidR="00234C7B">
        <w:rPr>
          <w:rFonts w:ascii="LM Roman 12" w:hAnsi="LM Roman 12"/>
          <w:sz w:val="24"/>
          <w:szCs w:val="24"/>
        </w:rPr>
        <w:t xml:space="preserve"> This categorical approach is also problematic conceptually, </w:t>
      </w:r>
      <w:r w:rsidR="00DC3283">
        <w:rPr>
          <w:rFonts w:ascii="LM Roman 12" w:hAnsi="LM Roman 12"/>
          <w:sz w:val="24"/>
          <w:szCs w:val="24"/>
        </w:rPr>
        <w:t xml:space="preserve">since </w:t>
      </w:r>
      <w:r w:rsidR="00234C7B">
        <w:rPr>
          <w:rFonts w:ascii="LM Roman 12" w:hAnsi="LM Roman 12"/>
          <w:sz w:val="24"/>
          <w:szCs w:val="24"/>
        </w:rPr>
        <w:t xml:space="preserve">personalism is a trait that exists in varying levels </w:t>
      </w:r>
      <w:r w:rsidR="00A35E13">
        <w:rPr>
          <w:rFonts w:ascii="LM Roman 12" w:hAnsi="LM Roman 12"/>
          <w:sz w:val="24"/>
          <w:szCs w:val="24"/>
        </w:rPr>
        <w:t>across all dictatorships</w:t>
      </w:r>
      <w:r w:rsidR="005C54F4">
        <w:rPr>
          <w:rFonts w:ascii="LM Roman 12" w:hAnsi="LM Roman 12"/>
          <w:sz w:val="24"/>
          <w:szCs w:val="24"/>
        </w:rPr>
        <w:t xml:space="preserve"> (</w:t>
      </w:r>
      <w:r w:rsidR="00A35E13">
        <w:rPr>
          <w:rFonts w:ascii="LM Roman 12" w:hAnsi="LM Roman 12"/>
          <w:sz w:val="24"/>
          <w:szCs w:val="24"/>
        </w:rPr>
        <w:t xml:space="preserve">Weeks 2014: 38; </w:t>
      </w:r>
      <w:r w:rsidR="00234C7B">
        <w:rPr>
          <w:rFonts w:ascii="LM Roman 12" w:hAnsi="LM Roman 12"/>
          <w:sz w:val="24"/>
          <w:szCs w:val="24"/>
        </w:rPr>
        <w:t xml:space="preserve">Svolik 2012: 30). </w:t>
      </w:r>
    </w:p>
    <w:p w14:paraId="56CE4ED2" w14:textId="2A5225C1" w:rsidR="000B4355" w:rsidRDefault="00B83491" w:rsidP="00A35E13">
      <w:pPr>
        <w:spacing w:after="120" w:line="360" w:lineRule="auto"/>
        <w:ind w:firstLine="720"/>
        <w:contextualSpacing/>
        <w:jc w:val="both"/>
        <w:rPr>
          <w:rFonts w:ascii="LM Roman 12" w:hAnsi="LM Roman 12"/>
          <w:sz w:val="24"/>
          <w:szCs w:val="24"/>
        </w:rPr>
      </w:pPr>
      <w:r>
        <w:rPr>
          <w:rFonts w:ascii="LM Roman 12" w:hAnsi="LM Roman 12"/>
          <w:sz w:val="24"/>
          <w:szCs w:val="24"/>
        </w:rPr>
        <w:t xml:space="preserve">Recent </w:t>
      </w:r>
      <w:r w:rsidR="001A5C31">
        <w:rPr>
          <w:rFonts w:ascii="LM Roman 12" w:hAnsi="LM Roman 12"/>
          <w:sz w:val="24"/>
          <w:szCs w:val="24"/>
        </w:rPr>
        <w:t>work</w:t>
      </w:r>
      <w:r>
        <w:rPr>
          <w:rFonts w:ascii="LM Roman 12" w:hAnsi="LM Roman 12"/>
          <w:sz w:val="24"/>
          <w:szCs w:val="24"/>
        </w:rPr>
        <w:t xml:space="preserve"> from Geddes, Wright, and Frantz (2018</w:t>
      </w:r>
      <w:r w:rsidR="00974736">
        <w:rPr>
          <w:rFonts w:ascii="LM Roman 12" w:hAnsi="LM Roman 12"/>
          <w:sz w:val="24"/>
          <w:szCs w:val="24"/>
        </w:rPr>
        <w:t>; see also Wright 2017</w:t>
      </w:r>
      <w:r>
        <w:rPr>
          <w:rFonts w:ascii="LM Roman 12" w:hAnsi="LM Roman 12"/>
          <w:sz w:val="24"/>
          <w:szCs w:val="24"/>
        </w:rPr>
        <w:t xml:space="preserve">) </w:t>
      </w:r>
      <w:r w:rsidR="001A5C31">
        <w:rPr>
          <w:rFonts w:ascii="LM Roman 12" w:hAnsi="LM Roman 12"/>
          <w:sz w:val="24"/>
          <w:szCs w:val="24"/>
        </w:rPr>
        <w:t>addresses</w:t>
      </w:r>
      <w:r w:rsidR="000B4355">
        <w:rPr>
          <w:rFonts w:ascii="LM Roman 12" w:hAnsi="LM Roman 12"/>
          <w:sz w:val="24"/>
          <w:szCs w:val="24"/>
        </w:rPr>
        <w:t xml:space="preserve"> these shortcomings</w:t>
      </w:r>
      <w:r>
        <w:rPr>
          <w:rFonts w:ascii="LM Roman 12" w:hAnsi="LM Roman 12"/>
          <w:sz w:val="24"/>
          <w:szCs w:val="24"/>
        </w:rPr>
        <w:t xml:space="preserve"> by developing a finely-grained measure of </w:t>
      </w:r>
      <w:r w:rsidR="005C54F4">
        <w:rPr>
          <w:rFonts w:ascii="LM Roman 12" w:hAnsi="LM Roman 12"/>
          <w:sz w:val="24"/>
          <w:szCs w:val="24"/>
        </w:rPr>
        <w:t xml:space="preserve">personalism </w:t>
      </w:r>
      <w:r w:rsidR="00662B5A">
        <w:rPr>
          <w:rFonts w:ascii="LM Roman 12" w:hAnsi="LM Roman 12"/>
          <w:sz w:val="24"/>
          <w:szCs w:val="24"/>
        </w:rPr>
        <w:t xml:space="preserve">emphasizing </w:t>
      </w:r>
      <w:r>
        <w:rPr>
          <w:rFonts w:ascii="LM Roman 12" w:hAnsi="LM Roman 12"/>
          <w:sz w:val="24"/>
          <w:szCs w:val="24"/>
        </w:rPr>
        <w:t xml:space="preserve">the degree to which political power is concentrated in </w:t>
      </w:r>
      <w:r w:rsidR="00662B5A">
        <w:rPr>
          <w:rFonts w:ascii="LM Roman 12" w:hAnsi="LM Roman 12"/>
          <w:sz w:val="24"/>
          <w:szCs w:val="24"/>
        </w:rPr>
        <w:t>the hands of individual leaders</w:t>
      </w:r>
      <w:r>
        <w:rPr>
          <w:rFonts w:ascii="LM Roman 12" w:hAnsi="LM Roman 12"/>
          <w:sz w:val="24"/>
          <w:szCs w:val="24"/>
        </w:rPr>
        <w:t>. As in their</w:t>
      </w:r>
      <w:r w:rsidR="00A35E13">
        <w:rPr>
          <w:rFonts w:ascii="LM Roman 12" w:hAnsi="LM Roman 12"/>
          <w:sz w:val="24"/>
          <w:szCs w:val="24"/>
        </w:rPr>
        <w:t xml:space="preserve"> prior work, the unit of analysis is the autocratic regime-year</w:t>
      </w:r>
      <w:r w:rsidR="00DC3283">
        <w:rPr>
          <w:rFonts w:ascii="LM Roman 12" w:hAnsi="LM Roman 12"/>
          <w:sz w:val="24"/>
          <w:szCs w:val="24"/>
        </w:rPr>
        <w:t xml:space="preserve"> from</w:t>
      </w:r>
      <w:r>
        <w:rPr>
          <w:rFonts w:ascii="LM Roman 12" w:hAnsi="LM Roman 12"/>
          <w:sz w:val="24"/>
          <w:szCs w:val="24"/>
        </w:rPr>
        <w:t xml:space="preserve"> 1960 </w:t>
      </w:r>
      <w:r w:rsidR="00DC3283">
        <w:rPr>
          <w:rFonts w:ascii="LM Roman 12" w:hAnsi="LM Roman 12"/>
          <w:sz w:val="24"/>
          <w:szCs w:val="24"/>
        </w:rPr>
        <w:t>to</w:t>
      </w:r>
      <w:r>
        <w:rPr>
          <w:rFonts w:ascii="LM Roman 12" w:hAnsi="LM Roman 12"/>
          <w:sz w:val="24"/>
          <w:szCs w:val="24"/>
        </w:rPr>
        <w:t xml:space="preserve"> 2010</w:t>
      </w:r>
      <w:r w:rsidR="00A35E13">
        <w:rPr>
          <w:rFonts w:ascii="LM Roman 12" w:hAnsi="LM Roman 12"/>
          <w:sz w:val="24"/>
          <w:szCs w:val="24"/>
        </w:rPr>
        <w:t>. Their specific measure</w:t>
      </w:r>
      <w:r>
        <w:rPr>
          <w:rFonts w:ascii="LM Roman 12" w:hAnsi="LM Roman 12"/>
          <w:sz w:val="24"/>
          <w:szCs w:val="24"/>
        </w:rPr>
        <w:t xml:space="preserve"> uses eight observable indicators of personalism and an item-response theory approach to construct </w:t>
      </w:r>
      <w:r w:rsidR="00A35E13">
        <w:rPr>
          <w:rFonts w:ascii="LM Roman 12" w:hAnsi="LM Roman 12"/>
          <w:sz w:val="24"/>
          <w:szCs w:val="24"/>
        </w:rPr>
        <w:t xml:space="preserve">a latent variable </w:t>
      </w:r>
      <w:r>
        <w:rPr>
          <w:rFonts w:ascii="LM Roman 12" w:hAnsi="LM Roman 12"/>
          <w:sz w:val="24"/>
          <w:szCs w:val="24"/>
        </w:rPr>
        <w:t xml:space="preserve">measure </w:t>
      </w:r>
      <w:r w:rsidR="00662B5A">
        <w:rPr>
          <w:rFonts w:ascii="LM Roman 12" w:hAnsi="LM Roman 12"/>
          <w:sz w:val="24"/>
          <w:szCs w:val="24"/>
        </w:rPr>
        <w:t>for</w:t>
      </w:r>
      <w:r w:rsidR="00A35E13">
        <w:rPr>
          <w:rFonts w:ascii="LM Roman 12" w:hAnsi="LM Roman 12"/>
          <w:sz w:val="24"/>
          <w:szCs w:val="24"/>
        </w:rPr>
        <w:t xml:space="preserve"> </w:t>
      </w:r>
      <w:r w:rsidR="00297D0B">
        <w:rPr>
          <w:rFonts w:ascii="LM Roman 12" w:hAnsi="LM Roman 12"/>
          <w:sz w:val="24"/>
          <w:szCs w:val="24"/>
        </w:rPr>
        <w:t>each</w:t>
      </w:r>
      <w:r w:rsidR="00A35E13">
        <w:rPr>
          <w:rFonts w:ascii="LM Roman 12" w:hAnsi="LM Roman 12"/>
          <w:sz w:val="24"/>
          <w:szCs w:val="24"/>
        </w:rPr>
        <w:t xml:space="preserve"> autocratic regime-year</w:t>
      </w:r>
      <w:r w:rsidR="00662B5A">
        <w:rPr>
          <w:rFonts w:ascii="LM Roman 12" w:hAnsi="LM Roman 12"/>
          <w:sz w:val="24"/>
          <w:szCs w:val="24"/>
        </w:rPr>
        <w:t xml:space="preserve"> in the data</w:t>
      </w:r>
      <w:r w:rsidR="00A35E13">
        <w:rPr>
          <w:rFonts w:ascii="LM Roman 12" w:hAnsi="LM Roman 12"/>
          <w:sz w:val="24"/>
          <w:szCs w:val="24"/>
        </w:rPr>
        <w:t xml:space="preserve">. In general, the indicators capture whether or not institutions </w:t>
      </w:r>
      <w:r w:rsidR="000F4C50">
        <w:rPr>
          <w:rFonts w:ascii="LM Roman 12" w:hAnsi="LM Roman 12"/>
          <w:sz w:val="24"/>
          <w:szCs w:val="24"/>
        </w:rPr>
        <w:t xml:space="preserve">exist </w:t>
      </w:r>
      <w:r w:rsidR="00A35E13">
        <w:rPr>
          <w:rFonts w:ascii="LM Roman 12" w:hAnsi="LM Roman 12"/>
          <w:sz w:val="24"/>
          <w:szCs w:val="24"/>
        </w:rPr>
        <w:t>that can check the leaders power, the degree to which leaders control appointments to political office, and whether leaders take steps to ensure</w:t>
      </w:r>
      <w:r w:rsidR="00662B5A">
        <w:rPr>
          <w:rFonts w:ascii="LM Roman 12" w:hAnsi="LM Roman 12"/>
          <w:sz w:val="24"/>
          <w:szCs w:val="24"/>
        </w:rPr>
        <w:t xml:space="preserve"> the loyalty of </w:t>
      </w:r>
      <w:r w:rsidR="00A35E13">
        <w:rPr>
          <w:rFonts w:ascii="LM Roman 12" w:hAnsi="LM Roman 12"/>
          <w:sz w:val="24"/>
          <w:szCs w:val="24"/>
        </w:rPr>
        <w:t xml:space="preserve">the military </w:t>
      </w:r>
      <w:r w:rsidR="00662B5A">
        <w:rPr>
          <w:rFonts w:ascii="LM Roman 12" w:hAnsi="LM Roman 12"/>
          <w:sz w:val="24"/>
          <w:szCs w:val="24"/>
        </w:rPr>
        <w:t>and</w:t>
      </w:r>
      <w:r w:rsidR="00A35E13">
        <w:rPr>
          <w:rFonts w:ascii="LM Roman 12" w:hAnsi="LM Roman 12"/>
          <w:sz w:val="24"/>
          <w:szCs w:val="24"/>
        </w:rPr>
        <w:t xml:space="preserve"> </w:t>
      </w:r>
      <w:r w:rsidR="00662B5A">
        <w:rPr>
          <w:rFonts w:ascii="LM Roman 12" w:hAnsi="LM Roman 12"/>
          <w:sz w:val="24"/>
          <w:szCs w:val="24"/>
        </w:rPr>
        <w:t xml:space="preserve">security forces. </w:t>
      </w:r>
      <w:r w:rsidR="00A35E13">
        <w:rPr>
          <w:rFonts w:ascii="LM Roman 12" w:hAnsi="LM Roman 12"/>
          <w:sz w:val="24"/>
          <w:szCs w:val="24"/>
        </w:rPr>
        <w:t>The IRT process transforms these indicators into a</w:t>
      </w:r>
      <w:r>
        <w:rPr>
          <w:rFonts w:ascii="LM Roman 12" w:hAnsi="LM Roman 12"/>
          <w:sz w:val="24"/>
          <w:szCs w:val="24"/>
        </w:rPr>
        <w:t xml:space="preserve"> continuous variable</w:t>
      </w:r>
      <w:r w:rsidR="00A35E13">
        <w:rPr>
          <w:rFonts w:ascii="LM Roman 12" w:hAnsi="LM Roman 12"/>
          <w:sz w:val="24"/>
          <w:szCs w:val="24"/>
        </w:rPr>
        <w:t>, where higher values indicate a greater degree of personalism</w:t>
      </w:r>
      <w:r w:rsidR="00662B5A">
        <w:rPr>
          <w:rFonts w:ascii="LM Roman 12" w:hAnsi="LM Roman 12"/>
          <w:sz w:val="24"/>
          <w:szCs w:val="24"/>
        </w:rPr>
        <w:t xml:space="preserve">. </w:t>
      </w:r>
      <w:r w:rsidR="00AD693F">
        <w:rPr>
          <w:rFonts w:ascii="LM Roman 12" w:hAnsi="LM Roman 12"/>
          <w:sz w:val="24"/>
          <w:szCs w:val="24"/>
        </w:rPr>
        <w:t xml:space="preserve">I use this latent variable in the remainder of this paper. </w:t>
      </w:r>
    </w:p>
    <w:p w14:paraId="004CD129" w14:textId="0D682801" w:rsidR="00AD693F" w:rsidRDefault="00087CF9" w:rsidP="00AD693F">
      <w:pPr>
        <w:spacing w:after="120" w:line="360" w:lineRule="auto"/>
        <w:ind w:firstLine="720"/>
        <w:contextualSpacing/>
        <w:jc w:val="both"/>
        <w:rPr>
          <w:rFonts w:ascii="LM Roman 12" w:hAnsi="LM Roman 12"/>
          <w:sz w:val="24"/>
          <w:szCs w:val="24"/>
        </w:rPr>
      </w:pPr>
      <w:r>
        <w:rPr>
          <w:rFonts w:ascii="LM Roman 12" w:hAnsi="LM Roman 12"/>
          <w:sz w:val="24"/>
          <w:szCs w:val="24"/>
        </w:rPr>
        <w:lastRenderedPageBreak/>
        <w:t xml:space="preserve">Figure 1 presents an </w:t>
      </w:r>
      <w:r w:rsidR="000B4355">
        <w:rPr>
          <w:rFonts w:ascii="LM Roman 12" w:hAnsi="LM Roman 12"/>
          <w:sz w:val="24"/>
          <w:szCs w:val="24"/>
        </w:rPr>
        <w:t xml:space="preserve">initial look at the relationship between personalism and the presence of resource rents, specifically oil. </w:t>
      </w:r>
      <w:r w:rsidR="00F3466E">
        <w:rPr>
          <w:rFonts w:ascii="LM Roman 12" w:hAnsi="LM Roman 12"/>
          <w:sz w:val="24"/>
          <w:szCs w:val="24"/>
        </w:rPr>
        <w:t xml:space="preserve">I focus on oil rents </w:t>
      </w:r>
      <w:r w:rsidR="00AF57D3">
        <w:rPr>
          <w:rFonts w:ascii="LM Roman 12" w:hAnsi="LM Roman 12"/>
          <w:sz w:val="24"/>
          <w:szCs w:val="24"/>
        </w:rPr>
        <w:t>because of their</w:t>
      </w:r>
      <w:r w:rsidR="006C542D">
        <w:rPr>
          <w:rFonts w:ascii="LM Roman 12" w:hAnsi="LM Roman 12"/>
          <w:sz w:val="24"/>
          <w:szCs w:val="24"/>
        </w:rPr>
        <w:t xml:space="preserve"> unique</w:t>
      </w:r>
      <w:r w:rsidR="00AF57D3">
        <w:rPr>
          <w:rFonts w:ascii="LM Roman 12" w:hAnsi="LM Roman 12"/>
          <w:sz w:val="24"/>
          <w:szCs w:val="24"/>
        </w:rPr>
        <w:t xml:space="preserve"> </w:t>
      </w:r>
      <w:r w:rsidR="00922DBF">
        <w:rPr>
          <w:rFonts w:ascii="LM Roman 12" w:hAnsi="LM Roman 12"/>
          <w:sz w:val="24"/>
          <w:szCs w:val="24"/>
        </w:rPr>
        <w:t>size</w:t>
      </w:r>
      <w:r w:rsidR="006C542D">
        <w:rPr>
          <w:rFonts w:ascii="LM Roman 12" w:hAnsi="LM Roman 12"/>
          <w:sz w:val="24"/>
          <w:szCs w:val="24"/>
        </w:rPr>
        <w:t xml:space="preserve"> and the ease by which governments can appropriate them (Ross 2012), which is a key theoretical underpinning of the arguments</w:t>
      </w:r>
      <w:r w:rsidR="00D6126B">
        <w:rPr>
          <w:rFonts w:ascii="LM Roman 12" w:hAnsi="LM Roman 12"/>
          <w:sz w:val="24"/>
          <w:szCs w:val="24"/>
        </w:rPr>
        <w:t xml:space="preserve"> described above.</w:t>
      </w:r>
      <w:r w:rsidR="001A5C31">
        <w:rPr>
          <w:rFonts w:ascii="LM Roman 12" w:hAnsi="LM Roman 12"/>
          <w:sz w:val="24"/>
          <w:szCs w:val="24"/>
        </w:rPr>
        <w:t xml:space="preserve"> </w:t>
      </w:r>
      <w:r w:rsidR="00DC3283">
        <w:rPr>
          <w:rFonts w:ascii="LM Roman 12" w:hAnsi="LM Roman 12"/>
          <w:sz w:val="24"/>
          <w:szCs w:val="24"/>
        </w:rPr>
        <w:t xml:space="preserve">The dashed lines </w:t>
      </w:r>
      <w:r w:rsidR="005C54F4">
        <w:rPr>
          <w:rFonts w:ascii="LM Roman 12" w:hAnsi="LM Roman 12"/>
          <w:sz w:val="24"/>
          <w:szCs w:val="24"/>
        </w:rPr>
        <w:t>display</w:t>
      </w:r>
      <w:r>
        <w:rPr>
          <w:rFonts w:ascii="LM Roman 12" w:hAnsi="LM Roman 12"/>
          <w:sz w:val="24"/>
          <w:szCs w:val="24"/>
        </w:rPr>
        <w:t xml:space="preserve"> across-t</w:t>
      </w:r>
      <w:r w:rsidR="000B4355">
        <w:rPr>
          <w:rFonts w:ascii="LM Roman 12" w:hAnsi="LM Roman 12"/>
          <w:sz w:val="24"/>
          <w:szCs w:val="24"/>
        </w:rPr>
        <w:t xml:space="preserve">ime trends in the average level of personalism in autocratic regimes with </w:t>
      </w:r>
      <w:r w:rsidR="00D21456">
        <w:rPr>
          <w:rFonts w:ascii="LM Roman 12" w:hAnsi="LM Roman 12"/>
          <w:sz w:val="24"/>
          <w:szCs w:val="24"/>
        </w:rPr>
        <w:t xml:space="preserve">significant </w:t>
      </w:r>
      <w:r w:rsidR="000B4355">
        <w:rPr>
          <w:rFonts w:ascii="LM Roman 12" w:hAnsi="LM Roman 12"/>
          <w:sz w:val="24"/>
          <w:szCs w:val="24"/>
        </w:rPr>
        <w:t>oil wealth (</w:t>
      </w:r>
      <w:r w:rsidR="006103C4">
        <w:rPr>
          <w:rFonts w:ascii="LM Roman 12" w:hAnsi="LM Roman 12"/>
          <w:sz w:val="24"/>
          <w:szCs w:val="24"/>
        </w:rPr>
        <w:t>defined</w:t>
      </w:r>
      <w:r w:rsidR="000B4355">
        <w:rPr>
          <w:rFonts w:ascii="LM Roman 12" w:hAnsi="LM Roman 12"/>
          <w:sz w:val="24"/>
          <w:szCs w:val="24"/>
        </w:rPr>
        <w:t xml:space="preserve"> as those averaging at least $100 in Ross and Mahdavi’s (2013) variable </w:t>
      </w:r>
      <w:r w:rsidR="000B4355">
        <w:rPr>
          <w:rFonts w:ascii="LM Roman 12" w:hAnsi="LM Roman 12"/>
          <w:i/>
          <w:sz w:val="24"/>
          <w:szCs w:val="24"/>
        </w:rPr>
        <w:t>oil income per capita</w:t>
      </w:r>
      <w:r w:rsidR="000B4355">
        <w:rPr>
          <w:rFonts w:ascii="LM Roman 12" w:hAnsi="LM Roman 12"/>
          <w:sz w:val="24"/>
          <w:szCs w:val="24"/>
        </w:rPr>
        <w:t xml:space="preserve"> over the regime’s duration) and </w:t>
      </w:r>
      <w:r w:rsidR="003F5206">
        <w:rPr>
          <w:rFonts w:ascii="LM Roman 12" w:hAnsi="LM Roman 12"/>
          <w:sz w:val="24"/>
          <w:szCs w:val="24"/>
        </w:rPr>
        <w:t xml:space="preserve">autocracies </w:t>
      </w:r>
      <w:r w:rsidR="000B4355">
        <w:rPr>
          <w:rFonts w:ascii="LM Roman 12" w:hAnsi="LM Roman 12"/>
          <w:sz w:val="24"/>
          <w:szCs w:val="24"/>
        </w:rPr>
        <w:t>without.</w:t>
      </w:r>
      <w:r w:rsidR="000B4355">
        <w:rPr>
          <w:rStyle w:val="FootnoteReference"/>
          <w:rFonts w:ascii="LM Roman 12" w:hAnsi="LM Roman 12"/>
          <w:sz w:val="24"/>
          <w:szCs w:val="24"/>
        </w:rPr>
        <w:footnoteReference w:id="2"/>
      </w:r>
      <w:r w:rsidR="000B4355">
        <w:rPr>
          <w:rFonts w:ascii="LM Roman 12" w:hAnsi="LM Roman 12"/>
          <w:sz w:val="24"/>
          <w:szCs w:val="24"/>
        </w:rPr>
        <w:t xml:space="preserve"> </w:t>
      </w:r>
    </w:p>
    <w:p w14:paraId="2EFFCC46" w14:textId="77777777" w:rsidR="00AD693F" w:rsidRDefault="00AD693F" w:rsidP="00AD693F">
      <w:pPr>
        <w:spacing w:after="120" w:line="360" w:lineRule="auto"/>
        <w:ind w:firstLine="720"/>
        <w:contextualSpacing/>
        <w:jc w:val="both"/>
        <w:rPr>
          <w:rFonts w:ascii="LM Roman 12" w:hAnsi="LM Roman 12"/>
          <w:sz w:val="24"/>
          <w:szCs w:val="24"/>
        </w:rPr>
      </w:pPr>
    </w:p>
    <w:p w14:paraId="4B3533BC" w14:textId="1E00C1C7" w:rsidR="009D5DCE" w:rsidRDefault="009D5DCE" w:rsidP="00AD693F">
      <w:pPr>
        <w:spacing w:after="120" w:line="360" w:lineRule="auto"/>
        <w:contextualSpacing/>
        <w:jc w:val="both"/>
        <w:rPr>
          <w:rFonts w:ascii="LM Roman 12" w:hAnsi="LM Roman 12"/>
          <w:sz w:val="24"/>
          <w:szCs w:val="24"/>
        </w:rPr>
      </w:pPr>
      <w:r w:rsidRPr="0052035A">
        <w:rPr>
          <w:rFonts w:ascii="LM Roman 12" w:hAnsi="LM Roman 12"/>
          <w:sz w:val="24"/>
          <w:szCs w:val="24"/>
        </w:rPr>
        <w:t xml:space="preserve">Figure 1: </w:t>
      </w:r>
      <w:r w:rsidR="00100F29">
        <w:rPr>
          <w:rFonts w:ascii="LM Roman 12" w:hAnsi="LM Roman 12"/>
          <w:sz w:val="24"/>
          <w:szCs w:val="24"/>
        </w:rPr>
        <w:t>Personalism and Oil Price in Autocracies, 1960-2010</w:t>
      </w:r>
    </w:p>
    <w:p w14:paraId="23ED8257" w14:textId="65458FBE" w:rsidR="009378F2" w:rsidRPr="0052035A" w:rsidRDefault="00100F29" w:rsidP="009D5DCE">
      <w:pPr>
        <w:jc w:val="both"/>
        <w:rPr>
          <w:rFonts w:ascii="LM Roman 12" w:hAnsi="LM Roman 12"/>
          <w:sz w:val="24"/>
          <w:szCs w:val="24"/>
        </w:rPr>
      </w:pPr>
      <w:r w:rsidRPr="00F70A45">
        <w:rPr>
          <w:rFonts w:ascii="LM Roman 12" w:hAnsi="LM Roman 12"/>
          <w:noProof/>
          <w:sz w:val="24"/>
          <w:szCs w:val="24"/>
        </w:rPr>
        <w:drawing>
          <wp:inline distT="0" distB="0" distL="0" distR="0" wp14:anchorId="38A86C14" wp14:editId="396238F6">
            <wp:extent cx="5943600" cy="399333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93337"/>
                    </a:xfrm>
                    <a:prstGeom prst="rect">
                      <a:avLst/>
                    </a:prstGeom>
                    <a:noFill/>
                    <a:ln>
                      <a:noFill/>
                    </a:ln>
                  </pic:spPr>
                </pic:pic>
              </a:graphicData>
            </a:graphic>
          </wp:inline>
        </w:drawing>
      </w:r>
    </w:p>
    <w:p w14:paraId="159CF12C" w14:textId="531A33CB" w:rsidR="00703B57" w:rsidRDefault="00703B57" w:rsidP="00703B57">
      <w:pPr>
        <w:spacing w:after="120" w:line="360" w:lineRule="auto"/>
        <w:ind w:firstLine="720"/>
        <w:contextualSpacing/>
        <w:jc w:val="both"/>
        <w:rPr>
          <w:rFonts w:ascii="LM Roman 12" w:hAnsi="LM Roman 12"/>
          <w:sz w:val="24"/>
          <w:szCs w:val="24"/>
        </w:rPr>
      </w:pPr>
      <w:r>
        <w:rPr>
          <w:rFonts w:ascii="LM Roman 12" w:hAnsi="LM Roman 12"/>
          <w:sz w:val="24"/>
          <w:szCs w:val="24"/>
        </w:rPr>
        <w:t xml:space="preserve">Though only a preliminary test, Figure 1 suggests that oil income is associated with greater personalism in autocracies, </w:t>
      </w:r>
      <w:r w:rsidR="00F875E1">
        <w:rPr>
          <w:rFonts w:ascii="LM Roman 12" w:hAnsi="LM Roman 12"/>
          <w:sz w:val="24"/>
          <w:szCs w:val="24"/>
        </w:rPr>
        <w:t>but</w:t>
      </w:r>
      <w:r>
        <w:rPr>
          <w:rFonts w:ascii="LM Roman 12" w:hAnsi="LM Roman 12"/>
          <w:sz w:val="24"/>
          <w:szCs w:val="24"/>
        </w:rPr>
        <w:t xml:space="preserve"> that </w:t>
      </w:r>
      <w:r w:rsidR="00F875E1">
        <w:rPr>
          <w:rFonts w:ascii="LM Roman 12" w:hAnsi="LM Roman 12"/>
          <w:sz w:val="24"/>
          <w:szCs w:val="24"/>
        </w:rPr>
        <w:t xml:space="preserve">this effect </w:t>
      </w:r>
      <w:r>
        <w:rPr>
          <w:rFonts w:ascii="LM Roman 12" w:hAnsi="LM Roman 12"/>
          <w:sz w:val="24"/>
          <w:szCs w:val="24"/>
        </w:rPr>
        <w:t xml:space="preserve">is </w:t>
      </w:r>
      <w:r w:rsidR="00087CF9">
        <w:rPr>
          <w:rFonts w:ascii="LM Roman 12" w:hAnsi="LM Roman 12"/>
          <w:sz w:val="24"/>
          <w:szCs w:val="24"/>
        </w:rPr>
        <w:t xml:space="preserve">largely </w:t>
      </w:r>
      <w:r>
        <w:rPr>
          <w:rFonts w:ascii="LM Roman 12" w:hAnsi="LM Roman 12"/>
          <w:sz w:val="24"/>
          <w:szCs w:val="24"/>
        </w:rPr>
        <w:t xml:space="preserve">limited to the post-Cold </w:t>
      </w:r>
      <w:r>
        <w:rPr>
          <w:rFonts w:ascii="LM Roman 12" w:hAnsi="LM Roman 12"/>
          <w:sz w:val="24"/>
          <w:szCs w:val="24"/>
        </w:rPr>
        <w:lastRenderedPageBreak/>
        <w:t xml:space="preserve">War era. </w:t>
      </w:r>
      <w:r w:rsidR="00F875E1">
        <w:rPr>
          <w:rFonts w:ascii="LM Roman 12" w:hAnsi="LM Roman 12"/>
          <w:sz w:val="24"/>
          <w:szCs w:val="24"/>
        </w:rPr>
        <w:t>There</w:t>
      </w:r>
      <w:r>
        <w:rPr>
          <w:rFonts w:ascii="LM Roman 12" w:hAnsi="LM Roman 12"/>
          <w:sz w:val="24"/>
          <w:szCs w:val="24"/>
        </w:rPr>
        <w:t xml:space="preserve"> is no meaningful difference between autocracies with and without oil wealth in terms of the level of personalism until t</w:t>
      </w:r>
      <w:r w:rsidR="00F875E1">
        <w:rPr>
          <w:rFonts w:ascii="LM Roman 12" w:hAnsi="LM Roman 12"/>
          <w:sz w:val="24"/>
          <w:szCs w:val="24"/>
        </w:rPr>
        <w:t xml:space="preserve">he last few years of the 1980. More importantly, </w:t>
      </w:r>
      <w:r>
        <w:rPr>
          <w:rFonts w:ascii="LM Roman 12" w:hAnsi="LM Roman 12"/>
          <w:sz w:val="24"/>
          <w:szCs w:val="24"/>
        </w:rPr>
        <w:t>the gap increases once</w:t>
      </w:r>
      <w:r w:rsidR="00F875E1">
        <w:rPr>
          <w:rFonts w:ascii="LM Roman 12" w:hAnsi="LM Roman 12"/>
          <w:sz w:val="24"/>
          <w:szCs w:val="24"/>
        </w:rPr>
        <w:t xml:space="preserve"> the Cold War ends. This pattern is consistent with </w:t>
      </w:r>
      <w:r w:rsidR="00087CF9">
        <w:rPr>
          <w:rFonts w:ascii="LM Roman 12" w:hAnsi="LM Roman 12"/>
          <w:sz w:val="24"/>
          <w:szCs w:val="24"/>
        </w:rPr>
        <w:t>an</w:t>
      </w:r>
      <w:r w:rsidR="00F875E1">
        <w:rPr>
          <w:rFonts w:ascii="LM Roman 12" w:hAnsi="LM Roman 12"/>
          <w:sz w:val="24"/>
          <w:szCs w:val="24"/>
        </w:rPr>
        <w:t xml:space="preserve"> argument </w:t>
      </w:r>
      <w:r>
        <w:rPr>
          <w:rFonts w:ascii="LM Roman 12" w:hAnsi="LM Roman 12"/>
          <w:sz w:val="24"/>
          <w:szCs w:val="24"/>
        </w:rPr>
        <w:t xml:space="preserve">that oil-wealthy autocracies </w:t>
      </w:r>
      <w:r w:rsidR="00F875E1">
        <w:rPr>
          <w:rFonts w:ascii="LM Roman 12" w:hAnsi="LM Roman 12"/>
          <w:sz w:val="24"/>
          <w:szCs w:val="24"/>
        </w:rPr>
        <w:t>were able to withstand</w:t>
      </w:r>
      <w:r w:rsidR="00087CF9">
        <w:rPr>
          <w:rFonts w:ascii="LM Roman 12" w:hAnsi="LM Roman 12"/>
          <w:sz w:val="24"/>
          <w:szCs w:val="24"/>
        </w:rPr>
        <w:t xml:space="preserve"> post-Cold War</w:t>
      </w:r>
      <w:r>
        <w:rPr>
          <w:rFonts w:ascii="LM Roman 12" w:hAnsi="LM Roman 12"/>
          <w:sz w:val="24"/>
          <w:szCs w:val="24"/>
        </w:rPr>
        <w:t xml:space="preserve"> pressures for political liberalization without diminishing their personalized character. </w:t>
      </w:r>
    </w:p>
    <w:p w14:paraId="40DCD683" w14:textId="74F35551" w:rsidR="00703B57" w:rsidRDefault="00703B57" w:rsidP="00703B57">
      <w:pPr>
        <w:spacing w:after="120" w:line="360" w:lineRule="auto"/>
        <w:ind w:firstLine="720"/>
        <w:contextualSpacing/>
        <w:jc w:val="both"/>
        <w:rPr>
          <w:rFonts w:ascii="LM Roman 12" w:hAnsi="LM Roman 12"/>
          <w:sz w:val="24"/>
          <w:szCs w:val="24"/>
        </w:rPr>
      </w:pPr>
      <w:r>
        <w:rPr>
          <w:rFonts w:ascii="LM Roman 12" w:hAnsi="LM Roman 12"/>
          <w:sz w:val="24"/>
          <w:szCs w:val="24"/>
        </w:rPr>
        <w:t xml:space="preserve">I test this argument statistically in the analysis that follows, though there are several reasons to believe that oil has this limited temporal impact. Andersen and Ross (2014) demonstrate that oil’s political impacts only began appearing after 1980, when a wave of nationalizations in the oil industry ushered in the “Big Oil Change.” </w:t>
      </w:r>
      <w:r w:rsidR="00F875E1">
        <w:rPr>
          <w:rFonts w:ascii="LM Roman 12" w:hAnsi="LM Roman 12"/>
          <w:sz w:val="24"/>
          <w:szCs w:val="24"/>
        </w:rPr>
        <w:t>Figure 1 is consistent with this argument; there is a</w:t>
      </w:r>
      <w:r>
        <w:rPr>
          <w:rFonts w:ascii="LM Roman 12" w:hAnsi="LM Roman 12"/>
          <w:sz w:val="24"/>
          <w:szCs w:val="24"/>
        </w:rPr>
        <w:t xml:space="preserve"> lag between the </w:t>
      </w:r>
      <w:r w:rsidR="00F875E1">
        <w:rPr>
          <w:rFonts w:ascii="LM Roman 12" w:hAnsi="LM Roman 12"/>
          <w:sz w:val="24"/>
          <w:szCs w:val="24"/>
        </w:rPr>
        <w:t>start</w:t>
      </w:r>
      <w:r>
        <w:rPr>
          <w:rFonts w:ascii="LM Roman 12" w:hAnsi="LM Roman 12"/>
          <w:sz w:val="24"/>
          <w:szCs w:val="24"/>
        </w:rPr>
        <w:t xml:space="preserve"> of </w:t>
      </w:r>
      <w:r w:rsidR="00F875E1">
        <w:rPr>
          <w:rFonts w:ascii="LM Roman 12" w:hAnsi="LM Roman 12"/>
          <w:sz w:val="24"/>
          <w:szCs w:val="24"/>
        </w:rPr>
        <w:t xml:space="preserve">the </w:t>
      </w:r>
      <w:r>
        <w:rPr>
          <w:rFonts w:ascii="LM Roman 12" w:hAnsi="LM Roman 12"/>
          <w:sz w:val="24"/>
          <w:szCs w:val="24"/>
        </w:rPr>
        <w:t>Big Oil</w:t>
      </w:r>
      <w:r w:rsidR="00F875E1">
        <w:rPr>
          <w:rFonts w:ascii="LM Roman 12" w:hAnsi="LM Roman 12"/>
          <w:sz w:val="24"/>
          <w:szCs w:val="24"/>
        </w:rPr>
        <w:t xml:space="preserve"> era</w:t>
      </w:r>
      <w:r>
        <w:rPr>
          <w:rFonts w:ascii="LM Roman 12" w:hAnsi="LM Roman 12"/>
          <w:sz w:val="24"/>
          <w:szCs w:val="24"/>
        </w:rPr>
        <w:t xml:space="preserve"> and the first observed differences in the </w:t>
      </w:r>
      <w:r w:rsidR="00F875E1">
        <w:rPr>
          <w:rFonts w:ascii="LM Roman 12" w:hAnsi="LM Roman 12"/>
          <w:sz w:val="24"/>
          <w:szCs w:val="24"/>
        </w:rPr>
        <w:t>level of personalism across autocracies.</w:t>
      </w:r>
    </w:p>
    <w:p w14:paraId="731E3BE6" w14:textId="22123203" w:rsidR="00703B57" w:rsidRDefault="00703B57" w:rsidP="00703B57">
      <w:pPr>
        <w:spacing w:after="120" w:line="360" w:lineRule="auto"/>
        <w:ind w:firstLine="720"/>
        <w:contextualSpacing/>
        <w:jc w:val="both"/>
        <w:rPr>
          <w:rFonts w:ascii="LM Roman 12" w:hAnsi="LM Roman 12"/>
          <w:sz w:val="24"/>
          <w:szCs w:val="24"/>
        </w:rPr>
      </w:pPr>
      <w:r>
        <w:rPr>
          <w:rFonts w:ascii="LM Roman 12" w:hAnsi="LM Roman 12"/>
          <w:sz w:val="24"/>
          <w:szCs w:val="24"/>
        </w:rPr>
        <w:t xml:space="preserve">This is also consistent with Hendrix’s (2018) recent analysis emphasizing the end of the Cold War as the critical temporal break in the relationship between oil and political regimes. Specifically, Hendrix argues that support from the United States, the Soviet Union, and their allies during the Cold War constituted a source of external rents than enabled regimes to resist pressures to democratize. When these rents diminished after 1990, however, only oil-wealthy regimes had the resources to </w:t>
      </w:r>
      <w:r w:rsidR="00087CF9">
        <w:rPr>
          <w:rFonts w:ascii="LM Roman 12" w:hAnsi="LM Roman 12"/>
          <w:sz w:val="24"/>
          <w:szCs w:val="24"/>
        </w:rPr>
        <w:t>ignore</w:t>
      </w:r>
      <w:r>
        <w:rPr>
          <w:rFonts w:ascii="LM Roman 12" w:hAnsi="LM Roman 12"/>
          <w:sz w:val="24"/>
          <w:szCs w:val="24"/>
        </w:rPr>
        <w:t xml:space="preserve"> increasing demands </w:t>
      </w:r>
      <w:r w:rsidR="00087CF9">
        <w:rPr>
          <w:rFonts w:ascii="LM Roman 12" w:hAnsi="LM Roman 12"/>
          <w:sz w:val="24"/>
          <w:szCs w:val="24"/>
        </w:rPr>
        <w:t>for</w:t>
      </w:r>
      <w:r>
        <w:rPr>
          <w:rFonts w:ascii="LM Roman 12" w:hAnsi="LM Roman 12"/>
          <w:sz w:val="24"/>
          <w:szCs w:val="24"/>
        </w:rPr>
        <w:t xml:space="preserve"> political liberalization. His reanalysis of a several prominent studies provides quantitative evidence that oil wealth only impedes democratization in the post-Cold War period (10). </w:t>
      </w:r>
    </w:p>
    <w:p w14:paraId="0DD694BC" w14:textId="77777777" w:rsidR="00F875E1" w:rsidRDefault="00703B57" w:rsidP="00703B57">
      <w:pPr>
        <w:spacing w:after="120" w:line="360" w:lineRule="auto"/>
        <w:ind w:firstLine="720"/>
        <w:contextualSpacing/>
        <w:jc w:val="both"/>
        <w:rPr>
          <w:rFonts w:ascii="LM Roman 12" w:hAnsi="LM Roman 12"/>
          <w:sz w:val="24"/>
          <w:szCs w:val="24"/>
        </w:rPr>
      </w:pPr>
      <w:r>
        <w:rPr>
          <w:rFonts w:ascii="LM Roman 12" w:hAnsi="LM Roman 12"/>
          <w:sz w:val="24"/>
          <w:szCs w:val="24"/>
        </w:rPr>
        <w:t>Volatility in global oil prices, displayed on the right-side axis in Figure 1, also suggests that the impact on personalism is limited to the post-Cold War era.</w:t>
      </w:r>
      <w:r w:rsidR="00F875E1">
        <w:rPr>
          <w:rFonts w:ascii="LM Roman 12" w:hAnsi="LM Roman 12"/>
          <w:sz w:val="24"/>
          <w:szCs w:val="24"/>
        </w:rPr>
        <w:t xml:space="preserve"> O</w:t>
      </w:r>
      <w:r>
        <w:rPr>
          <w:rFonts w:ascii="LM Roman 12" w:hAnsi="LM Roman 12"/>
          <w:sz w:val="24"/>
          <w:szCs w:val="24"/>
        </w:rPr>
        <w:t xml:space="preserve">il prices reached their high mark in 1980 at a value of nearly $80 USD per barrel (in constant 2000 dollars), but followed this with a decade-long slide. Even if increases in oil income facilitated the personalization of autocracies, the long decline in prices through the 1980s suggests there were few autocracies that would experience these changes. By contrast, the post-Cold </w:t>
      </w:r>
      <w:r>
        <w:rPr>
          <w:rFonts w:ascii="LM Roman 12" w:hAnsi="LM Roman 12"/>
          <w:sz w:val="24"/>
          <w:szCs w:val="24"/>
        </w:rPr>
        <w:lastRenderedPageBreak/>
        <w:t xml:space="preserve">War era began with a decade of relatively stable oil prices before starting a long ascent in the 2000s. </w:t>
      </w:r>
    </w:p>
    <w:p w14:paraId="1D258150" w14:textId="233493D0" w:rsidR="00703B57" w:rsidRDefault="00703B57" w:rsidP="00703B57"/>
    <w:p w14:paraId="574F3F23" w14:textId="1613A04D" w:rsidR="00B007ED" w:rsidRDefault="00290D06" w:rsidP="00D243CE">
      <w:pPr>
        <w:spacing w:after="120" w:line="360" w:lineRule="auto"/>
        <w:contextualSpacing/>
        <w:jc w:val="both"/>
        <w:rPr>
          <w:rFonts w:ascii="LM Roman 12" w:hAnsi="LM Roman 12"/>
          <w:b/>
          <w:sz w:val="36"/>
          <w:szCs w:val="36"/>
        </w:rPr>
      </w:pPr>
      <w:r>
        <w:rPr>
          <w:rFonts w:ascii="LM Roman 12" w:hAnsi="LM Roman 12"/>
          <w:b/>
          <w:sz w:val="36"/>
          <w:szCs w:val="36"/>
        </w:rPr>
        <w:t>Empirical Approach</w:t>
      </w:r>
    </w:p>
    <w:p w14:paraId="7D0F4163" w14:textId="4DB6A4D1" w:rsidR="003F5206" w:rsidRDefault="003F5206" w:rsidP="003F5206">
      <w:pPr>
        <w:spacing w:after="120" w:line="360" w:lineRule="auto"/>
        <w:ind w:firstLine="720"/>
        <w:contextualSpacing/>
        <w:jc w:val="both"/>
        <w:rPr>
          <w:rFonts w:ascii="LM Roman 12" w:hAnsi="LM Roman 12"/>
          <w:sz w:val="24"/>
          <w:szCs w:val="24"/>
        </w:rPr>
      </w:pPr>
      <w:r>
        <w:rPr>
          <w:rFonts w:ascii="LM Roman 12" w:hAnsi="LM Roman 12"/>
          <w:sz w:val="24"/>
          <w:szCs w:val="24"/>
        </w:rPr>
        <w:t>I employ two-way fixed effect regressions</w:t>
      </w:r>
      <w:r w:rsidR="00E01159">
        <w:rPr>
          <w:rFonts w:ascii="LM Roman 12" w:hAnsi="LM Roman 12"/>
          <w:sz w:val="24"/>
          <w:szCs w:val="24"/>
        </w:rPr>
        <w:t xml:space="preserve"> to </w:t>
      </w:r>
      <w:r w:rsidR="00034EE3">
        <w:rPr>
          <w:rFonts w:ascii="LM Roman 12" w:hAnsi="LM Roman 12"/>
          <w:sz w:val="24"/>
          <w:szCs w:val="24"/>
        </w:rPr>
        <w:t xml:space="preserve">more formally evaluate </w:t>
      </w:r>
      <w:r w:rsidR="00E01159">
        <w:rPr>
          <w:rFonts w:ascii="LM Roman 12" w:hAnsi="LM Roman 12"/>
          <w:sz w:val="24"/>
          <w:szCs w:val="24"/>
        </w:rPr>
        <w:t>the impact of oil rents on the level of personalism in autocracies</w:t>
      </w:r>
      <w:r w:rsidR="00034EE3">
        <w:rPr>
          <w:rFonts w:ascii="LM Roman 12" w:hAnsi="LM Roman 12"/>
          <w:sz w:val="24"/>
          <w:szCs w:val="24"/>
        </w:rPr>
        <w:t xml:space="preserve"> </w:t>
      </w:r>
      <w:r w:rsidR="00087CF9">
        <w:rPr>
          <w:rFonts w:ascii="LM Roman 12" w:hAnsi="LM Roman 12"/>
          <w:sz w:val="24"/>
          <w:szCs w:val="24"/>
        </w:rPr>
        <w:t>during</w:t>
      </w:r>
      <w:r w:rsidR="00034EE3">
        <w:rPr>
          <w:rFonts w:ascii="LM Roman 12" w:hAnsi="LM Roman 12"/>
          <w:sz w:val="24"/>
          <w:szCs w:val="24"/>
        </w:rPr>
        <w:t xml:space="preserve"> the post-Cold War era</w:t>
      </w:r>
      <w:r>
        <w:rPr>
          <w:rFonts w:ascii="LM Roman 12" w:hAnsi="LM Roman 12"/>
          <w:sz w:val="24"/>
          <w:szCs w:val="24"/>
        </w:rPr>
        <w:t xml:space="preserve">. This </w:t>
      </w:r>
      <w:r w:rsidR="00034EE3">
        <w:rPr>
          <w:rFonts w:ascii="LM Roman 12" w:hAnsi="LM Roman 12"/>
          <w:sz w:val="24"/>
          <w:szCs w:val="24"/>
        </w:rPr>
        <w:t xml:space="preserve">strategy </w:t>
      </w:r>
      <w:r>
        <w:rPr>
          <w:rFonts w:ascii="LM Roman 12" w:hAnsi="LM Roman 12"/>
          <w:sz w:val="24"/>
          <w:szCs w:val="24"/>
        </w:rPr>
        <w:t xml:space="preserve">includes individual fixed effects for years and for each autocratic regime. </w:t>
      </w:r>
      <w:r w:rsidR="00AD693F">
        <w:rPr>
          <w:rFonts w:ascii="LM Roman 12" w:hAnsi="LM Roman 12"/>
          <w:sz w:val="24"/>
          <w:szCs w:val="24"/>
        </w:rPr>
        <w:t>This</w:t>
      </w:r>
      <w:r>
        <w:rPr>
          <w:rFonts w:ascii="LM Roman 12" w:hAnsi="LM Roman 12"/>
          <w:sz w:val="24"/>
          <w:szCs w:val="24"/>
        </w:rPr>
        <w:t xml:space="preserve"> limit</w:t>
      </w:r>
      <w:r w:rsidR="00AD693F">
        <w:rPr>
          <w:rFonts w:ascii="LM Roman 12" w:hAnsi="LM Roman 12"/>
          <w:sz w:val="24"/>
          <w:szCs w:val="24"/>
        </w:rPr>
        <w:t>s</w:t>
      </w:r>
      <w:r>
        <w:rPr>
          <w:rFonts w:ascii="LM Roman 12" w:hAnsi="LM Roman 12"/>
          <w:sz w:val="24"/>
          <w:szCs w:val="24"/>
        </w:rPr>
        <w:t xml:space="preserve"> the analysis to the within-regime relationship between a change in the level of oil </w:t>
      </w:r>
      <w:r w:rsidR="00E01159">
        <w:rPr>
          <w:rFonts w:ascii="LM Roman 12" w:hAnsi="LM Roman 12"/>
          <w:sz w:val="24"/>
          <w:szCs w:val="24"/>
        </w:rPr>
        <w:t>rents</w:t>
      </w:r>
      <w:r>
        <w:rPr>
          <w:rFonts w:ascii="LM Roman 12" w:hAnsi="LM Roman 12"/>
          <w:sz w:val="24"/>
          <w:szCs w:val="24"/>
        </w:rPr>
        <w:t xml:space="preserve"> and the subsequent change in the </w:t>
      </w:r>
      <w:r w:rsidR="00E01159">
        <w:rPr>
          <w:rFonts w:ascii="LM Roman 12" w:hAnsi="LM Roman 12"/>
          <w:sz w:val="24"/>
          <w:szCs w:val="24"/>
        </w:rPr>
        <w:t>level</w:t>
      </w:r>
      <w:r>
        <w:rPr>
          <w:rFonts w:ascii="LM Roman 12" w:hAnsi="LM Roman 12"/>
          <w:sz w:val="24"/>
          <w:szCs w:val="24"/>
        </w:rPr>
        <w:t xml:space="preserve"> of personalism. All standard errors are clustered on individual regimes.</w:t>
      </w:r>
      <w:r w:rsidR="00B94251">
        <w:rPr>
          <w:rFonts w:ascii="LM Roman 12" w:hAnsi="LM Roman 12"/>
          <w:sz w:val="24"/>
          <w:szCs w:val="24"/>
        </w:rPr>
        <w:t xml:space="preserve"> </w:t>
      </w:r>
    </w:p>
    <w:p w14:paraId="3ECAEFE2" w14:textId="706B7FD5" w:rsidR="00FE7A0E" w:rsidRDefault="003F5206" w:rsidP="004B65D1">
      <w:pPr>
        <w:spacing w:after="120" w:line="360" w:lineRule="auto"/>
        <w:ind w:firstLine="720"/>
        <w:contextualSpacing/>
        <w:jc w:val="both"/>
        <w:rPr>
          <w:rFonts w:ascii="LM Roman 12" w:hAnsi="LM Roman 12"/>
          <w:sz w:val="24"/>
          <w:szCs w:val="24"/>
        </w:rPr>
      </w:pPr>
      <w:r>
        <w:rPr>
          <w:rFonts w:ascii="LM Roman 12" w:hAnsi="LM Roman 12"/>
          <w:sz w:val="24"/>
          <w:szCs w:val="24"/>
        </w:rPr>
        <w:t xml:space="preserve">The key independent variable </w:t>
      </w:r>
      <w:r w:rsidR="00DC3283">
        <w:rPr>
          <w:rFonts w:ascii="LM Roman 12" w:hAnsi="LM Roman 12"/>
          <w:sz w:val="24"/>
          <w:szCs w:val="24"/>
        </w:rPr>
        <w:t>measuring</w:t>
      </w:r>
      <w:r>
        <w:rPr>
          <w:rFonts w:ascii="LM Roman 12" w:hAnsi="LM Roman 12"/>
          <w:sz w:val="24"/>
          <w:szCs w:val="24"/>
        </w:rPr>
        <w:t xml:space="preserve"> oil </w:t>
      </w:r>
      <w:r w:rsidR="00FA5547">
        <w:rPr>
          <w:rFonts w:ascii="LM Roman 12" w:hAnsi="LM Roman 12"/>
          <w:sz w:val="24"/>
          <w:szCs w:val="24"/>
        </w:rPr>
        <w:t xml:space="preserve">rents </w:t>
      </w:r>
      <w:r w:rsidR="00DC3283">
        <w:rPr>
          <w:rFonts w:ascii="LM Roman 12" w:hAnsi="LM Roman 12"/>
          <w:sz w:val="24"/>
          <w:szCs w:val="24"/>
        </w:rPr>
        <w:t>is</w:t>
      </w:r>
      <w:r w:rsidR="00FA5547">
        <w:rPr>
          <w:rFonts w:ascii="LM Roman 12" w:hAnsi="LM Roman 12"/>
          <w:sz w:val="24"/>
          <w:szCs w:val="24"/>
        </w:rPr>
        <w:t xml:space="preserve"> Ross and Mahdavi’s (2013) </w:t>
      </w:r>
      <w:r w:rsidR="00FA5547" w:rsidRPr="00DF6F87">
        <w:rPr>
          <w:rFonts w:ascii="LM Roman 12" w:hAnsi="LM Roman 12"/>
          <w:i/>
          <w:sz w:val="24"/>
          <w:szCs w:val="24"/>
        </w:rPr>
        <w:t xml:space="preserve">oil </w:t>
      </w:r>
      <w:r w:rsidR="00DC3283" w:rsidRPr="00DF6F87">
        <w:rPr>
          <w:rFonts w:ascii="LM Roman 12" w:hAnsi="LM Roman 12"/>
          <w:i/>
          <w:sz w:val="24"/>
          <w:szCs w:val="24"/>
        </w:rPr>
        <w:t>income per capita</w:t>
      </w:r>
      <w:r w:rsidR="00DC3283">
        <w:rPr>
          <w:rFonts w:ascii="LM Roman 12" w:hAnsi="LM Roman 12"/>
          <w:sz w:val="24"/>
          <w:szCs w:val="24"/>
        </w:rPr>
        <w:t>, l</w:t>
      </w:r>
      <w:r w:rsidR="009E6A46">
        <w:rPr>
          <w:rFonts w:ascii="LM Roman 12" w:hAnsi="LM Roman 12"/>
          <w:sz w:val="24"/>
          <w:szCs w:val="24"/>
        </w:rPr>
        <w:t xml:space="preserve">ogged to address the highly skewed distribution in the </w:t>
      </w:r>
      <w:r w:rsidR="00AD693F">
        <w:rPr>
          <w:rFonts w:ascii="LM Roman 12" w:hAnsi="LM Roman 12"/>
          <w:sz w:val="24"/>
          <w:szCs w:val="24"/>
        </w:rPr>
        <w:t>untransformed version</w:t>
      </w:r>
      <w:r w:rsidR="00FA5547">
        <w:rPr>
          <w:rFonts w:ascii="LM Roman 12" w:hAnsi="LM Roman 12"/>
          <w:sz w:val="24"/>
          <w:szCs w:val="24"/>
        </w:rPr>
        <w:t xml:space="preserve">. </w:t>
      </w:r>
      <w:r>
        <w:rPr>
          <w:rFonts w:ascii="LM Roman 12" w:hAnsi="LM Roman 12"/>
          <w:sz w:val="24"/>
          <w:szCs w:val="24"/>
        </w:rPr>
        <w:t>T</w:t>
      </w:r>
      <w:r w:rsidR="0029647E">
        <w:rPr>
          <w:rFonts w:ascii="LM Roman 12" w:hAnsi="LM Roman 12"/>
          <w:sz w:val="24"/>
          <w:szCs w:val="24"/>
        </w:rPr>
        <w:t xml:space="preserve">he </w:t>
      </w:r>
      <w:r w:rsidR="00FE7A0E">
        <w:rPr>
          <w:rFonts w:ascii="LM Roman 12" w:hAnsi="LM Roman 12"/>
          <w:sz w:val="24"/>
          <w:szCs w:val="24"/>
        </w:rPr>
        <w:t xml:space="preserve">regressions </w:t>
      </w:r>
      <w:r w:rsidR="00B9622E">
        <w:rPr>
          <w:rFonts w:ascii="LM Roman 12" w:hAnsi="LM Roman 12"/>
          <w:sz w:val="24"/>
          <w:szCs w:val="24"/>
        </w:rPr>
        <w:t>also</w:t>
      </w:r>
      <w:r w:rsidR="0029647E">
        <w:rPr>
          <w:rFonts w:ascii="LM Roman 12" w:hAnsi="LM Roman 12"/>
          <w:sz w:val="24"/>
          <w:szCs w:val="24"/>
        </w:rPr>
        <w:t xml:space="preserve"> include</w:t>
      </w:r>
      <w:r w:rsidR="00B9622E">
        <w:rPr>
          <w:rFonts w:ascii="LM Roman 12" w:hAnsi="LM Roman 12"/>
          <w:sz w:val="24"/>
          <w:szCs w:val="24"/>
        </w:rPr>
        <w:t>s</w:t>
      </w:r>
      <w:r w:rsidR="0029647E">
        <w:rPr>
          <w:rFonts w:ascii="LM Roman 12" w:hAnsi="LM Roman 12"/>
          <w:sz w:val="24"/>
          <w:szCs w:val="24"/>
        </w:rPr>
        <w:t xml:space="preserve"> measure</w:t>
      </w:r>
      <w:r w:rsidR="00B9622E">
        <w:rPr>
          <w:rFonts w:ascii="LM Roman 12" w:hAnsi="LM Roman 12"/>
          <w:sz w:val="24"/>
          <w:szCs w:val="24"/>
        </w:rPr>
        <w:t>s</w:t>
      </w:r>
      <w:r w:rsidR="0029647E">
        <w:rPr>
          <w:rFonts w:ascii="LM Roman 12" w:hAnsi="LM Roman 12"/>
          <w:sz w:val="24"/>
          <w:szCs w:val="24"/>
        </w:rPr>
        <w:t xml:space="preserve"> of </w:t>
      </w:r>
      <w:r w:rsidR="00AD693F">
        <w:rPr>
          <w:rFonts w:ascii="LM Roman 12" w:hAnsi="LM Roman 12"/>
          <w:sz w:val="24"/>
          <w:szCs w:val="24"/>
        </w:rPr>
        <w:t>(</w:t>
      </w:r>
      <w:r w:rsidR="00FE7A0E">
        <w:rPr>
          <w:rFonts w:ascii="LM Roman 12" w:hAnsi="LM Roman 12"/>
          <w:sz w:val="24"/>
          <w:szCs w:val="24"/>
        </w:rPr>
        <w:t>logged</w:t>
      </w:r>
      <w:r w:rsidR="00AD693F">
        <w:rPr>
          <w:rFonts w:ascii="LM Roman 12" w:hAnsi="LM Roman 12"/>
          <w:sz w:val="24"/>
          <w:szCs w:val="24"/>
        </w:rPr>
        <w:t>)</w:t>
      </w:r>
      <w:r w:rsidR="009E6A46">
        <w:rPr>
          <w:rFonts w:ascii="LM Roman 12" w:hAnsi="LM Roman 12"/>
          <w:sz w:val="24"/>
          <w:szCs w:val="24"/>
        </w:rPr>
        <w:t xml:space="preserve"> </w:t>
      </w:r>
      <w:r w:rsidR="0029647E" w:rsidRPr="00DF6F87">
        <w:rPr>
          <w:rFonts w:ascii="LM Roman 12" w:hAnsi="LM Roman 12"/>
          <w:i/>
          <w:sz w:val="24"/>
          <w:szCs w:val="24"/>
        </w:rPr>
        <w:t>income per capita</w:t>
      </w:r>
      <w:r w:rsidR="008E2B58">
        <w:rPr>
          <w:rFonts w:ascii="LM Roman 12" w:hAnsi="LM Roman 12"/>
          <w:sz w:val="24"/>
          <w:szCs w:val="24"/>
        </w:rPr>
        <w:t xml:space="preserve"> </w:t>
      </w:r>
      <w:r w:rsidR="0029647E">
        <w:rPr>
          <w:rFonts w:ascii="LM Roman 12" w:hAnsi="LM Roman 12"/>
          <w:sz w:val="24"/>
          <w:szCs w:val="24"/>
        </w:rPr>
        <w:t xml:space="preserve">and </w:t>
      </w:r>
      <w:r w:rsidR="0029647E" w:rsidRPr="00DF6F87">
        <w:rPr>
          <w:rFonts w:ascii="LM Roman 12" w:hAnsi="LM Roman 12"/>
          <w:i/>
          <w:sz w:val="24"/>
          <w:szCs w:val="24"/>
        </w:rPr>
        <w:t xml:space="preserve">population </w:t>
      </w:r>
      <w:r w:rsidR="009E6A46" w:rsidRPr="00DF6F87">
        <w:rPr>
          <w:rFonts w:ascii="LM Roman 12" w:hAnsi="LM Roman 12"/>
          <w:i/>
          <w:sz w:val="24"/>
          <w:szCs w:val="24"/>
        </w:rPr>
        <w:t>i</w:t>
      </w:r>
      <w:r w:rsidR="00AD693F" w:rsidRPr="00DF6F87">
        <w:rPr>
          <w:rFonts w:ascii="LM Roman 12" w:hAnsi="LM Roman 12"/>
          <w:i/>
          <w:sz w:val="24"/>
          <w:szCs w:val="24"/>
        </w:rPr>
        <w:t>n millions</w:t>
      </w:r>
      <w:r w:rsidR="0029647E">
        <w:rPr>
          <w:rFonts w:ascii="LM Roman 12" w:hAnsi="LM Roman 12"/>
          <w:sz w:val="24"/>
          <w:szCs w:val="24"/>
        </w:rPr>
        <w:t>. Following Geddes, Wright, and Frantz (</w:t>
      </w:r>
      <w:r w:rsidR="009E6A46">
        <w:rPr>
          <w:rFonts w:ascii="LM Roman 12" w:hAnsi="LM Roman 12"/>
          <w:sz w:val="24"/>
          <w:szCs w:val="24"/>
        </w:rPr>
        <w:t>2018</w:t>
      </w:r>
      <w:r w:rsidR="0029647E">
        <w:rPr>
          <w:rFonts w:ascii="LM Roman 12" w:hAnsi="LM Roman 12"/>
          <w:sz w:val="24"/>
          <w:szCs w:val="24"/>
        </w:rPr>
        <w:t xml:space="preserve">), I also control for whether or not the current leader was the </w:t>
      </w:r>
      <w:r w:rsidR="0029647E" w:rsidRPr="00DF6F87">
        <w:rPr>
          <w:rFonts w:ascii="LM Roman 12" w:hAnsi="LM Roman 12"/>
          <w:sz w:val="24"/>
          <w:szCs w:val="24"/>
        </w:rPr>
        <w:t>first leader</w:t>
      </w:r>
      <w:r w:rsidR="0029647E">
        <w:rPr>
          <w:rFonts w:ascii="LM Roman 12" w:hAnsi="LM Roman 12"/>
          <w:sz w:val="24"/>
          <w:szCs w:val="24"/>
        </w:rPr>
        <w:t xml:space="preserve"> of the regime, as they are more likely to consolidate power personally, and the </w:t>
      </w:r>
      <w:r w:rsidR="009E6A46">
        <w:rPr>
          <w:rFonts w:ascii="LM Roman 12" w:hAnsi="LM Roman 12"/>
          <w:sz w:val="24"/>
          <w:szCs w:val="24"/>
        </w:rPr>
        <w:t xml:space="preserve">(logged) </w:t>
      </w:r>
      <w:r w:rsidR="0029647E">
        <w:rPr>
          <w:rFonts w:ascii="LM Roman 12" w:hAnsi="LM Roman 12"/>
          <w:sz w:val="24"/>
          <w:szCs w:val="24"/>
        </w:rPr>
        <w:t>length of the current leader’s time in office</w:t>
      </w:r>
      <w:r w:rsidR="00DF6F87">
        <w:rPr>
          <w:rFonts w:ascii="LM Roman 12" w:hAnsi="LM Roman 12"/>
          <w:sz w:val="24"/>
          <w:szCs w:val="24"/>
        </w:rPr>
        <w:t xml:space="preserve"> (</w:t>
      </w:r>
      <w:r w:rsidR="00DF6F87">
        <w:rPr>
          <w:rFonts w:ascii="LM Roman 12" w:hAnsi="LM Roman 12"/>
          <w:i/>
          <w:sz w:val="24"/>
          <w:szCs w:val="24"/>
        </w:rPr>
        <w:t>regime leader duration</w:t>
      </w:r>
      <w:r w:rsidR="00DF6F87">
        <w:rPr>
          <w:rFonts w:ascii="LM Roman 12" w:hAnsi="LM Roman 12"/>
          <w:sz w:val="24"/>
          <w:szCs w:val="24"/>
        </w:rPr>
        <w:t>)</w:t>
      </w:r>
      <w:r w:rsidR="0029647E">
        <w:rPr>
          <w:rFonts w:ascii="LM Roman 12" w:hAnsi="LM Roman 12"/>
          <w:sz w:val="24"/>
          <w:szCs w:val="24"/>
        </w:rPr>
        <w:t xml:space="preserve">. </w:t>
      </w:r>
      <w:r w:rsidR="00DF6F87">
        <w:rPr>
          <w:rFonts w:ascii="LM Roman 12" w:hAnsi="LM Roman 12"/>
          <w:sz w:val="24"/>
          <w:szCs w:val="24"/>
        </w:rPr>
        <w:t xml:space="preserve">As the dependent variable reports the level of personalism as of January 1 for a given year, the oil income variable and all economic measures are lagged by two periods. Other controls are lagged by one period. </w:t>
      </w:r>
      <w:r w:rsidR="00FA4A19">
        <w:rPr>
          <w:rFonts w:ascii="LM Roman 12" w:hAnsi="LM Roman 12"/>
          <w:sz w:val="24"/>
          <w:szCs w:val="24"/>
        </w:rPr>
        <w:t>As noted above, the sample includes all autocratic regimes from years 1991-2010.</w:t>
      </w:r>
      <w:r w:rsidR="00FA4A19">
        <w:rPr>
          <w:rStyle w:val="FootnoteReference"/>
          <w:rFonts w:ascii="LM Roman 12" w:hAnsi="LM Roman 12"/>
          <w:sz w:val="24"/>
          <w:szCs w:val="24"/>
        </w:rPr>
        <w:footnoteReference w:id="3"/>
      </w:r>
    </w:p>
    <w:p w14:paraId="235ADC65" w14:textId="2FAD151D" w:rsidR="00E11D76" w:rsidRDefault="00B9622E" w:rsidP="00D243CE">
      <w:pPr>
        <w:spacing w:after="120" w:line="360" w:lineRule="auto"/>
        <w:ind w:firstLine="720"/>
        <w:contextualSpacing/>
        <w:jc w:val="both"/>
        <w:rPr>
          <w:rFonts w:ascii="LM Roman 12" w:hAnsi="LM Roman 12"/>
          <w:sz w:val="24"/>
          <w:szCs w:val="24"/>
        </w:rPr>
      </w:pPr>
      <w:r>
        <w:rPr>
          <w:rFonts w:ascii="LM Roman 12" w:hAnsi="LM Roman 12"/>
          <w:sz w:val="24"/>
          <w:szCs w:val="24"/>
        </w:rPr>
        <w:t xml:space="preserve">There </w:t>
      </w:r>
      <w:r w:rsidR="00194EBE">
        <w:rPr>
          <w:rFonts w:ascii="LM Roman 12" w:hAnsi="LM Roman 12"/>
          <w:sz w:val="24"/>
          <w:szCs w:val="24"/>
        </w:rPr>
        <w:t xml:space="preserve">are </w:t>
      </w:r>
      <w:r w:rsidR="00762F92">
        <w:rPr>
          <w:rFonts w:ascii="LM Roman 12" w:hAnsi="LM Roman 12"/>
          <w:sz w:val="24"/>
          <w:szCs w:val="24"/>
        </w:rPr>
        <w:t>several</w:t>
      </w:r>
      <w:r w:rsidR="00194EBE">
        <w:rPr>
          <w:rFonts w:ascii="LM Roman 12" w:hAnsi="LM Roman 12"/>
          <w:sz w:val="24"/>
          <w:szCs w:val="24"/>
        </w:rPr>
        <w:t xml:space="preserve"> ways in which s</w:t>
      </w:r>
      <w:r w:rsidR="00900C91">
        <w:rPr>
          <w:rFonts w:ascii="LM Roman 12" w:hAnsi="LM Roman 12"/>
          <w:sz w:val="24"/>
          <w:szCs w:val="24"/>
        </w:rPr>
        <w:t>tatistical e</w:t>
      </w:r>
      <w:r w:rsidR="00745593">
        <w:rPr>
          <w:rFonts w:ascii="LM Roman 12" w:hAnsi="LM Roman 12"/>
          <w:sz w:val="24"/>
          <w:szCs w:val="24"/>
        </w:rPr>
        <w:t>ndogeneity</w:t>
      </w:r>
      <w:r w:rsidR="00194EBE">
        <w:rPr>
          <w:rFonts w:ascii="LM Roman 12" w:hAnsi="LM Roman 12"/>
          <w:sz w:val="24"/>
          <w:szCs w:val="24"/>
        </w:rPr>
        <w:t xml:space="preserve"> might impact </w:t>
      </w:r>
      <w:r w:rsidR="00FA5547">
        <w:rPr>
          <w:rFonts w:ascii="LM Roman 12" w:hAnsi="LM Roman 12"/>
          <w:sz w:val="24"/>
          <w:szCs w:val="24"/>
        </w:rPr>
        <w:t xml:space="preserve">this </w:t>
      </w:r>
      <w:r w:rsidR="00194EBE">
        <w:rPr>
          <w:rFonts w:ascii="LM Roman 12" w:hAnsi="LM Roman 12"/>
          <w:sz w:val="24"/>
          <w:szCs w:val="24"/>
        </w:rPr>
        <w:t>analysis. First, some unobserved factor may jointly determine the level</w:t>
      </w:r>
      <w:r>
        <w:rPr>
          <w:rFonts w:ascii="LM Roman 12" w:hAnsi="LM Roman 12"/>
          <w:sz w:val="24"/>
          <w:szCs w:val="24"/>
        </w:rPr>
        <w:t xml:space="preserve">s of oil income and </w:t>
      </w:r>
      <w:r>
        <w:rPr>
          <w:rFonts w:ascii="LM Roman 12" w:hAnsi="LM Roman 12"/>
          <w:sz w:val="24"/>
          <w:szCs w:val="24"/>
        </w:rPr>
        <w:lastRenderedPageBreak/>
        <w:t>personalism</w:t>
      </w:r>
      <w:r w:rsidR="003F5206">
        <w:rPr>
          <w:rFonts w:ascii="LM Roman 12" w:hAnsi="LM Roman 12"/>
          <w:sz w:val="24"/>
          <w:szCs w:val="24"/>
        </w:rPr>
        <w:t>, though</w:t>
      </w:r>
      <w:r w:rsidR="00DC3283">
        <w:rPr>
          <w:rFonts w:ascii="LM Roman 12" w:hAnsi="LM Roman 12"/>
          <w:sz w:val="24"/>
          <w:szCs w:val="24"/>
        </w:rPr>
        <w:t xml:space="preserve"> </w:t>
      </w:r>
      <w:r w:rsidR="003F5206">
        <w:rPr>
          <w:rFonts w:ascii="LM Roman 12" w:hAnsi="LM Roman 12"/>
          <w:sz w:val="24"/>
          <w:szCs w:val="24"/>
        </w:rPr>
        <w:t xml:space="preserve">year </w:t>
      </w:r>
      <w:r w:rsidR="00E11D76">
        <w:rPr>
          <w:rFonts w:ascii="LM Roman 12" w:hAnsi="LM Roman 12"/>
          <w:sz w:val="24"/>
          <w:szCs w:val="24"/>
        </w:rPr>
        <w:t xml:space="preserve">and regime fixed effects help mitigate against </w:t>
      </w:r>
      <w:r w:rsidR="003F5206">
        <w:rPr>
          <w:rFonts w:ascii="LM Roman 12" w:hAnsi="LM Roman 12"/>
          <w:sz w:val="24"/>
          <w:szCs w:val="24"/>
        </w:rPr>
        <w:t>this</w:t>
      </w:r>
      <w:r w:rsidR="00E11D76">
        <w:rPr>
          <w:rFonts w:ascii="LM Roman 12" w:hAnsi="LM Roman 12"/>
          <w:sz w:val="24"/>
          <w:szCs w:val="24"/>
        </w:rPr>
        <w:t>.</w:t>
      </w:r>
      <w:r w:rsidR="007A3323">
        <w:rPr>
          <w:rFonts w:ascii="LM Roman 12" w:hAnsi="LM Roman 12"/>
          <w:sz w:val="24"/>
          <w:szCs w:val="24"/>
        </w:rPr>
        <w:t xml:space="preserve"> </w:t>
      </w:r>
      <w:r w:rsidR="00194EBE">
        <w:rPr>
          <w:rFonts w:ascii="LM Roman 12" w:hAnsi="LM Roman 12"/>
          <w:sz w:val="24"/>
          <w:szCs w:val="24"/>
        </w:rPr>
        <w:t xml:space="preserve">Second, there may be some previously </w:t>
      </w:r>
      <w:r w:rsidR="00AD693F">
        <w:rPr>
          <w:rFonts w:ascii="LM Roman 12" w:hAnsi="LM Roman 12"/>
          <w:sz w:val="24"/>
          <w:szCs w:val="24"/>
        </w:rPr>
        <w:t>identified</w:t>
      </w:r>
      <w:r w:rsidR="00194EBE">
        <w:rPr>
          <w:rFonts w:ascii="LM Roman 12" w:hAnsi="LM Roman 12"/>
          <w:sz w:val="24"/>
          <w:szCs w:val="24"/>
        </w:rPr>
        <w:t xml:space="preserve"> factor that impacts </w:t>
      </w:r>
      <w:r w:rsidR="00762F92">
        <w:rPr>
          <w:rFonts w:ascii="LM Roman 12" w:hAnsi="LM Roman 12"/>
          <w:sz w:val="24"/>
          <w:szCs w:val="24"/>
        </w:rPr>
        <w:t xml:space="preserve">the relationship between </w:t>
      </w:r>
      <w:r w:rsidR="003F5206">
        <w:rPr>
          <w:rFonts w:ascii="LM Roman 12" w:hAnsi="LM Roman 12"/>
          <w:sz w:val="24"/>
          <w:szCs w:val="24"/>
        </w:rPr>
        <w:t>oil income and personalism</w:t>
      </w:r>
      <w:r w:rsidR="00194EBE">
        <w:rPr>
          <w:rFonts w:ascii="LM Roman 12" w:hAnsi="LM Roman 12"/>
          <w:sz w:val="24"/>
          <w:szCs w:val="24"/>
        </w:rPr>
        <w:t xml:space="preserve">. No existing work </w:t>
      </w:r>
      <w:r w:rsidR="00AD693F">
        <w:rPr>
          <w:rFonts w:ascii="LM Roman 12" w:hAnsi="LM Roman 12"/>
          <w:sz w:val="24"/>
          <w:szCs w:val="24"/>
        </w:rPr>
        <w:t>makes this</w:t>
      </w:r>
      <w:r w:rsidR="00194EBE">
        <w:rPr>
          <w:rFonts w:ascii="LM Roman 12" w:hAnsi="LM Roman 12"/>
          <w:sz w:val="24"/>
          <w:szCs w:val="24"/>
        </w:rPr>
        <w:t xml:space="preserve"> specific </w:t>
      </w:r>
      <w:r w:rsidR="00DC3283">
        <w:rPr>
          <w:rFonts w:ascii="LM Roman 12" w:hAnsi="LM Roman 12"/>
          <w:sz w:val="24"/>
          <w:szCs w:val="24"/>
        </w:rPr>
        <w:t>claim, though Menaldo</w:t>
      </w:r>
      <w:r w:rsidR="00194EBE">
        <w:rPr>
          <w:rFonts w:ascii="LM Roman 12" w:hAnsi="LM Roman 12"/>
          <w:sz w:val="24"/>
          <w:szCs w:val="24"/>
        </w:rPr>
        <w:t xml:space="preserve"> (2016) </w:t>
      </w:r>
      <w:r w:rsidR="003F5206">
        <w:rPr>
          <w:rFonts w:ascii="LM Roman 12" w:hAnsi="LM Roman 12"/>
          <w:sz w:val="24"/>
          <w:szCs w:val="24"/>
        </w:rPr>
        <w:t>argues</w:t>
      </w:r>
      <w:r w:rsidR="00194EBE">
        <w:rPr>
          <w:rFonts w:ascii="LM Roman 12" w:hAnsi="LM Roman 12"/>
          <w:sz w:val="24"/>
          <w:szCs w:val="24"/>
        </w:rPr>
        <w:t xml:space="preserve"> that low levels of state capacity encourage the extraction of more oil while simultaneously influencing the level of democracy, the extent of non-resource taxation, and institutional </w:t>
      </w:r>
      <w:r w:rsidR="00DC3283">
        <w:rPr>
          <w:rFonts w:ascii="LM Roman 12" w:hAnsi="LM Roman 12"/>
          <w:sz w:val="24"/>
          <w:szCs w:val="24"/>
        </w:rPr>
        <w:t>quality. To the extent that low</w:t>
      </w:r>
      <w:r w:rsidR="00194EBE">
        <w:rPr>
          <w:rFonts w:ascii="LM Roman 12" w:hAnsi="LM Roman 12"/>
          <w:sz w:val="24"/>
          <w:szCs w:val="24"/>
        </w:rPr>
        <w:t xml:space="preserve"> state capacity </w:t>
      </w:r>
      <w:r w:rsidR="00DC3283">
        <w:rPr>
          <w:rFonts w:ascii="LM Roman 12" w:hAnsi="LM Roman 12"/>
          <w:sz w:val="24"/>
          <w:szCs w:val="24"/>
        </w:rPr>
        <w:t>may be</w:t>
      </w:r>
      <w:r w:rsidR="00603661">
        <w:rPr>
          <w:rFonts w:ascii="LM Roman 12" w:hAnsi="LM Roman 12"/>
          <w:sz w:val="24"/>
          <w:szCs w:val="24"/>
        </w:rPr>
        <w:t xml:space="preserve"> linked to greater levels of personalization in autocracies, </w:t>
      </w:r>
      <w:r w:rsidR="00E01159">
        <w:rPr>
          <w:rFonts w:ascii="LM Roman 12" w:hAnsi="LM Roman 12"/>
          <w:sz w:val="24"/>
          <w:szCs w:val="24"/>
        </w:rPr>
        <w:t>one should</w:t>
      </w:r>
      <w:r w:rsidR="00603661">
        <w:rPr>
          <w:rFonts w:ascii="LM Roman 12" w:hAnsi="LM Roman 12"/>
          <w:sz w:val="24"/>
          <w:szCs w:val="24"/>
        </w:rPr>
        <w:t xml:space="preserve"> control for this factor</w:t>
      </w:r>
      <w:r w:rsidR="00E01159">
        <w:rPr>
          <w:rFonts w:ascii="LM Roman 12" w:hAnsi="LM Roman 12"/>
          <w:sz w:val="24"/>
          <w:szCs w:val="24"/>
        </w:rPr>
        <w:t>.</w:t>
      </w:r>
      <w:r w:rsidR="00603661">
        <w:rPr>
          <w:rFonts w:ascii="LM Roman 12" w:hAnsi="LM Roman 12"/>
          <w:sz w:val="24"/>
          <w:szCs w:val="24"/>
        </w:rPr>
        <w:t xml:space="preserve"> I follow Menaldo’s (2016) approach and use a measure of tax revenue</w:t>
      </w:r>
      <w:r w:rsidR="00E11D76">
        <w:rPr>
          <w:rFonts w:ascii="LM Roman 12" w:hAnsi="LM Roman 12"/>
          <w:sz w:val="24"/>
          <w:szCs w:val="24"/>
        </w:rPr>
        <w:t xml:space="preserve"> as a share of GDP, though I rely on data from the IMF’s World Revenue Longitudinal Dataset (2016).</w:t>
      </w:r>
    </w:p>
    <w:p w14:paraId="6FC5DEA3" w14:textId="6633B51B" w:rsidR="00900C91" w:rsidRDefault="00603661" w:rsidP="00D243CE">
      <w:pPr>
        <w:spacing w:after="120" w:line="360" w:lineRule="auto"/>
        <w:ind w:firstLine="720"/>
        <w:contextualSpacing/>
        <w:jc w:val="both"/>
        <w:rPr>
          <w:rFonts w:ascii="LM Roman 12" w:hAnsi="LM Roman 12"/>
          <w:sz w:val="24"/>
          <w:szCs w:val="24"/>
        </w:rPr>
      </w:pPr>
      <w:r>
        <w:rPr>
          <w:rFonts w:ascii="LM Roman 12" w:hAnsi="LM Roman 12"/>
          <w:sz w:val="24"/>
          <w:szCs w:val="24"/>
        </w:rPr>
        <w:t>Third, it remains pos</w:t>
      </w:r>
      <w:r w:rsidR="00E11D76">
        <w:rPr>
          <w:rFonts w:ascii="LM Roman 12" w:hAnsi="LM Roman 12"/>
          <w:sz w:val="24"/>
          <w:szCs w:val="24"/>
        </w:rPr>
        <w:t>sible that personalist leaders</w:t>
      </w:r>
      <w:r w:rsidR="003509B4">
        <w:rPr>
          <w:rFonts w:ascii="LM Roman 12" w:hAnsi="LM Roman 12"/>
          <w:sz w:val="24"/>
          <w:szCs w:val="24"/>
        </w:rPr>
        <w:t xml:space="preserve"> </w:t>
      </w:r>
      <w:r>
        <w:rPr>
          <w:rFonts w:ascii="LM Roman 12" w:hAnsi="LM Roman 12"/>
          <w:sz w:val="24"/>
          <w:szCs w:val="24"/>
        </w:rPr>
        <w:t xml:space="preserve">could </w:t>
      </w:r>
      <w:r w:rsidR="00DC3283">
        <w:rPr>
          <w:rFonts w:ascii="LM Roman 12" w:hAnsi="LM Roman 12"/>
          <w:sz w:val="24"/>
          <w:szCs w:val="24"/>
        </w:rPr>
        <w:t>increase</w:t>
      </w:r>
      <w:r>
        <w:rPr>
          <w:rFonts w:ascii="LM Roman 12" w:hAnsi="LM Roman 12"/>
          <w:sz w:val="24"/>
          <w:szCs w:val="24"/>
        </w:rPr>
        <w:t xml:space="preserve"> oil production themselves, which would be the clearest example of reverse causality. </w:t>
      </w:r>
      <w:r w:rsidR="00E11D76">
        <w:rPr>
          <w:rFonts w:ascii="LM Roman 12" w:hAnsi="LM Roman 12"/>
          <w:sz w:val="24"/>
          <w:szCs w:val="24"/>
        </w:rPr>
        <w:t>The measure of oil income, along with the appropriate temporal lag, offers a partial guard against this issue (see Ross 2012: 15-19</w:t>
      </w:r>
      <w:r w:rsidR="00DC3283">
        <w:rPr>
          <w:rFonts w:ascii="LM Roman 12" w:hAnsi="LM Roman 12"/>
          <w:sz w:val="24"/>
          <w:szCs w:val="24"/>
        </w:rPr>
        <w:t xml:space="preserve">) but is </w:t>
      </w:r>
      <w:r w:rsidR="00762F92">
        <w:rPr>
          <w:rFonts w:ascii="LM Roman 12" w:hAnsi="LM Roman 12"/>
          <w:sz w:val="24"/>
          <w:szCs w:val="24"/>
        </w:rPr>
        <w:t>unable</w:t>
      </w:r>
      <w:r w:rsidR="00E11D76">
        <w:rPr>
          <w:rFonts w:ascii="LM Roman 12" w:hAnsi="LM Roman 12"/>
          <w:sz w:val="24"/>
          <w:szCs w:val="24"/>
        </w:rPr>
        <w:t xml:space="preserve"> to </w:t>
      </w:r>
      <w:r w:rsidR="00DC3283">
        <w:rPr>
          <w:rFonts w:ascii="LM Roman 12" w:hAnsi="LM Roman 12"/>
          <w:sz w:val="24"/>
          <w:szCs w:val="24"/>
        </w:rPr>
        <w:t xml:space="preserve">fully </w:t>
      </w:r>
      <w:r w:rsidR="00B94251">
        <w:rPr>
          <w:rFonts w:ascii="LM Roman 12" w:hAnsi="LM Roman 12"/>
          <w:sz w:val="24"/>
          <w:szCs w:val="24"/>
        </w:rPr>
        <w:t>dismiss this possibility</w:t>
      </w:r>
      <w:r w:rsidR="00AD693F">
        <w:rPr>
          <w:rFonts w:ascii="LM Roman 12" w:hAnsi="LM Roman 12"/>
          <w:sz w:val="24"/>
          <w:szCs w:val="24"/>
        </w:rPr>
        <w:t>.</w:t>
      </w:r>
    </w:p>
    <w:p w14:paraId="14FB0C27" w14:textId="69EC87FF" w:rsidR="00DA39D9" w:rsidRDefault="00DC3283" w:rsidP="00D243CE">
      <w:pPr>
        <w:spacing w:after="120" w:line="360" w:lineRule="auto"/>
        <w:ind w:firstLine="720"/>
        <w:contextualSpacing/>
        <w:jc w:val="both"/>
        <w:rPr>
          <w:rFonts w:ascii="LM Roman 12" w:hAnsi="LM Roman 12"/>
          <w:sz w:val="24"/>
          <w:szCs w:val="24"/>
        </w:rPr>
      </w:pPr>
      <w:r>
        <w:rPr>
          <w:rFonts w:ascii="LM Roman 12" w:hAnsi="LM Roman 12"/>
          <w:sz w:val="24"/>
          <w:szCs w:val="24"/>
        </w:rPr>
        <w:t xml:space="preserve">Several prior studies </w:t>
      </w:r>
      <w:r w:rsidR="00AD693F">
        <w:rPr>
          <w:rFonts w:ascii="LM Roman 12" w:hAnsi="LM Roman 12"/>
          <w:sz w:val="24"/>
          <w:szCs w:val="24"/>
        </w:rPr>
        <w:t>employ</w:t>
      </w:r>
      <w:r>
        <w:rPr>
          <w:rFonts w:ascii="LM Roman 12" w:hAnsi="LM Roman 12"/>
          <w:sz w:val="24"/>
          <w:szCs w:val="24"/>
        </w:rPr>
        <w:t xml:space="preserve"> </w:t>
      </w:r>
      <w:r w:rsidR="00E11D76">
        <w:rPr>
          <w:rFonts w:ascii="LM Roman 12" w:hAnsi="LM Roman 12"/>
          <w:sz w:val="24"/>
          <w:szCs w:val="24"/>
        </w:rPr>
        <w:t>instrumental variables</w:t>
      </w:r>
      <w:r w:rsidR="00B9622E">
        <w:rPr>
          <w:rFonts w:ascii="LM Roman 12" w:hAnsi="LM Roman 12"/>
          <w:sz w:val="24"/>
          <w:szCs w:val="24"/>
        </w:rPr>
        <w:t xml:space="preserve"> </w:t>
      </w:r>
      <w:r w:rsidR="00ED03D7">
        <w:rPr>
          <w:rFonts w:ascii="LM Roman 12" w:hAnsi="LM Roman 12"/>
          <w:sz w:val="24"/>
          <w:szCs w:val="24"/>
        </w:rPr>
        <w:t xml:space="preserve">measuring oil endowments or </w:t>
      </w:r>
      <w:r w:rsidR="008E2B58">
        <w:rPr>
          <w:rFonts w:ascii="LM Roman 12" w:hAnsi="LM Roman 12"/>
          <w:sz w:val="24"/>
          <w:szCs w:val="24"/>
        </w:rPr>
        <w:t xml:space="preserve">new </w:t>
      </w:r>
      <w:r w:rsidR="00ED03D7">
        <w:rPr>
          <w:rFonts w:ascii="LM Roman 12" w:hAnsi="LM Roman 12"/>
          <w:sz w:val="24"/>
          <w:szCs w:val="24"/>
        </w:rPr>
        <w:t>discoveries</w:t>
      </w:r>
      <w:r w:rsidR="00AD693F">
        <w:rPr>
          <w:rFonts w:ascii="LM Roman 12" w:hAnsi="LM Roman 12"/>
          <w:sz w:val="24"/>
          <w:szCs w:val="24"/>
        </w:rPr>
        <w:t xml:space="preserve"> to deal with similar issues</w:t>
      </w:r>
      <w:r w:rsidR="00ED03D7">
        <w:rPr>
          <w:rFonts w:ascii="LM Roman 12" w:hAnsi="LM Roman 12"/>
          <w:sz w:val="24"/>
          <w:szCs w:val="24"/>
        </w:rPr>
        <w:t xml:space="preserve"> </w:t>
      </w:r>
      <w:r w:rsidR="00B571E4">
        <w:rPr>
          <w:rFonts w:ascii="LM Roman 12" w:hAnsi="LM Roman 12"/>
          <w:sz w:val="24"/>
          <w:szCs w:val="24"/>
        </w:rPr>
        <w:t>(</w:t>
      </w:r>
      <w:r w:rsidR="009A0053">
        <w:rPr>
          <w:rFonts w:ascii="LM Roman 12" w:hAnsi="LM Roman 12"/>
          <w:sz w:val="24"/>
          <w:szCs w:val="24"/>
        </w:rPr>
        <w:t>Tsui 2011</w:t>
      </w:r>
      <w:r w:rsidR="00E01159">
        <w:rPr>
          <w:rFonts w:ascii="LM Roman 12" w:hAnsi="LM Roman 12"/>
          <w:sz w:val="24"/>
          <w:szCs w:val="24"/>
        </w:rPr>
        <w:t>; Menaldo 2016</w:t>
      </w:r>
      <w:r w:rsidR="009A0053">
        <w:rPr>
          <w:rFonts w:ascii="LM Roman 12" w:hAnsi="LM Roman 12"/>
          <w:sz w:val="24"/>
          <w:szCs w:val="24"/>
        </w:rPr>
        <w:t>)</w:t>
      </w:r>
      <w:r w:rsidR="00E11D76">
        <w:rPr>
          <w:rFonts w:ascii="LM Roman 12" w:hAnsi="LM Roman 12"/>
          <w:sz w:val="24"/>
          <w:szCs w:val="24"/>
        </w:rPr>
        <w:t>.</w:t>
      </w:r>
      <w:r w:rsidR="00AD693F">
        <w:rPr>
          <w:rFonts w:ascii="LM Roman 12" w:hAnsi="LM Roman 12"/>
          <w:sz w:val="24"/>
          <w:szCs w:val="24"/>
        </w:rPr>
        <w:t xml:space="preserve"> T</w:t>
      </w:r>
      <w:r w:rsidR="00E11D76">
        <w:rPr>
          <w:rFonts w:ascii="LM Roman 12" w:hAnsi="LM Roman 12"/>
          <w:sz w:val="24"/>
          <w:szCs w:val="24"/>
        </w:rPr>
        <w:t xml:space="preserve">hese </w:t>
      </w:r>
      <w:r w:rsidR="00AD693F">
        <w:rPr>
          <w:rFonts w:ascii="LM Roman 12" w:hAnsi="LM Roman 12"/>
          <w:sz w:val="24"/>
          <w:szCs w:val="24"/>
        </w:rPr>
        <w:t xml:space="preserve">approaches, however, </w:t>
      </w:r>
      <w:r w:rsidR="00E11D76">
        <w:rPr>
          <w:rFonts w:ascii="LM Roman 12" w:hAnsi="LM Roman 12"/>
          <w:sz w:val="24"/>
          <w:szCs w:val="24"/>
        </w:rPr>
        <w:t xml:space="preserve">are unable to solve the problem. At issue is </w:t>
      </w:r>
      <w:r w:rsidR="00DA39D9">
        <w:rPr>
          <w:rFonts w:ascii="LM Roman 12" w:hAnsi="LM Roman 12"/>
          <w:sz w:val="24"/>
          <w:szCs w:val="24"/>
        </w:rPr>
        <w:t>the fact that, a</w:t>
      </w:r>
      <w:r w:rsidR="00E65A1C">
        <w:rPr>
          <w:rFonts w:ascii="LM Roman 12" w:hAnsi="LM Roman 12"/>
          <w:sz w:val="24"/>
          <w:szCs w:val="24"/>
        </w:rPr>
        <w:t>s Smith (2017</w:t>
      </w:r>
      <w:r w:rsidR="00762F92">
        <w:rPr>
          <w:rFonts w:ascii="LM Roman 12" w:hAnsi="LM Roman 12"/>
          <w:sz w:val="24"/>
          <w:szCs w:val="24"/>
        </w:rPr>
        <w:t>: 601</w:t>
      </w:r>
      <w:r w:rsidR="00E65A1C">
        <w:rPr>
          <w:rFonts w:ascii="LM Roman 12" w:hAnsi="LM Roman 12"/>
          <w:sz w:val="24"/>
          <w:szCs w:val="24"/>
        </w:rPr>
        <w:t xml:space="preserve">) recently </w:t>
      </w:r>
      <w:r w:rsidR="00AD693F">
        <w:rPr>
          <w:rFonts w:ascii="LM Roman 12" w:hAnsi="LM Roman 12"/>
          <w:sz w:val="24"/>
          <w:szCs w:val="24"/>
        </w:rPr>
        <w:t>notes</w:t>
      </w:r>
      <w:r w:rsidR="00E65A1C">
        <w:rPr>
          <w:rFonts w:ascii="LM Roman 12" w:hAnsi="LM Roman 12"/>
          <w:sz w:val="24"/>
          <w:szCs w:val="24"/>
        </w:rPr>
        <w:t>,</w:t>
      </w:r>
      <w:r w:rsidR="00BB268C">
        <w:rPr>
          <w:rFonts w:ascii="LM Roman 12" w:hAnsi="LM Roman 12"/>
          <w:sz w:val="24"/>
          <w:szCs w:val="24"/>
        </w:rPr>
        <w:t xml:space="preserve"> virtually all measures of oil inc</w:t>
      </w:r>
      <w:r w:rsidR="00DA39D9">
        <w:rPr>
          <w:rFonts w:ascii="LM Roman 12" w:hAnsi="LM Roman 12"/>
          <w:sz w:val="24"/>
          <w:szCs w:val="24"/>
        </w:rPr>
        <w:t>ome are endogenous to politics. D</w:t>
      </w:r>
      <w:r w:rsidR="00BB268C">
        <w:rPr>
          <w:rFonts w:ascii="LM Roman 12" w:hAnsi="LM Roman 12"/>
          <w:sz w:val="24"/>
          <w:szCs w:val="24"/>
        </w:rPr>
        <w:t xml:space="preserve">iscovery of new fields, </w:t>
      </w:r>
      <w:r w:rsidR="00DA39D9">
        <w:rPr>
          <w:rFonts w:ascii="LM Roman 12" w:hAnsi="LM Roman 12"/>
          <w:sz w:val="24"/>
          <w:szCs w:val="24"/>
        </w:rPr>
        <w:t xml:space="preserve">accurate </w:t>
      </w:r>
      <w:r w:rsidR="00BB268C">
        <w:rPr>
          <w:rFonts w:ascii="LM Roman 12" w:hAnsi="LM Roman 12"/>
          <w:sz w:val="24"/>
          <w:szCs w:val="24"/>
        </w:rPr>
        <w:t>reporting of reserves, and production levels all depend on the main actors</w:t>
      </w:r>
      <w:r w:rsidR="000E0030">
        <w:rPr>
          <w:rFonts w:ascii="LM Roman 12" w:hAnsi="LM Roman 12"/>
          <w:sz w:val="24"/>
          <w:szCs w:val="24"/>
        </w:rPr>
        <w:t xml:space="preserve"> </w:t>
      </w:r>
      <w:r w:rsidR="00E65A1C">
        <w:rPr>
          <w:rFonts w:ascii="LM Roman 12" w:hAnsi="LM Roman 12"/>
          <w:sz w:val="24"/>
          <w:szCs w:val="24"/>
        </w:rPr>
        <w:t>–</w:t>
      </w:r>
      <w:r w:rsidR="00BB268C">
        <w:rPr>
          <w:rFonts w:ascii="LM Roman 12" w:hAnsi="LM Roman 12"/>
          <w:sz w:val="24"/>
          <w:szCs w:val="24"/>
        </w:rPr>
        <w:t xml:space="preserve"> </w:t>
      </w:r>
      <w:r w:rsidR="00E65A1C">
        <w:rPr>
          <w:rFonts w:ascii="LM Roman 12" w:hAnsi="LM Roman 12"/>
          <w:sz w:val="24"/>
          <w:szCs w:val="24"/>
        </w:rPr>
        <w:t xml:space="preserve">in </w:t>
      </w:r>
      <w:r w:rsidR="004F31BC">
        <w:rPr>
          <w:rFonts w:ascii="LM Roman 12" w:hAnsi="LM Roman 12"/>
          <w:sz w:val="24"/>
          <w:szCs w:val="24"/>
        </w:rPr>
        <w:t xml:space="preserve">particular the </w:t>
      </w:r>
      <w:r w:rsidR="00E65A1C">
        <w:rPr>
          <w:rFonts w:ascii="LM Roman 12" w:hAnsi="LM Roman 12"/>
          <w:sz w:val="24"/>
          <w:szCs w:val="24"/>
        </w:rPr>
        <w:t>foreign multinational</w:t>
      </w:r>
      <w:r w:rsidR="00AD693F">
        <w:rPr>
          <w:rFonts w:ascii="LM Roman 12" w:hAnsi="LM Roman 12"/>
          <w:sz w:val="24"/>
          <w:szCs w:val="24"/>
        </w:rPr>
        <w:t>s</w:t>
      </w:r>
      <w:r w:rsidR="00E65A1C">
        <w:rPr>
          <w:rFonts w:ascii="LM Roman 12" w:hAnsi="LM Roman 12"/>
          <w:sz w:val="24"/>
          <w:szCs w:val="24"/>
        </w:rPr>
        <w:t xml:space="preserve"> </w:t>
      </w:r>
      <w:r w:rsidR="004F31BC">
        <w:rPr>
          <w:rFonts w:ascii="LM Roman 12" w:hAnsi="LM Roman 12"/>
          <w:sz w:val="24"/>
          <w:szCs w:val="24"/>
        </w:rPr>
        <w:t xml:space="preserve">that dominate </w:t>
      </w:r>
      <w:r w:rsidR="000E0030">
        <w:rPr>
          <w:rFonts w:ascii="LM Roman 12" w:hAnsi="LM Roman 12"/>
          <w:sz w:val="24"/>
          <w:szCs w:val="24"/>
        </w:rPr>
        <w:t xml:space="preserve">oil </w:t>
      </w:r>
      <w:r w:rsidR="004F31BC">
        <w:rPr>
          <w:rFonts w:ascii="LM Roman 12" w:hAnsi="LM Roman 12"/>
          <w:sz w:val="24"/>
          <w:szCs w:val="24"/>
        </w:rPr>
        <w:t>production</w:t>
      </w:r>
      <w:r w:rsidR="00E65A1C">
        <w:rPr>
          <w:rFonts w:ascii="LM Roman 12" w:hAnsi="LM Roman 12"/>
          <w:sz w:val="24"/>
          <w:szCs w:val="24"/>
        </w:rPr>
        <w:t xml:space="preserve"> –</w:t>
      </w:r>
      <w:r w:rsidR="00AD693F">
        <w:rPr>
          <w:rFonts w:ascii="LM Roman 12" w:hAnsi="LM Roman 12"/>
          <w:sz w:val="24"/>
          <w:szCs w:val="24"/>
        </w:rPr>
        <w:t xml:space="preserve"> </w:t>
      </w:r>
      <w:r w:rsidR="000E0030">
        <w:rPr>
          <w:rFonts w:ascii="LM Roman 12" w:hAnsi="LM Roman 12"/>
          <w:sz w:val="24"/>
          <w:szCs w:val="24"/>
        </w:rPr>
        <w:t>judging</w:t>
      </w:r>
      <w:r w:rsidR="00E65A1C">
        <w:rPr>
          <w:rFonts w:ascii="LM Roman 12" w:hAnsi="LM Roman 12"/>
          <w:sz w:val="24"/>
          <w:szCs w:val="24"/>
        </w:rPr>
        <w:t xml:space="preserve"> the political environment </w:t>
      </w:r>
      <w:r w:rsidR="00AD693F">
        <w:rPr>
          <w:rFonts w:ascii="LM Roman 12" w:hAnsi="LM Roman 12"/>
          <w:sz w:val="24"/>
          <w:szCs w:val="24"/>
        </w:rPr>
        <w:t>as</w:t>
      </w:r>
      <w:r w:rsidR="00E65A1C">
        <w:rPr>
          <w:rFonts w:ascii="LM Roman 12" w:hAnsi="LM Roman 12"/>
          <w:sz w:val="24"/>
          <w:szCs w:val="24"/>
        </w:rPr>
        <w:t xml:space="preserve"> stable enough </w:t>
      </w:r>
      <w:r w:rsidR="00AD693F">
        <w:rPr>
          <w:rFonts w:ascii="LM Roman 12" w:hAnsi="LM Roman 12"/>
          <w:sz w:val="24"/>
          <w:szCs w:val="24"/>
        </w:rPr>
        <w:t>to generate a return on their</w:t>
      </w:r>
      <w:r w:rsidR="000E0030">
        <w:rPr>
          <w:rFonts w:ascii="LM Roman 12" w:hAnsi="LM Roman 12"/>
          <w:sz w:val="24"/>
          <w:szCs w:val="24"/>
        </w:rPr>
        <w:t xml:space="preserve"> investment</w:t>
      </w:r>
      <w:r w:rsidR="004F31BC">
        <w:rPr>
          <w:rFonts w:ascii="LM Roman 12" w:hAnsi="LM Roman 12"/>
          <w:sz w:val="24"/>
          <w:szCs w:val="24"/>
        </w:rPr>
        <w:t xml:space="preserve">. </w:t>
      </w:r>
      <w:r w:rsidR="00DA39D9">
        <w:rPr>
          <w:rFonts w:ascii="LM Roman 12" w:hAnsi="LM Roman 12"/>
          <w:sz w:val="24"/>
          <w:szCs w:val="24"/>
        </w:rPr>
        <w:t>In</w:t>
      </w:r>
      <w:r w:rsidR="00AD693F">
        <w:rPr>
          <w:rFonts w:ascii="LM Roman 12" w:hAnsi="LM Roman 12"/>
          <w:sz w:val="24"/>
          <w:szCs w:val="24"/>
        </w:rPr>
        <w:t xml:space="preserve"> </w:t>
      </w:r>
      <w:r w:rsidR="000E0030">
        <w:rPr>
          <w:rFonts w:ascii="LM Roman 12" w:hAnsi="LM Roman 12"/>
          <w:sz w:val="24"/>
          <w:szCs w:val="24"/>
        </w:rPr>
        <w:t>methodological terms</w:t>
      </w:r>
      <w:r w:rsidR="00DA39D9">
        <w:rPr>
          <w:rFonts w:ascii="LM Roman 12" w:hAnsi="LM Roman 12"/>
          <w:sz w:val="24"/>
          <w:szCs w:val="24"/>
        </w:rPr>
        <w:t xml:space="preserve">, </w:t>
      </w:r>
      <w:r w:rsidR="000E0030">
        <w:rPr>
          <w:rFonts w:ascii="LM Roman 12" w:hAnsi="LM Roman 12"/>
          <w:sz w:val="24"/>
          <w:szCs w:val="24"/>
        </w:rPr>
        <w:t>such</w:t>
      </w:r>
      <w:r w:rsidR="00DA39D9">
        <w:rPr>
          <w:rFonts w:ascii="LM Roman 12" w:hAnsi="LM Roman 12"/>
          <w:sz w:val="24"/>
          <w:szCs w:val="24"/>
        </w:rPr>
        <w:t xml:space="preserve"> instruments </w:t>
      </w:r>
      <w:r w:rsidR="000E0030">
        <w:rPr>
          <w:rFonts w:ascii="LM Roman 12" w:hAnsi="LM Roman 12"/>
          <w:sz w:val="24"/>
          <w:szCs w:val="24"/>
        </w:rPr>
        <w:t>do not</w:t>
      </w:r>
      <w:r w:rsidR="00DA39D9">
        <w:rPr>
          <w:rFonts w:ascii="LM Roman 12" w:hAnsi="LM Roman 12"/>
          <w:sz w:val="24"/>
          <w:szCs w:val="24"/>
        </w:rPr>
        <w:t xml:space="preserve"> meet the exclusion restriction.</w:t>
      </w:r>
    </w:p>
    <w:p w14:paraId="5A1B9072" w14:textId="38CEC1EB" w:rsidR="00B9622E" w:rsidRDefault="000E0030" w:rsidP="00D243CE">
      <w:pPr>
        <w:spacing w:after="120" w:line="360" w:lineRule="auto"/>
        <w:ind w:firstLine="720"/>
        <w:contextualSpacing/>
        <w:jc w:val="both"/>
        <w:rPr>
          <w:rFonts w:ascii="LM Roman 12" w:hAnsi="LM Roman 12"/>
          <w:sz w:val="24"/>
          <w:szCs w:val="24"/>
        </w:rPr>
      </w:pPr>
      <w:r>
        <w:rPr>
          <w:rFonts w:ascii="LM Roman 12" w:hAnsi="LM Roman 12"/>
          <w:sz w:val="24"/>
          <w:szCs w:val="24"/>
        </w:rPr>
        <w:t>Instead,</w:t>
      </w:r>
      <w:r w:rsidR="00DA39D9">
        <w:rPr>
          <w:rFonts w:ascii="LM Roman 12" w:hAnsi="LM Roman 12"/>
          <w:sz w:val="24"/>
          <w:szCs w:val="24"/>
        </w:rPr>
        <w:t xml:space="preserve"> this paper </w:t>
      </w:r>
      <w:r w:rsidR="00762F92">
        <w:rPr>
          <w:rFonts w:ascii="LM Roman 12" w:hAnsi="LM Roman 12"/>
          <w:sz w:val="24"/>
          <w:szCs w:val="24"/>
        </w:rPr>
        <w:t>follows</w:t>
      </w:r>
      <w:r w:rsidR="00DA39D9">
        <w:rPr>
          <w:rFonts w:ascii="LM Roman 12" w:hAnsi="LM Roman 12"/>
          <w:sz w:val="24"/>
          <w:szCs w:val="24"/>
        </w:rPr>
        <w:t xml:space="preserve"> Smith’s (2017</w:t>
      </w:r>
      <w:r>
        <w:rPr>
          <w:rFonts w:ascii="LM Roman 12" w:hAnsi="LM Roman 12"/>
          <w:sz w:val="24"/>
          <w:szCs w:val="24"/>
        </w:rPr>
        <w:t>: 601</w:t>
      </w:r>
      <w:r w:rsidR="00DA39D9">
        <w:rPr>
          <w:rFonts w:ascii="LM Roman 12" w:hAnsi="LM Roman 12"/>
          <w:sz w:val="24"/>
          <w:szCs w:val="24"/>
        </w:rPr>
        <w:t xml:space="preserve">) recommendation that </w:t>
      </w:r>
      <w:r w:rsidR="00BB268C">
        <w:rPr>
          <w:rFonts w:ascii="LM Roman 12" w:hAnsi="LM Roman 12"/>
          <w:sz w:val="24"/>
          <w:szCs w:val="24"/>
        </w:rPr>
        <w:t xml:space="preserve">scholars are “better off thinking about </w:t>
      </w:r>
      <w:r w:rsidR="00BB268C" w:rsidRPr="00BB268C">
        <w:rPr>
          <w:rFonts w:ascii="LM Roman 12" w:hAnsi="LM Roman 12"/>
          <w:i/>
          <w:sz w:val="24"/>
          <w:szCs w:val="24"/>
        </w:rPr>
        <w:t>how</w:t>
      </w:r>
      <w:r w:rsidR="00BB268C">
        <w:rPr>
          <w:rFonts w:ascii="LM Roman 12" w:hAnsi="LM Roman 12"/>
          <w:sz w:val="24"/>
          <w:szCs w:val="24"/>
        </w:rPr>
        <w:t xml:space="preserve"> our measures are endogenous, and accounting for it, rather than tryi</w:t>
      </w:r>
      <w:r w:rsidR="004F31BC">
        <w:rPr>
          <w:rFonts w:ascii="LM Roman 12" w:hAnsi="LM Roman 12"/>
          <w:sz w:val="24"/>
          <w:szCs w:val="24"/>
        </w:rPr>
        <w:t>ng to find others that are not</w:t>
      </w:r>
      <w:r>
        <w:rPr>
          <w:rFonts w:ascii="LM Roman 12" w:hAnsi="LM Roman 12"/>
          <w:sz w:val="24"/>
          <w:szCs w:val="24"/>
        </w:rPr>
        <w:t>.</w:t>
      </w:r>
      <w:r w:rsidR="004F31BC">
        <w:rPr>
          <w:rFonts w:ascii="LM Roman 12" w:hAnsi="LM Roman 12"/>
          <w:sz w:val="24"/>
          <w:szCs w:val="24"/>
        </w:rPr>
        <w:t xml:space="preserve">” </w:t>
      </w:r>
      <w:r w:rsidR="00DA39D9">
        <w:rPr>
          <w:rFonts w:ascii="LM Roman 12" w:hAnsi="LM Roman 12"/>
          <w:sz w:val="24"/>
          <w:szCs w:val="24"/>
        </w:rPr>
        <w:t xml:space="preserve">I do this by </w:t>
      </w:r>
      <w:r w:rsidR="00855550">
        <w:rPr>
          <w:rFonts w:ascii="LM Roman 12" w:hAnsi="LM Roman 12"/>
          <w:sz w:val="24"/>
          <w:szCs w:val="24"/>
        </w:rPr>
        <w:t xml:space="preserve">testing the relationship while excluding large oil producers, since they are better able to manipulate oil production for political gain, </w:t>
      </w:r>
      <w:r w:rsidR="00855550">
        <w:rPr>
          <w:rFonts w:ascii="LM Roman 12" w:hAnsi="LM Roman 12"/>
          <w:sz w:val="24"/>
          <w:szCs w:val="24"/>
        </w:rPr>
        <w:lastRenderedPageBreak/>
        <w:t xml:space="preserve">and </w:t>
      </w:r>
      <w:r>
        <w:rPr>
          <w:rFonts w:ascii="LM Roman 12" w:hAnsi="LM Roman 12"/>
          <w:sz w:val="24"/>
          <w:szCs w:val="24"/>
        </w:rPr>
        <w:t xml:space="preserve">further </w:t>
      </w:r>
      <w:r w:rsidR="007D3F73">
        <w:rPr>
          <w:rFonts w:ascii="LM Roman 12" w:hAnsi="LM Roman 12"/>
          <w:sz w:val="24"/>
          <w:szCs w:val="24"/>
        </w:rPr>
        <w:t xml:space="preserve">supplementing the baseline </w:t>
      </w:r>
      <w:r>
        <w:rPr>
          <w:rFonts w:ascii="LM Roman 12" w:hAnsi="LM Roman 12"/>
          <w:sz w:val="24"/>
          <w:szCs w:val="24"/>
        </w:rPr>
        <w:t>specification with a measure</w:t>
      </w:r>
      <w:r w:rsidR="007A3323">
        <w:rPr>
          <w:rFonts w:ascii="LM Roman 12" w:hAnsi="LM Roman 12"/>
          <w:sz w:val="24"/>
          <w:szCs w:val="24"/>
        </w:rPr>
        <w:t xml:space="preserve"> of</w:t>
      </w:r>
      <w:r w:rsidR="00216478">
        <w:rPr>
          <w:rFonts w:ascii="LM Roman 12" w:hAnsi="LM Roman 12"/>
          <w:sz w:val="24"/>
          <w:szCs w:val="24"/>
        </w:rPr>
        <w:t xml:space="preserve"> </w:t>
      </w:r>
      <w:r w:rsidR="007D3F73">
        <w:rPr>
          <w:rFonts w:ascii="LM Roman 12" w:hAnsi="LM Roman 12"/>
          <w:sz w:val="24"/>
          <w:szCs w:val="24"/>
        </w:rPr>
        <w:t>openness</w:t>
      </w:r>
      <w:r w:rsidR="0015569B">
        <w:rPr>
          <w:rFonts w:ascii="LM Roman 12" w:hAnsi="LM Roman 12"/>
          <w:sz w:val="24"/>
          <w:szCs w:val="24"/>
        </w:rPr>
        <w:t xml:space="preserve"> to international capital</w:t>
      </w:r>
      <w:r w:rsidR="003011BA">
        <w:rPr>
          <w:rFonts w:ascii="LM Roman 12" w:hAnsi="LM Roman 12"/>
          <w:sz w:val="24"/>
          <w:szCs w:val="24"/>
        </w:rPr>
        <w:t>,</w:t>
      </w:r>
      <w:r w:rsidR="007D3F73">
        <w:rPr>
          <w:rFonts w:ascii="LM Roman 12" w:hAnsi="LM Roman 12"/>
          <w:sz w:val="24"/>
          <w:szCs w:val="24"/>
        </w:rPr>
        <w:t xml:space="preserve"> </w:t>
      </w:r>
      <w:r w:rsidR="003011BA">
        <w:rPr>
          <w:rFonts w:ascii="LM Roman 12" w:hAnsi="LM Roman 12"/>
          <w:sz w:val="24"/>
          <w:szCs w:val="24"/>
        </w:rPr>
        <w:t xml:space="preserve">since more open </w:t>
      </w:r>
      <w:r w:rsidR="008E2B58">
        <w:rPr>
          <w:rFonts w:ascii="LM Roman 12" w:hAnsi="LM Roman 12"/>
          <w:sz w:val="24"/>
          <w:szCs w:val="24"/>
        </w:rPr>
        <w:t>r</w:t>
      </w:r>
      <w:r w:rsidR="00B9622E">
        <w:rPr>
          <w:rFonts w:ascii="LM Roman 12" w:hAnsi="LM Roman 12"/>
          <w:sz w:val="24"/>
          <w:szCs w:val="24"/>
        </w:rPr>
        <w:t>egimes might have an advantage in endogenously raising oil production</w:t>
      </w:r>
      <w:r w:rsidR="008E2B58">
        <w:rPr>
          <w:rFonts w:ascii="LM Roman 12" w:hAnsi="LM Roman 12"/>
          <w:sz w:val="24"/>
          <w:szCs w:val="24"/>
        </w:rPr>
        <w:t>.</w:t>
      </w:r>
      <w:r w:rsidR="00C242DE">
        <w:rPr>
          <w:rFonts w:ascii="LM Roman 12" w:hAnsi="LM Roman 12"/>
          <w:sz w:val="24"/>
          <w:szCs w:val="24"/>
        </w:rPr>
        <w:t xml:space="preserve"> </w:t>
      </w:r>
      <w:r w:rsidR="009A0053">
        <w:rPr>
          <w:rFonts w:ascii="LM Roman 12" w:hAnsi="LM Roman 12"/>
          <w:sz w:val="24"/>
          <w:szCs w:val="24"/>
        </w:rPr>
        <w:t xml:space="preserve">I </w:t>
      </w:r>
      <w:r w:rsidR="00ED03D7">
        <w:rPr>
          <w:rFonts w:ascii="LM Roman 12" w:hAnsi="LM Roman 12"/>
          <w:sz w:val="24"/>
          <w:szCs w:val="24"/>
        </w:rPr>
        <w:t>measure this</w:t>
      </w:r>
      <w:r w:rsidR="009A0053">
        <w:rPr>
          <w:rFonts w:ascii="LM Roman 12" w:hAnsi="LM Roman 12"/>
          <w:sz w:val="24"/>
          <w:szCs w:val="24"/>
        </w:rPr>
        <w:t xml:space="preserve"> </w:t>
      </w:r>
      <w:r w:rsidR="00961070">
        <w:rPr>
          <w:rFonts w:ascii="LM Roman 12" w:hAnsi="LM Roman 12"/>
          <w:sz w:val="24"/>
          <w:szCs w:val="24"/>
        </w:rPr>
        <w:t xml:space="preserve">openness </w:t>
      </w:r>
      <w:r w:rsidR="00ED03D7">
        <w:rPr>
          <w:rFonts w:ascii="LM Roman 12" w:hAnsi="LM Roman 12"/>
          <w:sz w:val="24"/>
          <w:szCs w:val="24"/>
        </w:rPr>
        <w:t>as</w:t>
      </w:r>
      <w:r w:rsidR="009A0053">
        <w:rPr>
          <w:rFonts w:ascii="LM Roman 12" w:hAnsi="LM Roman 12"/>
          <w:sz w:val="24"/>
          <w:szCs w:val="24"/>
        </w:rPr>
        <w:t xml:space="preserve"> FDI inflows as a share of GDP,</w:t>
      </w:r>
      <w:r w:rsidR="009A0053" w:rsidRPr="009A0053">
        <w:rPr>
          <w:rFonts w:ascii="LM Roman 12" w:hAnsi="LM Roman 12"/>
          <w:sz w:val="24"/>
          <w:szCs w:val="24"/>
        </w:rPr>
        <w:t xml:space="preserve"> </w:t>
      </w:r>
      <w:r w:rsidR="009A0053">
        <w:rPr>
          <w:rFonts w:ascii="LM Roman 12" w:hAnsi="LM Roman 12"/>
          <w:sz w:val="24"/>
          <w:szCs w:val="24"/>
        </w:rPr>
        <w:t>using data from the World Development Indicators (World Bank 2016)</w:t>
      </w:r>
      <w:r w:rsidR="00B9622E">
        <w:rPr>
          <w:rFonts w:ascii="LM Roman 12" w:hAnsi="LM Roman 12"/>
          <w:sz w:val="24"/>
          <w:szCs w:val="24"/>
        </w:rPr>
        <w:t>.</w:t>
      </w:r>
    </w:p>
    <w:p w14:paraId="2B626C19" w14:textId="77777777" w:rsidR="000E0030" w:rsidRDefault="000E0030" w:rsidP="00D243CE">
      <w:pPr>
        <w:spacing w:after="120" w:line="360" w:lineRule="auto"/>
        <w:contextualSpacing/>
        <w:jc w:val="both"/>
        <w:rPr>
          <w:rFonts w:ascii="LM Roman 12" w:hAnsi="LM Roman 12"/>
          <w:b/>
          <w:sz w:val="36"/>
          <w:szCs w:val="36"/>
        </w:rPr>
      </w:pPr>
    </w:p>
    <w:p w14:paraId="74ABFB7B" w14:textId="13AA0073" w:rsidR="00B007ED" w:rsidRDefault="00B007ED" w:rsidP="00D243CE">
      <w:pPr>
        <w:spacing w:after="120" w:line="360" w:lineRule="auto"/>
        <w:contextualSpacing/>
        <w:jc w:val="both"/>
        <w:rPr>
          <w:rFonts w:ascii="LM Roman 12" w:hAnsi="LM Roman 12"/>
          <w:b/>
          <w:sz w:val="36"/>
          <w:szCs w:val="36"/>
        </w:rPr>
      </w:pPr>
      <w:r>
        <w:rPr>
          <w:rFonts w:ascii="LM Roman 12" w:hAnsi="LM Roman 12"/>
          <w:b/>
          <w:sz w:val="36"/>
          <w:szCs w:val="36"/>
        </w:rPr>
        <w:t>Results and Discussion</w:t>
      </w:r>
    </w:p>
    <w:p w14:paraId="170CC236" w14:textId="71DCE7A6" w:rsidR="000E0030" w:rsidRDefault="008119E5" w:rsidP="000E0030">
      <w:pPr>
        <w:spacing w:after="120" w:line="360" w:lineRule="auto"/>
        <w:ind w:firstLine="720"/>
        <w:contextualSpacing/>
        <w:jc w:val="both"/>
        <w:rPr>
          <w:rFonts w:ascii="LM Roman 12" w:hAnsi="LM Roman 12"/>
          <w:sz w:val="24"/>
          <w:szCs w:val="24"/>
        </w:rPr>
      </w:pPr>
      <w:r>
        <w:rPr>
          <w:rFonts w:ascii="LM Roman 12" w:hAnsi="LM Roman 12"/>
          <w:sz w:val="24"/>
          <w:szCs w:val="24"/>
        </w:rPr>
        <w:t>Table 1 reports the results of the two-way fixed effects regressions</w:t>
      </w:r>
      <w:r w:rsidR="00216478">
        <w:rPr>
          <w:rFonts w:ascii="LM Roman 12" w:hAnsi="LM Roman 12"/>
          <w:sz w:val="24"/>
          <w:szCs w:val="24"/>
        </w:rPr>
        <w:t>. I report the results of two</w:t>
      </w:r>
      <w:r w:rsidR="004B65D1">
        <w:rPr>
          <w:rFonts w:ascii="LM Roman 12" w:hAnsi="LM Roman 12"/>
          <w:sz w:val="24"/>
          <w:szCs w:val="24"/>
        </w:rPr>
        <w:t xml:space="preserve"> model specifications (a baseline model and one with </w:t>
      </w:r>
      <w:r w:rsidR="00087CF9">
        <w:rPr>
          <w:rFonts w:ascii="LM Roman 12" w:hAnsi="LM Roman 12"/>
          <w:sz w:val="24"/>
          <w:szCs w:val="24"/>
        </w:rPr>
        <w:t>the additional control variables)</w:t>
      </w:r>
      <w:r w:rsidR="004B65D1">
        <w:rPr>
          <w:rFonts w:ascii="LM Roman 12" w:hAnsi="LM Roman 12"/>
          <w:sz w:val="24"/>
          <w:szCs w:val="24"/>
        </w:rPr>
        <w:t xml:space="preserve"> with and without large oil producers, defined as the top ten percent of observations </w:t>
      </w:r>
      <w:r w:rsidR="00216478">
        <w:rPr>
          <w:rFonts w:ascii="LM Roman 12" w:hAnsi="LM Roman 12"/>
          <w:sz w:val="24"/>
          <w:szCs w:val="24"/>
        </w:rPr>
        <w:t xml:space="preserve">in terms of </w:t>
      </w:r>
      <w:r w:rsidR="00216478">
        <w:rPr>
          <w:rFonts w:ascii="LM Roman 12" w:hAnsi="LM Roman 12"/>
          <w:i/>
          <w:sz w:val="24"/>
          <w:szCs w:val="24"/>
        </w:rPr>
        <w:t xml:space="preserve">oil income per </w:t>
      </w:r>
      <w:r w:rsidR="00216478" w:rsidRPr="00216478">
        <w:rPr>
          <w:rFonts w:ascii="LM Roman 12" w:hAnsi="LM Roman 12"/>
          <w:i/>
          <w:sz w:val="24"/>
          <w:szCs w:val="24"/>
        </w:rPr>
        <w:t>capita</w:t>
      </w:r>
      <w:r w:rsidR="00216478">
        <w:rPr>
          <w:rFonts w:ascii="LM Roman 12" w:hAnsi="LM Roman 12"/>
          <w:sz w:val="24"/>
          <w:szCs w:val="24"/>
        </w:rPr>
        <w:t xml:space="preserve"> in the prior specification</w:t>
      </w:r>
      <w:r>
        <w:rPr>
          <w:rFonts w:ascii="LM Roman 12" w:hAnsi="LM Roman 12"/>
          <w:sz w:val="24"/>
          <w:szCs w:val="24"/>
        </w:rPr>
        <w:t>.</w:t>
      </w:r>
      <w:r w:rsidR="003923A8">
        <w:rPr>
          <w:rStyle w:val="FootnoteReference"/>
          <w:rFonts w:ascii="LM Roman 12" w:hAnsi="LM Roman 12"/>
          <w:sz w:val="24"/>
          <w:szCs w:val="24"/>
        </w:rPr>
        <w:footnoteReference w:id="4"/>
      </w:r>
      <w:r>
        <w:rPr>
          <w:rFonts w:ascii="LM Roman 12" w:hAnsi="LM Roman 12"/>
          <w:sz w:val="24"/>
          <w:szCs w:val="24"/>
        </w:rPr>
        <w:t xml:space="preserve"> </w:t>
      </w:r>
    </w:p>
    <w:p w14:paraId="4AFB7002" w14:textId="77777777" w:rsidR="000E0030" w:rsidRDefault="000E0030" w:rsidP="000E0030">
      <w:pPr>
        <w:spacing w:after="120" w:line="360" w:lineRule="auto"/>
        <w:ind w:firstLine="720"/>
        <w:contextualSpacing/>
        <w:jc w:val="both"/>
        <w:rPr>
          <w:rFonts w:ascii="LM Roman 12" w:hAnsi="LM Roman 12"/>
          <w:sz w:val="24"/>
          <w:szCs w:val="24"/>
        </w:rPr>
      </w:pPr>
    </w:p>
    <w:p w14:paraId="6B864086" w14:textId="77777777" w:rsidR="004B65D1" w:rsidRDefault="004B65D1" w:rsidP="000E0030">
      <w:pPr>
        <w:spacing w:after="120" w:line="360" w:lineRule="auto"/>
        <w:contextualSpacing/>
        <w:jc w:val="both"/>
        <w:rPr>
          <w:rFonts w:ascii="LM Roman 12" w:hAnsi="LM Roman 12"/>
          <w:sz w:val="24"/>
          <w:szCs w:val="24"/>
        </w:rPr>
        <w:sectPr w:rsidR="004B65D1">
          <w:footerReference w:type="default" r:id="rId9"/>
          <w:pgSz w:w="12240" w:h="15840"/>
          <w:pgMar w:top="1440" w:right="1440" w:bottom="1440" w:left="1440" w:header="720" w:footer="720" w:gutter="0"/>
          <w:cols w:space="720"/>
          <w:docGrid w:linePitch="360"/>
        </w:sectPr>
      </w:pPr>
    </w:p>
    <w:p w14:paraId="7C6DBB49" w14:textId="74549287" w:rsidR="00DF1440" w:rsidRDefault="00ED03D7" w:rsidP="000E0030">
      <w:pPr>
        <w:spacing w:after="120" w:line="360" w:lineRule="auto"/>
        <w:contextualSpacing/>
        <w:jc w:val="both"/>
        <w:rPr>
          <w:rFonts w:ascii="LM Roman 12" w:hAnsi="LM Roman 12"/>
          <w:sz w:val="24"/>
          <w:szCs w:val="24"/>
        </w:rPr>
      </w:pPr>
      <w:r>
        <w:rPr>
          <w:rFonts w:ascii="LM Roman 12" w:hAnsi="LM Roman 12"/>
          <w:sz w:val="24"/>
          <w:szCs w:val="24"/>
        </w:rPr>
        <w:lastRenderedPageBreak/>
        <w:t>T</w:t>
      </w:r>
      <w:r w:rsidR="003538DC" w:rsidRPr="0052035A">
        <w:rPr>
          <w:rFonts w:ascii="LM Roman 12" w:hAnsi="LM Roman 12"/>
          <w:sz w:val="24"/>
          <w:szCs w:val="24"/>
        </w:rPr>
        <w:t xml:space="preserve">able 1: </w:t>
      </w:r>
      <w:r w:rsidR="000F4C50">
        <w:rPr>
          <w:rFonts w:ascii="LM Roman 12" w:hAnsi="LM Roman 12"/>
          <w:sz w:val="24"/>
          <w:szCs w:val="24"/>
        </w:rPr>
        <w:t>Two-Way Fixed Effect Regression</w:t>
      </w:r>
      <w:r w:rsidR="003538DC" w:rsidRPr="0052035A">
        <w:rPr>
          <w:rFonts w:ascii="LM Roman 12" w:hAnsi="LM Roman 12"/>
          <w:sz w:val="24"/>
          <w:szCs w:val="24"/>
        </w:rPr>
        <w:t xml:space="preserve"> Results</w:t>
      </w:r>
      <w:r w:rsidR="00A9093A">
        <w:rPr>
          <w:rFonts w:ascii="LM Roman 12" w:hAnsi="LM Roman 12"/>
          <w:sz w:val="24"/>
          <w:szCs w:val="24"/>
        </w:rPr>
        <w:t>, 1991-2010</w:t>
      </w:r>
    </w:p>
    <w:tbl>
      <w:tblPr>
        <w:tblW w:w="9210" w:type="dxa"/>
        <w:tblInd w:w="-30" w:type="dxa"/>
        <w:tblLayout w:type="fixed"/>
        <w:tblLook w:val="0000" w:firstRow="0" w:lastRow="0" w:firstColumn="0" w:lastColumn="0" w:noHBand="0" w:noVBand="0"/>
      </w:tblPr>
      <w:tblGrid>
        <w:gridCol w:w="3360"/>
        <w:gridCol w:w="1440"/>
        <w:gridCol w:w="1440"/>
        <w:gridCol w:w="1440"/>
        <w:gridCol w:w="1530"/>
      </w:tblGrid>
      <w:tr w:rsidR="00A9093A" w:rsidRPr="00A9093A" w14:paraId="679208DF" w14:textId="77777777" w:rsidTr="00A9093A">
        <w:trPr>
          <w:trHeight w:val="305"/>
        </w:trPr>
        <w:tc>
          <w:tcPr>
            <w:tcW w:w="3360" w:type="dxa"/>
            <w:tcBorders>
              <w:top w:val="nil"/>
              <w:left w:val="nil"/>
              <w:bottom w:val="nil"/>
              <w:right w:val="nil"/>
            </w:tcBorders>
          </w:tcPr>
          <w:p w14:paraId="0FA9B436" w14:textId="77777777" w:rsidR="00A9093A" w:rsidRPr="00A9093A" w:rsidRDefault="00A9093A">
            <w:pPr>
              <w:autoSpaceDE w:val="0"/>
              <w:autoSpaceDN w:val="0"/>
              <w:adjustRightInd w:val="0"/>
              <w:spacing w:after="0" w:line="240" w:lineRule="auto"/>
              <w:jc w:val="right"/>
              <w:rPr>
                <w:rFonts w:ascii="LM Roman 12" w:hAnsi="LM Roman 12" w:cs="Garamond"/>
                <w:color w:val="000000"/>
                <w:sz w:val="24"/>
                <w:szCs w:val="24"/>
              </w:rPr>
            </w:pPr>
          </w:p>
        </w:tc>
        <w:tc>
          <w:tcPr>
            <w:tcW w:w="1440" w:type="dxa"/>
            <w:tcBorders>
              <w:top w:val="nil"/>
              <w:left w:val="nil"/>
              <w:bottom w:val="nil"/>
              <w:right w:val="nil"/>
            </w:tcBorders>
          </w:tcPr>
          <w:p w14:paraId="7C7336F5"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(1)</w:t>
            </w:r>
          </w:p>
        </w:tc>
        <w:tc>
          <w:tcPr>
            <w:tcW w:w="1440" w:type="dxa"/>
            <w:tcBorders>
              <w:top w:val="nil"/>
              <w:left w:val="nil"/>
              <w:bottom w:val="nil"/>
              <w:right w:val="nil"/>
            </w:tcBorders>
          </w:tcPr>
          <w:p w14:paraId="6B104FCF"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(2)</w:t>
            </w:r>
          </w:p>
        </w:tc>
        <w:tc>
          <w:tcPr>
            <w:tcW w:w="1440" w:type="dxa"/>
            <w:tcBorders>
              <w:top w:val="nil"/>
              <w:left w:val="nil"/>
              <w:bottom w:val="nil"/>
              <w:right w:val="nil"/>
            </w:tcBorders>
          </w:tcPr>
          <w:p w14:paraId="6BD2AD4F"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(3)</w:t>
            </w:r>
          </w:p>
        </w:tc>
        <w:tc>
          <w:tcPr>
            <w:tcW w:w="1530" w:type="dxa"/>
            <w:tcBorders>
              <w:top w:val="nil"/>
              <w:left w:val="nil"/>
              <w:bottom w:val="nil"/>
              <w:right w:val="nil"/>
            </w:tcBorders>
          </w:tcPr>
          <w:p w14:paraId="0C4FAC4F"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(4)</w:t>
            </w:r>
          </w:p>
        </w:tc>
      </w:tr>
      <w:tr w:rsidR="00A9093A" w:rsidRPr="00A9093A" w14:paraId="4E66385A" w14:textId="77777777" w:rsidTr="00A9093A">
        <w:trPr>
          <w:trHeight w:val="624"/>
        </w:trPr>
        <w:tc>
          <w:tcPr>
            <w:tcW w:w="3360" w:type="dxa"/>
            <w:tcBorders>
              <w:top w:val="nil"/>
              <w:left w:val="nil"/>
              <w:bottom w:val="double" w:sz="6" w:space="0" w:color="auto"/>
              <w:right w:val="nil"/>
            </w:tcBorders>
          </w:tcPr>
          <w:p w14:paraId="686B395D"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p>
        </w:tc>
        <w:tc>
          <w:tcPr>
            <w:tcW w:w="1440" w:type="dxa"/>
            <w:tcBorders>
              <w:top w:val="nil"/>
              <w:left w:val="nil"/>
              <w:bottom w:val="double" w:sz="6" w:space="0" w:color="auto"/>
              <w:right w:val="nil"/>
            </w:tcBorders>
          </w:tcPr>
          <w:p w14:paraId="74848344"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Baseline</w:t>
            </w:r>
          </w:p>
        </w:tc>
        <w:tc>
          <w:tcPr>
            <w:tcW w:w="1440" w:type="dxa"/>
            <w:tcBorders>
              <w:top w:val="nil"/>
              <w:left w:val="nil"/>
              <w:bottom w:val="double" w:sz="6" w:space="0" w:color="auto"/>
              <w:right w:val="nil"/>
            </w:tcBorders>
          </w:tcPr>
          <w:p w14:paraId="1AACC9C8"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Exclude Large Producers</w:t>
            </w:r>
          </w:p>
        </w:tc>
        <w:tc>
          <w:tcPr>
            <w:tcW w:w="1440" w:type="dxa"/>
            <w:tcBorders>
              <w:top w:val="nil"/>
              <w:left w:val="nil"/>
              <w:bottom w:val="double" w:sz="6" w:space="0" w:color="auto"/>
              <w:right w:val="nil"/>
            </w:tcBorders>
          </w:tcPr>
          <w:p w14:paraId="71C5BDB8"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Additional Controls</w:t>
            </w:r>
          </w:p>
        </w:tc>
        <w:tc>
          <w:tcPr>
            <w:tcW w:w="1530" w:type="dxa"/>
            <w:tcBorders>
              <w:top w:val="nil"/>
              <w:left w:val="nil"/>
              <w:bottom w:val="double" w:sz="6" w:space="0" w:color="auto"/>
              <w:right w:val="nil"/>
            </w:tcBorders>
          </w:tcPr>
          <w:p w14:paraId="4A0C214C"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Exclude Large Producers</w:t>
            </w:r>
          </w:p>
        </w:tc>
      </w:tr>
      <w:tr w:rsidR="00A9093A" w:rsidRPr="00A9093A" w14:paraId="6EC90905" w14:textId="77777777" w:rsidTr="00A9093A">
        <w:trPr>
          <w:trHeight w:val="319"/>
        </w:trPr>
        <w:tc>
          <w:tcPr>
            <w:tcW w:w="3360" w:type="dxa"/>
            <w:tcBorders>
              <w:top w:val="nil"/>
              <w:left w:val="nil"/>
              <w:bottom w:val="nil"/>
              <w:right w:val="nil"/>
            </w:tcBorders>
          </w:tcPr>
          <w:p w14:paraId="428CA312"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r w:rsidRPr="00A9093A">
              <w:rPr>
                <w:rFonts w:ascii="LM Roman 12" w:hAnsi="LM Roman 12" w:cs="Garamond"/>
                <w:color w:val="000000"/>
                <w:sz w:val="24"/>
                <w:szCs w:val="24"/>
              </w:rPr>
              <w:t>Oil income per capita (log)</w:t>
            </w:r>
          </w:p>
        </w:tc>
        <w:tc>
          <w:tcPr>
            <w:tcW w:w="1440" w:type="dxa"/>
            <w:tcBorders>
              <w:top w:val="nil"/>
              <w:left w:val="nil"/>
              <w:bottom w:val="nil"/>
              <w:right w:val="nil"/>
            </w:tcBorders>
          </w:tcPr>
          <w:p w14:paraId="2858C33B"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0.038*</w:t>
            </w:r>
          </w:p>
        </w:tc>
        <w:tc>
          <w:tcPr>
            <w:tcW w:w="1440" w:type="dxa"/>
            <w:tcBorders>
              <w:top w:val="nil"/>
              <w:left w:val="nil"/>
              <w:bottom w:val="nil"/>
              <w:right w:val="nil"/>
            </w:tcBorders>
          </w:tcPr>
          <w:p w14:paraId="7046722B"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0.037*</w:t>
            </w:r>
          </w:p>
        </w:tc>
        <w:tc>
          <w:tcPr>
            <w:tcW w:w="1440" w:type="dxa"/>
            <w:tcBorders>
              <w:top w:val="nil"/>
              <w:left w:val="nil"/>
              <w:bottom w:val="nil"/>
              <w:right w:val="nil"/>
            </w:tcBorders>
          </w:tcPr>
          <w:p w14:paraId="5996BD40"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0.069**</w:t>
            </w:r>
          </w:p>
        </w:tc>
        <w:tc>
          <w:tcPr>
            <w:tcW w:w="1530" w:type="dxa"/>
            <w:tcBorders>
              <w:top w:val="nil"/>
              <w:left w:val="nil"/>
              <w:bottom w:val="nil"/>
              <w:right w:val="nil"/>
            </w:tcBorders>
          </w:tcPr>
          <w:p w14:paraId="06E7342B"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0.071**</w:t>
            </w:r>
          </w:p>
        </w:tc>
      </w:tr>
      <w:tr w:rsidR="00A9093A" w:rsidRPr="00A9093A" w14:paraId="066252E8" w14:textId="77777777" w:rsidTr="00A9093A">
        <w:trPr>
          <w:trHeight w:val="305"/>
        </w:trPr>
        <w:tc>
          <w:tcPr>
            <w:tcW w:w="3360" w:type="dxa"/>
            <w:tcBorders>
              <w:top w:val="nil"/>
              <w:left w:val="nil"/>
              <w:bottom w:val="nil"/>
              <w:right w:val="nil"/>
            </w:tcBorders>
          </w:tcPr>
          <w:p w14:paraId="316BF5E2"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p>
        </w:tc>
        <w:tc>
          <w:tcPr>
            <w:tcW w:w="1440" w:type="dxa"/>
            <w:tcBorders>
              <w:top w:val="nil"/>
              <w:left w:val="nil"/>
              <w:bottom w:val="nil"/>
              <w:right w:val="nil"/>
            </w:tcBorders>
          </w:tcPr>
          <w:p w14:paraId="15C4BCB1"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(0.022)</w:t>
            </w:r>
          </w:p>
        </w:tc>
        <w:tc>
          <w:tcPr>
            <w:tcW w:w="1440" w:type="dxa"/>
            <w:tcBorders>
              <w:top w:val="nil"/>
              <w:left w:val="nil"/>
              <w:bottom w:val="nil"/>
              <w:right w:val="nil"/>
            </w:tcBorders>
          </w:tcPr>
          <w:p w14:paraId="378780C2"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(0.021)</w:t>
            </w:r>
          </w:p>
        </w:tc>
        <w:tc>
          <w:tcPr>
            <w:tcW w:w="1440" w:type="dxa"/>
            <w:tcBorders>
              <w:top w:val="nil"/>
              <w:left w:val="nil"/>
              <w:bottom w:val="nil"/>
              <w:right w:val="nil"/>
            </w:tcBorders>
          </w:tcPr>
          <w:p w14:paraId="64635DA1"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(0.027)</w:t>
            </w:r>
          </w:p>
        </w:tc>
        <w:tc>
          <w:tcPr>
            <w:tcW w:w="1530" w:type="dxa"/>
            <w:tcBorders>
              <w:top w:val="nil"/>
              <w:left w:val="nil"/>
              <w:bottom w:val="nil"/>
              <w:right w:val="nil"/>
            </w:tcBorders>
          </w:tcPr>
          <w:p w14:paraId="530BCA72"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(0.028)</w:t>
            </w:r>
          </w:p>
        </w:tc>
      </w:tr>
      <w:tr w:rsidR="00A9093A" w:rsidRPr="00A9093A" w14:paraId="43FF4AFE" w14:textId="77777777" w:rsidTr="00A9093A">
        <w:trPr>
          <w:trHeight w:val="305"/>
        </w:trPr>
        <w:tc>
          <w:tcPr>
            <w:tcW w:w="3360" w:type="dxa"/>
            <w:tcBorders>
              <w:top w:val="nil"/>
              <w:left w:val="nil"/>
              <w:bottom w:val="nil"/>
              <w:right w:val="nil"/>
            </w:tcBorders>
          </w:tcPr>
          <w:p w14:paraId="05133972"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r w:rsidRPr="00A9093A">
              <w:rPr>
                <w:rFonts w:ascii="LM Roman 12" w:hAnsi="LM Roman 12" w:cs="Garamond"/>
                <w:color w:val="000000"/>
                <w:sz w:val="24"/>
                <w:szCs w:val="24"/>
              </w:rPr>
              <w:t>Income per capita (log)</w:t>
            </w:r>
          </w:p>
        </w:tc>
        <w:tc>
          <w:tcPr>
            <w:tcW w:w="1440" w:type="dxa"/>
            <w:tcBorders>
              <w:top w:val="nil"/>
              <w:left w:val="nil"/>
              <w:bottom w:val="nil"/>
              <w:right w:val="nil"/>
            </w:tcBorders>
          </w:tcPr>
          <w:p w14:paraId="4D8F6F81"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-0.184</w:t>
            </w:r>
          </w:p>
        </w:tc>
        <w:tc>
          <w:tcPr>
            <w:tcW w:w="1440" w:type="dxa"/>
            <w:tcBorders>
              <w:top w:val="nil"/>
              <w:left w:val="nil"/>
              <w:bottom w:val="nil"/>
              <w:right w:val="nil"/>
            </w:tcBorders>
          </w:tcPr>
          <w:p w14:paraId="12B57E55"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-0.067</w:t>
            </w:r>
          </w:p>
        </w:tc>
        <w:tc>
          <w:tcPr>
            <w:tcW w:w="1440" w:type="dxa"/>
            <w:tcBorders>
              <w:top w:val="nil"/>
              <w:left w:val="nil"/>
              <w:bottom w:val="nil"/>
              <w:right w:val="nil"/>
            </w:tcBorders>
          </w:tcPr>
          <w:p w14:paraId="57BC4DE2"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-0.313</w:t>
            </w:r>
          </w:p>
        </w:tc>
        <w:tc>
          <w:tcPr>
            <w:tcW w:w="1530" w:type="dxa"/>
            <w:tcBorders>
              <w:top w:val="nil"/>
              <w:left w:val="nil"/>
              <w:bottom w:val="nil"/>
              <w:right w:val="nil"/>
            </w:tcBorders>
          </w:tcPr>
          <w:p w14:paraId="6E04AA1F"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-0.253</w:t>
            </w:r>
          </w:p>
        </w:tc>
      </w:tr>
      <w:tr w:rsidR="00A9093A" w:rsidRPr="00A9093A" w14:paraId="7E40DB13" w14:textId="77777777" w:rsidTr="00A9093A">
        <w:trPr>
          <w:trHeight w:val="305"/>
        </w:trPr>
        <w:tc>
          <w:tcPr>
            <w:tcW w:w="3360" w:type="dxa"/>
            <w:tcBorders>
              <w:top w:val="nil"/>
              <w:left w:val="nil"/>
              <w:bottom w:val="nil"/>
              <w:right w:val="nil"/>
            </w:tcBorders>
          </w:tcPr>
          <w:p w14:paraId="33ECC31F"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p>
        </w:tc>
        <w:tc>
          <w:tcPr>
            <w:tcW w:w="1440" w:type="dxa"/>
            <w:tcBorders>
              <w:top w:val="nil"/>
              <w:left w:val="nil"/>
              <w:bottom w:val="nil"/>
              <w:right w:val="nil"/>
            </w:tcBorders>
          </w:tcPr>
          <w:p w14:paraId="1D0655BB"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(0.241)</w:t>
            </w:r>
          </w:p>
        </w:tc>
        <w:tc>
          <w:tcPr>
            <w:tcW w:w="1440" w:type="dxa"/>
            <w:tcBorders>
              <w:top w:val="nil"/>
              <w:left w:val="nil"/>
              <w:bottom w:val="nil"/>
              <w:right w:val="nil"/>
            </w:tcBorders>
          </w:tcPr>
          <w:p w14:paraId="171395C4"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(0.216)</w:t>
            </w:r>
          </w:p>
        </w:tc>
        <w:tc>
          <w:tcPr>
            <w:tcW w:w="1440" w:type="dxa"/>
            <w:tcBorders>
              <w:top w:val="nil"/>
              <w:left w:val="nil"/>
              <w:bottom w:val="nil"/>
              <w:right w:val="nil"/>
            </w:tcBorders>
          </w:tcPr>
          <w:p w14:paraId="656547D5"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(0.357)</w:t>
            </w:r>
          </w:p>
        </w:tc>
        <w:tc>
          <w:tcPr>
            <w:tcW w:w="1530" w:type="dxa"/>
            <w:tcBorders>
              <w:top w:val="nil"/>
              <w:left w:val="nil"/>
              <w:bottom w:val="nil"/>
              <w:right w:val="nil"/>
            </w:tcBorders>
          </w:tcPr>
          <w:p w14:paraId="7981A917"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(0.396)</w:t>
            </w:r>
          </w:p>
        </w:tc>
      </w:tr>
      <w:tr w:rsidR="00A9093A" w:rsidRPr="00A9093A" w14:paraId="50D3E9A7" w14:textId="77777777" w:rsidTr="00A9093A">
        <w:trPr>
          <w:trHeight w:val="305"/>
        </w:trPr>
        <w:tc>
          <w:tcPr>
            <w:tcW w:w="3360" w:type="dxa"/>
            <w:tcBorders>
              <w:top w:val="nil"/>
              <w:left w:val="nil"/>
              <w:bottom w:val="nil"/>
              <w:right w:val="nil"/>
            </w:tcBorders>
          </w:tcPr>
          <w:p w14:paraId="192174B2"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r w:rsidRPr="00A9093A">
              <w:rPr>
                <w:rFonts w:ascii="LM Roman 12" w:hAnsi="LM Roman 12" w:cs="Garamond"/>
                <w:color w:val="000000"/>
                <w:sz w:val="24"/>
                <w:szCs w:val="24"/>
              </w:rPr>
              <w:t>Population (in millions)</w:t>
            </w:r>
          </w:p>
        </w:tc>
        <w:tc>
          <w:tcPr>
            <w:tcW w:w="1440" w:type="dxa"/>
            <w:tcBorders>
              <w:top w:val="nil"/>
              <w:left w:val="nil"/>
              <w:bottom w:val="nil"/>
              <w:right w:val="nil"/>
            </w:tcBorders>
          </w:tcPr>
          <w:p w14:paraId="33868FD4"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-0.002</w:t>
            </w:r>
          </w:p>
        </w:tc>
        <w:tc>
          <w:tcPr>
            <w:tcW w:w="1440" w:type="dxa"/>
            <w:tcBorders>
              <w:top w:val="nil"/>
              <w:left w:val="nil"/>
              <w:bottom w:val="nil"/>
              <w:right w:val="nil"/>
            </w:tcBorders>
          </w:tcPr>
          <w:p w14:paraId="4C489693"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-0.002</w:t>
            </w:r>
          </w:p>
        </w:tc>
        <w:tc>
          <w:tcPr>
            <w:tcW w:w="1440" w:type="dxa"/>
            <w:tcBorders>
              <w:top w:val="nil"/>
              <w:left w:val="nil"/>
              <w:bottom w:val="nil"/>
              <w:right w:val="nil"/>
            </w:tcBorders>
          </w:tcPr>
          <w:p w14:paraId="17C56816"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-0.001</w:t>
            </w:r>
          </w:p>
        </w:tc>
        <w:tc>
          <w:tcPr>
            <w:tcW w:w="1530" w:type="dxa"/>
            <w:tcBorders>
              <w:top w:val="nil"/>
              <w:left w:val="nil"/>
              <w:bottom w:val="nil"/>
              <w:right w:val="nil"/>
            </w:tcBorders>
          </w:tcPr>
          <w:p w14:paraId="0B36CFF0"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-0.002</w:t>
            </w:r>
          </w:p>
        </w:tc>
      </w:tr>
      <w:tr w:rsidR="00A9093A" w:rsidRPr="00A9093A" w14:paraId="463436D7" w14:textId="77777777" w:rsidTr="00A9093A">
        <w:trPr>
          <w:trHeight w:val="305"/>
        </w:trPr>
        <w:tc>
          <w:tcPr>
            <w:tcW w:w="3360" w:type="dxa"/>
            <w:tcBorders>
              <w:top w:val="nil"/>
              <w:left w:val="nil"/>
              <w:bottom w:val="nil"/>
              <w:right w:val="nil"/>
            </w:tcBorders>
          </w:tcPr>
          <w:p w14:paraId="6CB77FBC"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p>
        </w:tc>
        <w:tc>
          <w:tcPr>
            <w:tcW w:w="1440" w:type="dxa"/>
            <w:tcBorders>
              <w:top w:val="nil"/>
              <w:left w:val="nil"/>
              <w:bottom w:val="nil"/>
              <w:right w:val="nil"/>
            </w:tcBorders>
          </w:tcPr>
          <w:p w14:paraId="56AC47DB"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(0.002)</w:t>
            </w:r>
          </w:p>
        </w:tc>
        <w:tc>
          <w:tcPr>
            <w:tcW w:w="1440" w:type="dxa"/>
            <w:tcBorders>
              <w:top w:val="nil"/>
              <w:left w:val="nil"/>
              <w:bottom w:val="nil"/>
              <w:right w:val="nil"/>
            </w:tcBorders>
          </w:tcPr>
          <w:p w14:paraId="2A4D8071"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(0.002)</w:t>
            </w:r>
          </w:p>
        </w:tc>
        <w:tc>
          <w:tcPr>
            <w:tcW w:w="1440" w:type="dxa"/>
            <w:tcBorders>
              <w:top w:val="nil"/>
              <w:left w:val="nil"/>
              <w:bottom w:val="nil"/>
              <w:right w:val="nil"/>
            </w:tcBorders>
          </w:tcPr>
          <w:p w14:paraId="7A452765"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(0.003)</w:t>
            </w:r>
          </w:p>
        </w:tc>
        <w:tc>
          <w:tcPr>
            <w:tcW w:w="1530" w:type="dxa"/>
            <w:tcBorders>
              <w:top w:val="nil"/>
              <w:left w:val="nil"/>
              <w:bottom w:val="nil"/>
              <w:right w:val="nil"/>
            </w:tcBorders>
          </w:tcPr>
          <w:p w14:paraId="4A053E4F"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(0.003)</w:t>
            </w:r>
          </w:p>
        </w:tc>
      </w:tr>
      <w:tr w:rsidR="00A9093A" w:rsidRPr="00A9093A" w14:paraId="2D445C36" w14:textId="77777777" w:rsidTr="00A9093A">
        <w:trPr>
          <w:trHeight w:val="305"/>
        </w:trPr>
        <w:tc>
          <w:tcPr>
            <w:tcW w:w="3360" w:type="dxa"/>
            <w:tcBorders>
              <w:top w:val="nil"/>
              <w:left w:val="nil"/>
              <w:bottom w:val="nil"/>
              <w:right w:val="nil"/>
            </w:tcBorders>
          </w:tcPr>
          <w:p w14:paraId="5C289D49"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r w:rsidRPr="00A9093A">
              <w:rPr>
                <w:rFonts w:ascii="LM Roman 12" w:hAnsi="LM Roman 12" w:cs="Garamond"/>
                <w:color w:val="000000"/>
                <w:sz w:val="24"/>
                <w:szCs w:val="24"/>
              </w:rPr>
              <w:t xml:space="preserve">First regime leader </w:t>
            </w:r>
          </w:p>
        </w:tc>
        <w:tc>
          <w:tcPr>
            <w:tcW w:w="1440" w:type="dxa"/>
            <w:tcBorders>
              <w:top w:val="nil"/>
              <w:left w:val="nil"/>
              <w:bottom w:val="nil"/>
              <w:right w:val="nil"/>
            </w:tcBorders>
          </w:tcPr>
          <w:p w14:paraId="1D26E8CA"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0.282</w:t>
            </w:r>
          </w:p>
        </w:tc>
        <w:tc>
          <w:tcPr>
            <w:tcW w:w="1440" w:type="dxa"/>
            <w:tcBorders>
              <w:top w:val="nil"/>
              <w:left w:val="nil"/>
              <w:bottom w:val="nil"/>
              <w:right w:val="nil"/>
            </w:tcBorders>
          </w:tcPr>
          <w:p w14:paraId="78BD5D1A"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0.278</w:t>
            </w:r>
          </w:p>
        </w:tc>
        <w:tc>
          <w:tcPr>
            <w:tcW w:w="1440" w:type="dxa"/>
            <w:tcBorders>
              <w:top w:val="nil"/>
              <w:left w:val="nil"/>
              <w:bottom w:val="nil"/>
              <w:right w:val="nil"/>
            </w:tcBorders>
          </w:tcPr>
          <w:p w14:paraId="13A9B8D7"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0.366*</w:t>
            </w:r>
          </w:p>
        </w:tc>
        <w:tc>
          <w:tcPr>
            <w:tcW w:w="1530" w:type="dxa"/>
            <w:tcBorders>
              <w:top w:val="nil"/>
              <w:left w:val="nil"/>
              <w:bottom w:val="nil"/>
              <w:right w:val="nil"/>
            </w:tcBorders>
          </w:tcPr>
          <w:p w14:paraId="7124D676"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0.423*</w:t>
            </w:r>
          </w:p>
        </w:tc>
      </w:tr>
      <w:tr w:rsidR="00A9093A" w:rsidRPr="00A9093A" w14:paraId="1609F211" w14:textId="77777777" w:rsidTr="00A9093A">
        <w:trPr>
          <w:trHeight w:val="305"/>
        </w:trPr>
        <w:tc>
          <w:tcPr>
            <w:tcW w:w="3360" w:type="dxa"/>
            <w:tcBorders>
              <w:top w:val="nil"/>
              <w:left w:val="nil"/>
              <w:bottom w:val="nil"/>
              <w:right w:val="nil"/>
            </w:tcBorders>
          </w:tcPr>
          <w:p w14:paraId="32925A76"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p>
        </w:tc>
        <w:tc>
          <w:tcPr>
            <w:tcW w:w="1440" w:type="dxa"/>
            <w:tcBorders>
              <w:top w:val="nil"/>
              <w:left w:val="nil"/>
              <w:bottom w:val="nil"/>
              <w:right w:val="nil"/>
            </w:tcBorders>
          </w:tcPr>
          <w:p w14:paraId="33A5285A"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(0.202)</w:t>
            </w:r>
          </w:p>
        </w:tc>
        <w:tc>
          <w:tcPr>
            <w:tcW w:w="1440" w:type="dxa"/>
            <w:tcBorders>
              <w:top w:val="nil"/>
              <w:left w:val="nil"/>
              <w:bottom w:val="nil"/>
              <w:right w:val="nil"/>
            </w:tcBorders>
          </w:tcPr>
          <w:p w14:paraId="6209C31C"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(0.188)</w:t>
            </w:r>
          </w:p>
        </w:tc>
        <w:tc>
          <w:tcPr>
            <w:tcW w:w="1440" w:type="dxa"/>
            <w:tcBorders>
              <w:top w:val="nil"/>
              <w:left w:val="nil"/>
              <w:bottom w:val="nil"/>
              <w:right w:val="nil"/>
            </w:tcBorders>
          </w:tcPr>
          <w:p w14:paraId="2B8EEEC7"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(0.219)</w:t>
            </w:r>
          </w:p>
        </w:tc>
        <w:tc>
          <w:tcPr>
            <w:tcW w:w="1530" w:type="dxa"/>
            <w:tcBorders>
              <w:top w:val="nil"/>
              <w:left w:val="nil"/>
              <w:bottom w:val="nil"/>
              <w:right w:val="nil"/>
            </w:tcBorders>
          </w:tcPr>
          <w:p w14:paraId="256B0776"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(0.220)</w:t>
            </w:r>
          </w:p>
        </w:tc>
      </w:tr>
      <w:tr w:rsidR="00A9093A" w:rsidRPr="00A9093A" w14:paraId="1C75FF93" w14:textId="77777777" w:rsidTr="00A9093A">
        <w:trPr>
          <w:trHeight w:val="305"/>
        </w:trPr>
        <w:tc>
          <w:tcPr>
            <w:tcW w:w="3360" w:type="dxa"/>
            <w:tcBorders>
              <w:top w:val="nil"/>
              <w:left w:val="nil"/>
              <w:bottom w:val="nil"/>
              <w:right w:val="nil"/>
            </w:tcBorders>
          </w:tcPr>
          <w:p w14:paraId="1698327F"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r w:rsidRPr="00A9093A">
              <w:rPr>
                <w:rFonts w:ascii="LM Roman 12" w:hAnsi="LM Roman 12" w:cs="Garamond"/>
                <w:color w:val="000000"/>
                <w:sz w:val="24"/>
                <w:szCs w:val="24"/>
              </w:rPr>
              <w:t>Regime leader duration (log)</w:t>
            </w:r>
          </w:p>
        </w:tc>
        <w:tc>
          <w:tcPr>
            <w:tcW w:w="1440" w:type="dxa"/>
            <w:tcBorders>
              <w:top w:val="nil"/>
              <w:left w:val="nil"/>
              <w:bottom w:val="nil"/>
              <w:right w:val="nil"/>
            </w:tcBorders>
          </w:tcPr>
          <w:p w14:paraId="67D5EE14"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0.109***</w:t>
            </w:r>
          </w:p>
        </w:tc>
        <w:tc>
          <w:tcPr>
            <w:tcW w:w="1440" w:type="dxa"/>
            <w:tcBorders>
              <w:top w:val="nil"/>
              <w:left w:val="nil"/>
              <w:bottom w:val="nil"/>
              <w:right w:val="nil"/>
            </w:tcBorders>
          </w:tcPr>
          <w:p w14:paraId="151B5B19"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0.132***</w:t>
            </w:r>
          </w:p>
        </w:tc>
        <w:tc>
          <w:tcPr>
            <w:tcW w:w="1440" w:type="dxa"/>
            <w:tcBorders>
              <w:top w:val="nil"/>
              <w:left w:val="nil"/>
              <w:bottom w:val="nil"/>
              <w:right w:val="nil"/>
            </w:tcBorders>
          </w:tcPr>
          <w:p w14:paraId="55827BCA"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0.092**</w:t>
            </w:r>
          </w:p>
        </w:tc>
        <w:tc>
          <w:tcPr>
            <w:tcW w:w="1530" w:type="dxa"/>
            <w:tcBorders>
              <w:top w:val="nil"/>
              <w:left w:val="nil"/>
              <w:bottom w:val="nil"/>
              <w:right w:val="nil"/>
            </w:tcBorders>
          </w:tcPr>
          <w:p w14:paraId="09D3C695"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0.116***</w:t>
            </w:r>
          </w:p>
        </w:tc>
      </w:tr>
      <w:tr w:rsidR="00A9093A" w:rsidRPr="00A9093A" w14:paraId="60D32912" w14:textId="77777777" w:rsidTr="00A9093A">
        <w:trPr>
          <w:trHeight w:val="305"/>
        </w:trPr>
        <w:tc>
          <w:tcPr>
            <w:tcW w:w="3360" w:type="dxa"/>
            <w:tcBorders>
              <w:top w:val="nil"/>
              <w:left w:val="nil"/>
              <w:bottom w:val="nil"/>
              <w:right w:val="nil"/>
            </w:tcBorders>
          </w:tcPr>
          <w:p w14:paraId="75DA5BC7"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p>
        </w:tc>
        <w:tc>
          <w:tcPr>
            <w:tcW w:w="1440" w:type="dxa"/>
            <w:tcBorders>
              <w:top w:val="nil"/>
              <w:left w:val="nil"/>
              <w:bottom w:val="nil"/>
              <w:right w:val="nil"/>
            </w:tcBorders>
          </w:tcPr>
          <w:p w14:paraId="54FFD608"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(0.038)</w:t>
            </w:r>
          </w:p>
        </w:tc>
        <w:tc>
          <w:tcPr>
            <w:tcW w:w="1440" w:type="dxa"/>
            <w:tcBorders>
              <w:top w:val="nil"/>
              <w:left w:val="nil"/>
              <w:bottom w:val="nil"/>
              <w:right w:val="nil"/>
            </w:tcBorders>
          </w:tcPr>
          <w:p w14:paraId="75C2CABE"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(0.040)</w:t>
            </w:r>
          </w:p>
        </w:tc>
        <w:tc>
          <w:tcPr>
            <w:tcW w:w="1440" w:type="dxa"/>
            <w:tcBorders>
              <w:top w:val="nil"/>
              <w:left w:val="nil"/>
              <w:bottom w:val="nil"/>
              <w:right w:val="nil"/>
            </w:tcBorders>
          </w:tcPr>
          <w:p w14:paraId="4CE8D30F"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(0.038)</w:t>
            </w:r>
          </w:p>
        </w:tc>
        <w:tc>
          <w:tcPr>
            <w:tcW w:w="1530" w:type="dxa"/>
            <w:tcBorders>
              <w:top w:val="nil"/>
              <w:left w:val="nil"/>
              <w:bottom w:val="nil"/>
              <w:right w:val="nil"/>
            </w:tcBorders>
          </w:tcPr>
          <w:p w14:paraId="1AF5BFFE"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(0.042)</w:t>
            </w:r>
          </w:p>
        </w:tc>
      </w:tr>
      <w:tr w:rsidR="00A9093A" w:rsidRPr="00A9093A" w14:paraId="393115C9" w14:textId="77777777" w:rsidTr="00A9093A">
        <w:trPr>
          <w:trHeight w:val="305"/>
        </w:trPr>
        <w:tc>
          <w:tcPr>
            <w:tcW w:w="3360" w:type="dxa"/>
            <w:tcBorders>
              <w:top w:val="nil"/>
              <w:left w:val="nil"/>
              <w:bottom w:val="nil"/>
              <w:right w:val="nil"/>
            </w:tcBorders>
          </w:tcPr>
          <w:p w14:paraId="1FDB816A"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r w:rsidRPr="00A9093A">
              <w:rPr>
                <w:rFonts w:ascii="LM Roman 12" w:hAnsi="LM Roman 12" w:cs="Garamond"/>
                <w:color w:val="000000"/>
                <w:sz w:val="24"/>
                <w:szCs w:val="24"/>
              </w:rPr>
              <w:t>FDI inflows (% GDP)</w:t>
            </w:r>
          </w:p>
        </w:tc>
        <w:tc>
          <w:tcPr>
            <w:tcW w:w="1440" w:type="dxa"/>
            <w:tcBorders>
              <w:top w:val="nil"/>
              <w:left w:val="nil"/>
              <w:bottom w:val="nil"/>
              <w:right w:val="nil"/>
            </w:tcBorders>
          </w:tcPr>
          <w:p w14:paraId="43008C3C"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w:t>
            </w:r>
          </w:p>
        </w:tc>
        <w:tc>
          <w:tcPr>
            <w:tcW w:w="1440" w:type="dxa"/>
            <w:tcBorders>
              <w:top w:val="nil"/>
              <w:left w:val="nil"/>
              <w:bottom w:val="nil"/>
              <w:right w:val="nil"/>
            </w:tcBorders>
          </w:tcPr>
          <w:p w14:paraId="0710B3A4"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w:t>
            </w:r>
          </w:p>
        </w:tc>
        <w:tc>
          <w:tcPr>
            <w:tcW w:w="1440" w:type="dxa"/>
            <w:tcBorders>
              <w:top w:val="nil"/>
              <w:left w:val="nil"/>
              <w:bottom w:val="nil"/>
              <w:right w:val="nil"/>
            </w:tcBorders>
          </w:tcPr>
          <w:p w14:paraId="26C845E3"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-0.000</w:t>
            </w:r>
          </w:p>
        </w:tc>
        <w:tc>
          <w:tcPr>
            <w:tcW w:w="1530" w:type="dxa"/>
            <w:tcBorders>
              <w:top w:val="nil"/>
              <w:left w:val="nil"/>
              <w:bottom w:val="nil"/>
              <w:right w:val="nil"/>
            </w:tcBorders>
          </w:tcPr>
          <w:p w14:paraId="6C2DEEDA"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-0.001</w:t>
            </w:r>
          </w:p>
        </w:tc>
      </w:tr>
      <w:tr w:rsidR="00A9093A" w:rsidRPr="00A9093A" w14:paraId="492FD345" w14:textId="77777777" w:rsidTr="00A9093A">
        <w:trPr>
          <w:trHeight w:val="305"/>
        </w:trPr>
        <w:tc>
          <w:tcPr>
            <w:tcW w:w="3360" w:type="dxa"/>
            <w:tcBorders>
              <w:top w:val="nil"/>
              <w:left w:val="nil"/>
              <w:bottom w:val="nil"/>
              <w:right w:val="nil"/>
            </w:tcBorders>
          </w:tcPr>
          <w:p w14:paraId="2B1D8BC6" w14:textId="77777777" w:rsidR="00A9093A" w:rsidRPr="00A9093A" w:rsidRDefault="00A9093A">
            <w:pPr>
              <w:autoSpaceDE w:val="0"/>
              <w:autoSpaceDN w:val="0"/>
              <w:adjustRightInd w:val="0"/>
              <w:spacing w:after="0" w:line="240" w:lineRule="auto"/>
              <w:jc w:val="right"/>
              <w:rPr>
                <w:rFonts w:ascii="LM Roman 12" w:hAnsi="LM Roman 12" w:cs="Garamond"/>
                <w:color w:val="000000"/>
                <w:sz w:val="24"/>
                <w:szCs w:val="24"/>
              </w:rPr>
            </w:pPr>
          </w:p>
        </w:tc>
        <w:tc>
          <w:tcPr>
            <w:tcW w:w="1440" w:type="dxa"/>
            <w:tcBorders>
              <w:top w:val="nil"/>
              <w:left w:val="nil"/>
              <w:bottom w:val="nil"/>
              <w:right w:val="nil"/>
            </w:tcBorders>
          </w:tcPr>
          <w:p w14:paraId="2787F6E9"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p>
        </w:tc>
        <w:tc>
          <w:tcPr>
            <w:tcW w:w="1440" w:type="dxa"/>
            <w:tcBorders>
              <w:top w:val="nil"/>
              <w:left w:val="nil"/>
              <w:bottom w:val="nil"/>
              <w:right w:val="nil"/>
            </w:tcBorders>
          </w:tcPr>
          <w:p w14:paraId="2618032A"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p>
        </w:tc>
        <w:tc>
          <w:tcPr>
            <w:tcW w:w="1440" w:type="dxa"/>
            <w:tcBorders>
              <w:top w:val="nil"/>
              <w:left w:val="nil"/>
              <w:bottom w:val="nil"/>
              <w:right w:val="nil"/>
            </w:tcBorders>
          </w:tcPr>
          <w:p w14:paraId="023E36C8"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(0.003)</w:t>
            </w:r>
          </w:p>
        </w:tc>
        <w:tc>
          <w:tcPr>
            <w:tcW w:w="1530" w:type="dxa"/>
            <w:tcBorders>
              <w:top w:val="nil"/>
              <w:left w:val="nil"/>
              <w:bottom w:val="nil"/>
              <w:right w:val="nil"/>
            </w:tcBorders>
          </w:tcPr>
          <w:p w14:paraId="27C845F0"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(0.003)</w:t>
            </w:r>
          </w:p>
        </w:tc>
      </w:tr>
      <w:tr w:rsidR="00A9093A" w:rsidRPr="00A9093A" w14:paraId="56733451" w14:textId="77777777" w:rsidTr="00A9093A">
        <w:trPr>
          <w:trHeight w:val="305"/>
        </w:trPr>
        <w:tc>
          <w:tcPr>
            <w:tcW w:w="3360" w:type="dxa"/>
            <w:tcBorders>
              <w:top w:val="nil"/>
              <w:left w:val="nil"/>
              <w:bottom w:val="nil"/>
              <w:right w:val="nil"/>
            </w:tcBorders>
          </w:tcPr>
          <w:p w14:paraId="4AC8C8B2"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r w:rsidRPr="00A9093A">
              <w:rPr>
                <w:rFonts w:ascii="LM Roman 12" w:hAnsi="LM Roman 12" w:cs="Garamond"/>
                <w:color w:val="000000"/>
                <w:sz w:val="24"/>
                <w:szCs w:val="24"/>
              </w:rPr>
              <w:t>Tax revenue (% GDP)</w:t>
            </w:r>
          </w:p>
        </w:tc>
        <w:tc>
          <w:tcPr>
            <w:tcW w:w="1440" w:type="dxa"/>
            <w:tcBorders>
              <w:top w:val="nil"/>
              <w:left w:val="nil"/>
              <w:bottom w:val="nil"/>
              <w:right w:val="nil"/>
            </w:tcBorders>
          </w:tcPr>
          <w:p w14:paraId="13C82B36"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w:t>
            </w:r>
          </w:p>
        </w:tc>
        <w:tc>
          <w:tcPr>
            <w:tcW w:w="1440" w:type="dxa"/>
            <w:tcBorders>
              <w:top w:val="nil"/>
              <w:left w:val="nil"/>
              <w:bottom w:val="nil"/>
              <w:right w:val="nil"/>
            </w:tcBorders>
          </w:tcPr>
          <w:p w14:paraId="012E623B"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w:t>
            </w:r>
          </w:p>
        </w:tc>
        <w:tc>
          <w:tcPr>
            <w:tcW w:w="1440" w:type="dxa"/>
            <w:tcBorders>
              <w:top w:val="nil"/>
              <w:left w:val="nil"/>
              <w:bottom w:val="nil"/>
              <w:right w:val="nil"/>
            </w:tcBorders>
          </w:tcPr>
          <w:p w14:paraId="6B7B19F8"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0.005</w:t>
            </w:r>
          </w:p>
        </w:tc>
        <w:tc>
          <w:tcPr>
            <w:tcW w:w="1530" w:type="dxa"/>
            <w:tcBorders>
              <w:top w:val="nil"/>
              <w:left w:val="nil"/>
              <w:bottom w:val="nil"/>
              <w:right w:val="nil"/>
            </w:tcBorders>
          </w:tcPr>
          <w:p w14:paraId="6CA02332"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0.004</w:t>
            </w:r>
          </w:p>
        </w:tc>
      </w:tr>
      <w:tr w:rsidR="00A9093A" w:rsidRPr="00A9093A" w14:paraId="67895F2B" w14:textId="77777777" w:rsidTr="00A9093A">
        <w:trPr>
          <w:trHeight w:val="305"/>
        </w:trPr>
        <w:tc>
          <w:tcPr>
            <w:tcW w:w="3360" w:type="dxa"/>
            <w:tcBorders>
              <w:top w:val="nil"/>
              <w:left w:val="nil"/>
              <w:bottom w:val="single" w:sz="6" w:space="0" w:color="auto"/>
              <w:right w:val="nil"/>
            </w:tcBorders>
          </w:tcPr>
          <w:p w14:paraId="1CAAEAB5"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p>
        </w:tc>
        <w:tc>
          <w:tcPr>
            <w:tcW w:w="1440" w:type="dxa"/>
            <w:tcBorders>
              <w:top w:val="nil"/>
              <w:left w:val="nil"/>
              <w:bottom w:val="single" w:sz="6" w:space="0" w:color="auto"/>
              <w:right w:val="nil"/>
            </w:tcBorders>
          </w:tcPr>
          <w:p w14:paraId="63FAEF14"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p>
        </w:tc>
        <w:tc>
          <w:tcPr>
            <w:tcW w:w="1440" w:type="dxa"/>
            <w:tcBorders>
              <w:top w:val="nil"/>
              <w:left w:val="nil"/>
              <w:bottom w:val="single" w:sz="6" w:space="0" w:color="auto"/>
              <w:right w:val="nil"/>
            </w:tcBorders>
          </w:tcPr>
          <w:p w14:paraId="2CB2BD7D"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p>
        </w:tc>
        <w:tc>
          <w:tcPr>
            <w:tcW w:w="1440" w:type="dxa"/>
            <w:tcBorders>
              <w:top w:val="nil"/>
              <w:left w:val="nil"/>
              <w:bottom w:val="single" w:sz="6" w:space="0" w:color="auto"/>
              <w:right w:val="nil"/>
            </w:tcBorders>
          </w:tcPr>
          <w:p w14:paraId="601C3B7A"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(0.007)</w:t>
            </w:r>
          </w:p>
        </w:tc>
        <w:tc>
          <w:tcPr>
            <w:tcW w:w="1530" w:type="dxa"/>
            <w:tcBorders>
              <w:top w:val="nil"/>
              <w:left w:val="nil"/>
              <w:bottom w:val="single" w:sz="6" w:space="0" w:color="auto"/>
              <w:right w:val="nil"/>
            </w:tcBorders>
          </w:tcPr>
          <w:p w14:paraId="362293B5"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(0.008)</w:t>
            </w:r>
          </w:p>
        </w:tc>
      </w:tr>
      <w:tr w:rsidR="00A9093A" w:rsidRPr="00A9093A" w14:paraId="1326B428" w14:textId="77777777" w:rsidTr="00A9093A">
        <w:trPr>
          <w:trHeight w:val="305"/>
        </w:trPr>
        <w:tc>
          <w:tcPr>
            <w:tcW w:w="3360" w:type="dxa"/>
            <w:tcBorders>
              <w:top w:val="nil"/>
              <w:left w:val="nil"/>
              <w:bottom w:val="nil"/>
              <w:right w:val="nil"/>
            </w:tcBorders>
          </w:tcPr>
          <w:p w14:paraId="1C14DB5A"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r w:rsidRPr="00A9093A">
              <w:rPr>
                <w:rFonts w:ascii="LM Roman 12" w:hAnsi="LM Roman 12" w:cs="Garamond"/>
                <w:color w:val="000000"/>
                <w:sz w:val="24"/>
                <w:szCs w:val="24"/>
              </w:rPr>
              <w:t>Year dummies?</w:t>
            </w:r>
          </w:p>
        </w:tc>
        <w:tc>
          <w:tcPr>
            <w:tcW w:w="1440" w:type="dxa"/>
            <w:tcBorders>
              <w:top w:val="nil"/>
              <w:left w:val="nil"/>
              <w:bottom w:val="nil"/>
              <w:right w:val="nil"/>
            </w:tcBorders>
          </w:tcPr>
          <w:p w14:paraId="672FC04B"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Yes</w:t>
            </w:r>
          </w:p>
        </w:tc>
        <w:tc>
          <w:tcPr>
            <w:tcW w:w="1440" w:type="dxa"/>
            <w:tcBorders>
              <w:top w:val="nil"/>
              <w:left w:val="nil"/>
              <w:bottom w:val="nil"/>
              <w:right w:val="nil"/>
            </w:tcBorders>
          </w:tcPr>
          <w:p w14:paraId="2DF0EAB8"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Yes</w:t>
            </w:r>
          </w:p>
        </w:tc>
        <w:tc>
          <w:tcPr>
            <w:tcW w:w="1440" w:type="dxa"/>
            <w:tcBorders>
              <w:top w:val="nil"/>
              <w:left w:val="nil"/>
              <w:bottom w:val="nil"/>
              <w:right w:val="nil"/>
            </w:tcBorders>
          </w:tcPr>
          <w:p w14:paraId="0E6956C9"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Yes</w:t>
            </w:r>
          </w:p>
        </w:tc>
        <w:tc>
          <w:tcPr>
            <w:tcW w:w="1530" w:type="dxa"/>
            <w:tcBorders>
              <w:top w:val="nil"/>
              <w:left w:val="nil"/>
              <w:bottom w:val="nil"/>
              <w:right w:val="nil"/>
            </w:tcBorders>
          </w:tcPr>
          <w:p w14:paraId="7A330A7F"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Yes</w:t>
            </w:r>
          </w:p>
        </w:tc>
      </w:tr>
      <w:tr w:rsidR="00A9093A" w:rsidRPr="00A9093A" w14:paraId="549E34CA" w14:textId="77777777" w:rsidTr="00A9093A">
        <w:trPr>
          <w:trHeight w:val="305"/>
        </w:trPr>
        <w:tc>
          <w:tcPr>
            <w:tcW w:w="3360" w:type="dxa"/>
            <w:tcBorders>
              <w:top w:val="nil"/>
              <w:left w:val="nil"/>
              <w:bottom w:val="nil"/>
              <w:right w:val="nil"/>
            </w:tcBorders>
          </w:tcPr>
          <w:p w14:paraId="4EDA2C7C"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r w:rsidRPr="00A9093A">
              <w:rPr>
                <w:rFonts w:ascii="LM Roman 12" w:hAnsi="LM Roman 12" w:cs="Garamond"/>
                <w:color w:val="000000"/>
                <w:sz w:val="24"/>
                <w:szCs w:val="24"/>
              </w:rPr>
              <w:t>Regime dummies?</w:t>
            </w:r>
          </w:p>
        </w:tc>
        <w:tc>
          <w:tcPr>
            <w:tcW w:w="1440" w:type="dxa"/>
            <w:tcBorders>
              <w:top w:val="nil"/>
              <w:left w:val="nil"/>
              <w:bottom w:val="nil"/>
              <w:right w:val="nil"/>
            </w:tcBorders>
          </w:tcPr>
          <w:p w14:paraId="22E9759A"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Yes</w:t>
            </w:r>
          </w:p>
        </w:tc>
        <w:tc>
          <w:tcPr>
            <w:tcW w:w="1440" w:type="dxa"/>
            <w:tcBorders>
              <w:top w:val="nil"/>
              <w:left w:val="nil"/>
              <w:bottom w:val="nil"/>
              <w:right w:val="nil"/>
            </w:tcBorders>
          </w:tcPr>
          <w:p w14:paraId="715165A4"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Yes</w:t>
            </w:r>
          </w:p>
        </w:tc>
        <w:tc>
          <w:tcPr>
            <w:tcW w:w="1440" w:type="dxa"/>
            <w:tcBorders>
              <w:top w:val="nil"/>
              <w:left w:val="nil"/>
              <w:bottom w:val="nil"/>
              <w:right w:val="nil"/>
            </w:tcBorders>
          </w:tcPr>
          <w:p w14:paraId="5AB53678"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Yes</w:t>
            </w:r>
          </w:p>
        </w:tc>
        <w:tc>
          <w:tcPr>
            <w:tcW w:w="1530" w:type="dxa"/>
            <w:tcBorders>
              <w:top w:val="nil"/>
              <w:left w:val="nil"/>
              <w:bottom w:val="nil"/>
              <w:right w:val="nil"/>
            </w:tcBorders>
          </w:tcPr>
          <w:p w14:paraId="74F77707"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Yes</w:t>
            </w:r>
          </w:p>
        </w:tc>
      </w:tr>
      <w:tr w:rsidR="00A9093A" w:rsidRPr="00A9093A" w14:paraId="7118D8A1" w14:textId="77777777" w:rsidTr="00A9093A">
        <w:trPr>
          <w:trHeight w:val="319"/>
        </w:trPr>
        <w:tc>
          <w:tcPr>
            <w:tcW w:w="3360" w:type="dxa"/>
            <w:tcBorders>
              <w:top w:val="nil"/>
              <w:left w:val="nil"/>
              <w:bottom w:val="double" w:sz="6" w:space="0" w:color="auto"/>
              <w:right w:val="nil"/>
            </w:tcBorders>
          </w:tcPr>
          <w:p w14:paraId="545BFCED" w14:textId="77777777" w:rsidR="00A9093A" w:rsidRPr="00A9093A" w:rsidRDefault="00A9093A">
            <w:pPr>
              <w:autoSpaceDE w:val="0"/>
              <w:autoSpaceDN w:val="0"/>
              <w:adjustRightInd w:val="0"/>
              <w:spacing w:after="0" w:line="240" w:lineRule="auto"/>
              <w:rPr>
                <w:rFonts w:ascii="LM Roman 12" w:hAnsi="LM Roman 12" w:cs="Garamond"/>
                <w:color w:val="000000"/>
                <w:sz w:val="24"/>
                <w:szCs w:val="24"/>
              </w:rPr>
            </w:pPr>
            <w:r w:rsidRPr="00A9093A">
              <w:rPr>
                <w:rFonts w:ascii="LM Roman 12" w:hAnsi="LM Roman 12" w:cs="Garamond"/>
                <w:color w:val="000000"/>
                <w:sz w:val="24"/>
                <w:szCs w:val="24"/>
              </w:rPr>
              <w:t>Regimes / Observations</w:t>
            </w:r>
          </w:p>
        </w:tc>
        <w:tc>
          <w:tcPr>
            <w:tcW w:w="1440" w:type="dxa"/>
            <w:tcBorders>
              <w:top w:val="nil"/>
              <w:left w:val="nil"/>
              <w:bottom w:val="double" w:sz="6" w:space="0" w:color="auto"/>
              <w:right w:val="nil"/>
            </w:tcBorders>
          </w:tcPr>
          <w:p w14:paraId="6802FE3D"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 xml:space="preserve"> 91 / 1031</w:t>
            </w:r>
          </w:p>
        </w:tc>
        <w:tc>
          <w:tcPr>
            <w:tcW w:w="1440" w:type="dxa"/>
            <w:tcBorders>
              <w:top w:val="nil"/>
              <w:left w:val="nil"/>
              <w:bottom w:val="double" w:sz="6" w:space="0" w:color="auto"/>
              <w:right w:val="nil"/>
            </w:tcBorders>
          </w:tcPr>
          <w:p w14:paraId="55E06AD0"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89 / 928</w:t>
            </w:r>
          </w:p>
        </w:tc>
        <w:tc>
          <w:tcPr>
            <w:tcW w:w="1440" w:type="dxa"/>
            <w:tcBorders>
              <w:top w:val="nil"/>
              <w:left w:val="nil"/>
              <w:bottom w:val="double" w:sz="6" w:space="0" w:color="auto"/>
              <w:right w:val="nil"/>
            </w:tcBorders>
          </w:tcPr>
          <w:p w14:paraId="1D6E82AF"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83 / 844</w:t>
            </w:r>
          </w:p>
        </w:tc>
        <w:tc>
          <w:tcPr>
            <w:tcW w:w="1530" w:type="dxa"/>
            <w:tcBorders>
              <w:top w:val="nil"/>
              <w:left w:val="nil"/>
              <w:bottom w:val="double" w:sz="6" w:space="0" w:color="auto"/>
              <w:right w:val="nil"/>
            </w:tcBorders>
          </w:tcPr>
          <w:p w14:paraId="3398343D" w14:textId="77777777" w:rsidR="00A9093A" w:rsidRPr="00A9093A" w:rsidRDefault="00A9093A">
            <w:pPr>
              <w:autoSpaceDE w:val="0"/>
              <w:autoSpaceDN w:val="0"/>
              <w:adjustRightInd w:val="0"/>
              <w:spacing w:after="0" w:line="240" w:lineRule="auto"/>
              <w:jc w:val="center"/>
              <w:rPr>
                <w:rFonts w:ascii="LM Roman 12" w:hAnsi="LM Roman 12" w:cs="Garamond"/>
                <w:color w:val="000000"/>
                <w:sz w:val="24"/>
                <w:szCs w:val="24"/>
              </w:rPr>
            </w:pPr>
            <w:r w:rsidRPr="00A9093A">
              <w:rPr>
                <w:rFonts w:ascii="LM Roman 12" w:hAnsi="LM Roman 12" w:cs="Garamond"/>
                <w:color w:val="000000"/>
                <w:sz w:val="24"/>
                <w:szCs w:val="24"/>
              </w:rPr>
              <w:t>81 / 760</w:t>
            </w:r>
          </w:p>
        </w:tc>
      </w:tr>
    </w:tbl>
    <w:p w14:paraId="6009EF25" w14:textId="51974792" w:rsidR="00100F29" w:rsidRPr="008158BE" w:rsidRDefault="00100F29" w:rsidP="00100F29">
      <w:pPr>
        <w:spacing w:after="0" w:line="240" w:lineRule="auto"/>
        <w:rPr>
          <w:rFonts w:ascii="LM Roman 12" w:eastAsia="Times New Roman" w:hAnsi="LM Roman 12" w:cs="Times New Roman"/>
          <w:color w:val="000000"/>
          <w:sz w:val="24"/>
          <w:szCs w:val="24"/>
        </w:rPr>
      </w:pPr>
      <w:r w:rsidRPr="008158BE">
        <w:rPr>
          <w:rFonts w:ascii="LM Roman 12" w:eastAsia="Times New Roman" w:hAnsi="LM Roman 12" w:cs="Times New Roman"/>
          <w:color w:val="000000"/>
          <w:sz w:val="24"/>
          <w:szCs w:val="24"/>
        </w:rPr>
        <w:t>Notes: Columns report two-way fixed effect regression coefficients with standard errors clustered on regimes reported in parentheses. Dependent variable is Ge</w:t>
      </w:r>
      <w:r w:rsidR="000F4C50">
        <w:rPr>
          <w:rFonts w:ascii="LM Roman 12" w:eastAsia="Times New Roman" w:hAnsi="LM Roman 12" w:cs="Times New Roman"/>
          <w:color w:val="000000"/>
          <w:sz w:val="24"/>
          <w:szCs w:val="24"/>
        </w:rPr>
        <w:t>ddes, Wright, and Frantz's (2018</w:t>
      </w:r>
      <w:r w:rsidRPr="008158BE">
        <w:rPr>
          <w:rFonts w:ascii="LM Roman 12" w:eastAsia="Times New Roman" w:hAnsi="LM Roman 12" w:cs="Times New Roman"/>
          <w:color w:val="000000"/>
          <w:sz w:val="24"/>
          <w:szCs w:val="24"/>
        </w:rPr>
        <w:t>) latent measure of personalism. Regressions include a constant, which is not reported to save space. *** p&lt;0.01, ** p&lt;0.05, * p&lt;0.1</w:t>
      </w:r>
      <w:r w:rsidR="005D63ED">
        <w:rPr>
          <w:rFonts w:ascii="LM Roman 12" w:eastAsia="Times New Roman" w:hAnsi="LM Roman 12" w:cs="Times New Roman"/>
          <w:color w:val="000000"/>
          <w:sz w:val="24"/>
          <w:szCs w:val="24"/>
        </w:rPr>
        <w:t>.</w:t>
      </w:r>
    </w:p>
    <w:p w14:paraId="78285559" w14:textId="77777777" w:rsidR="00100F29" w:rsidRPr="008158BE" w:rsidRDefault="00100F29" w:rsidP="00100F29">
      <w:pPr>
        <w:rPr>
          <w:rFonts w:ascii="LM Roman 12" w:hAnsi="LM Roman 12"/>
          <w:sz w:val="24"/>
          <w:szCs w:val="24"/>
        </w:rPr>
      </w:pPr>
    </w:p>
    <w:p w14:paraId="20545AAB" w14:textId="59CAE178" w:rsidR="00530A1B" w:rsidRDefault="00DF6F87" w:rsidP="00530A1B">
      <w:pPr>
        <w:spacing w:after="120" w:line="360" w:lineRule="auto"/>
        <w:ind w:firstLine="720"/>
        <w:contextualSpacing/>
        <w:jc w:val="both"/>
        <w:rPr>
          <w:rFonts w:ascii="LM Roman 12" w:eastAsia="Times New Roman" w:hAnsi="LM Roman 12" w:cs="Times New Roman"/>
          <w:color w:val="000000"/>
          <w:sz w:val="24"/>
          <w:szCs w:val="24"/>
        </w:rPr>
      </w:pPr>
      <w:r>
        <w:rPr>
          <w:rFonts w:ascii="LM Roman 12" w:eastAsia="Times New Roman" w:hAnsi="LM Roman 12" w:cs="Times New Roman"/>
          <w:color w:val="000000"/>
          <w:sz w:val="24"/>
          <w:szCs w:val="24"/>
        </w:rPr>
        <w:t xml:space="preserve">Across all four models, the </w:t>
      </w:r>
      <w:r w:rsidR="00530A1B">
        <w:rPr>
          <w:rFonts w:ascii="LM Roman 12" w:eastAsia="Times New Roman" w:hAnsi="LM Roman 12" w:cs="Times New Roman"/>
          <w:color w:val="000000"/>
          <w:sz w:val="24"/>
          <w:szCs w:val="24"/>
        </w:rPr>
        <w:t>reported</w:t>
      </w:r>
      <w:r>
        <w:rPr>
          <w:rFonts w:ascii="LM Roman 12" w:eastAsia="Times New Roman" w:hAnsi="LM Roman 12" w:cs="Times New Roman"/>
          <w:color w:val="000000"/>
          <w:sz w:val="24"/>
          <w:szCs w:val="24"/>
        </w:rPr>
        <w:t xml:space="preserve"> coefficient for </w:t>
      </w:r>
      <w:r>
        <w:rPr>
          <w:rFonts w:ascii="LM Roman 12" w:eastAsia="Times New Roman" w:hAnsi="LM Roman 12" w:cs="Times New Roman"/>
          <w:i/>
          <w:color w:val="000000"/>
          <w:sz w:val="24"/>
          <w:szCs w:val="24"/>
        </w:rPr>
        <w:t xml:space="preserve">oil income per </w:t>
      </w:r>
      <w:r w:rsidRPr="00DF6F87">
        <w:rPr>
          <w:rFonts w:ascii="LM Roman 12" w:eastAsia="Times New Roman" w:hAnsi="LM Roman 12" w:cs="Times New Roman"/>
          <w:color w:val="000000"/>
          <w:sz w:val="24"/>
          <w:szCs w:val="24"/>
        </w:rPr>
        <w:t>capita</w:t>
      </w:r>
      <w:r>
        <w:rPr>
          <w:rFonts w:ascii="LM Roman 12" w:eastAsia="Times New Roman" w:hAnsi="LM Roman 12" w:cs="Times New Roman"/>
          <w:color w:val="000000"/>
          <w:sz w:val="24"/>
          <w:szCs w:val="24"/>
        </w:rPr>
        <w:t xml:space="preserve"> is positive and statistically significant; an increase in oil wealth </w:t>
      </w:r>
      <w:r w:rsidR="00530A1B">
        <w:rPr>
          <w:rFonts w:ascii="LM Roman 12" w:eastAsia="Times New Roman" w:hAnsi="LM Roman 12" w:cs="Times New Roman"/>
          <w:color w:val="000000"/>
          <w:sz w:val="24"/>
          <w:szCs w:val="24"/>
        </w:rPr>
        <w:t xml:space="preserve">is associated with more personalized autocratic regimes. As I demonstrate below, the impact is relatively large in substantive terms. This result holds even when controlling for factors that may encourage leaders to extract more oil income (state capacity, measured as the tax revenue share of GDP) or enable them to do so (financial openness, measured as FDI inflows as a share of GDP), both in the full sample and while excluding large producers. Longer serving leaders and new </w:t>
      </w:r>
      <w:r w:rsidR="00530A1B">
        <w:rPr>
          <w:rFonts w:ascii="LM Roman 12" w:eastAsia="Times New Roman" w:hAnsi="LM Roman 12" w:cs="Times New Roman"/>
          <w:color w:val="000000"/>
          <w:sz w:val="24"/>
          <w:szCs w:val="24"/>
        </w:rPr>
        <w:lastRenderedPageBreak/>
        <w:t xml:space="preserve">leaders are associated with increases in personalism as well, though the impact of the later is only statistically significant in the models including additional control variables. </w:t>
      </w:r>
      <w:r w:rsidR="00530A1B" w:rsidRPr="00B94251">
        <w:rPr>
          <w:rFonts w:ascii="LM Roman 12" w:hAnsi="LM Roman 12"/>
          <w:sz w:val="24"/>
          <w:szCs w:val="24"/>
        </w:rPr>
        <w:t xml:space="preserve">These results are </w:t>
      </w:r>
      <w:r w:rsidR="00530A1B">
        <w:rPr>
          <w:rFonts w:ascii="LM Roman 12" w:hAnsi="LM Roman 12"/>
          <w:sz w:val="24"/>
          <w:szCs w:val="24"/>
        </w:rPr>
        <w:t xml:space="preserve">also </w:t>
      </w:r>
      <w:r w:rsidR="00530A1B" w:rsidRPr="00B94251">
        <w:rPr>
          <w:rFonts w:ascii="LM Roman 12" w:hAnsi="LM Roman 12"/>
          <w:sz w:val="24"/>
          <w:szCs w:val="24"/>
        </w:rPr>
        <w:t xml:space="preserve">robust to modeling the uncertainty in the latent dependent variable following Schnakenberg and Fariss’ </w:t>
      </w:r>
      <w:r w:rsidR="00530A1B">
        <w:rPr>
          <w:rFonts w:ascii="LM Roman 12" w:hAnsi="LM Roman 12"/>
          <w:sz w:val="24"/>
          <w:szCs w:val="24"/>
        </w:rPr>
        <w:t xml:space="preserve">approach </w:t>
      </w:r>
      <w:r w:rsidR="00530A1B" w:rsidRPr="00B94251">
        <w:rPr>
          <w:rFonts w:ascii="LM Roman 12" w:hAnsi="LM Roman 12"/>
          <w:sz w:val="24"/>
          <w:szCs w:val="24"/>
        </w:rPr>
        <w:t xml:space="preserve">(2014; see also Crabtree and Fariss 2015) </w:t>
      </w:r>
      <w:r w:rsidR="00530A1B">
        <w:rPr>
          <w:rFonts w:ascii="LM Roman 12" w:hAnsi="LM Roman 12"/>
          <w:sz w:val="24"/>
          <w:szCs w:val="24"/>
        </w:rPr>
        <w:t>and to clustering on countries or individual leaders</w:t>
      </w:r>
      <w:r w:rsidR="00530A1B" w:rsidRPr="00B94251">
        <w:rPr>
          <w:rFonts w:ascii="LM Roman 12" w:hAnsi="LM Roman 12"/>
          <w:sz w:val="24"/>
          <w:szCs w:val="24"/>
        </w:rPr>
        <w:t>.</w:t>
      </w:r>
      <w:r w:rsidR="00530A1B" w:rsidRPr="00B94251">
        <w:rPr>
          <w:rStyle w:val="FootnoteReference"/>
          <w:rFonts w:ascii="LM Roman 12" w:eastAsia="Times New Roman" w:hAnsi="LM Roman 12" w:cs="Times New Roman"/>
          <w:color w:val="000000"/>
          <w:sz w:val="24"/>
          <w:szCs w:val="24"/>
        </w:rPr>
        <w:footnoteReference w:id="5"/>
      </w:r>
      <w:r w:rsidR="00530A1B" w:rsidRPr="00B94251">
        <w:rPr>
          <w:rFonts w:ascii="LM Roman 12" w:hAnsi="LM Roman 12"/>
          <w:sz w:val="24"/>
          <w:szCs w:val="24"/>
        </w:rPr>
        <w:t xml:space="preserve"> </w:t>
      </w:r>
    </w:p>
    <w:p w14:paraId="1E67EFBC" w14:textId="1639CBBC" w:rsidR="008668C3" w:rsidRPr="00CB18CF" w:rsidRDefault="00336726" w:rsidP="00100F29">
      <w:pPr>
        <w:spacing w:before="240" w:after="120" w:line="360" w:lineRule="auto"/>
        <w:ind w:firstLine="720"/>
        <w:contextualSpacing/>
        <w:jc w:val="both"/>
        <w:rPr>
          <w:rFonts w:ascii="LM Roman 12" w:eastAsia="Times New Roman" w:hAnsi="LM Roman 12" w:cs="Times New Roman"/>
          <w:color w:val="000000"/>
          <w:sz w:val="24"/>
          <w:szCs w:val="24"/>
        </w:rPr>
      </w:pPr>
      <w:r>
        <w:rPr>
          <w:rFonts w:ascii="LM Roman 12" w:eastAsia="Times New Roman" w:hAnsi="LM Roman 12" w:cs="Times New Roman"/>
          <w:color w:val="000000"/>
          <w:sz w:val="24"/>
          <w:szCs w:val="24"/>
        </w:rPr>
        <w:t xml:space="preserve">Figure </w:t>
      </w:r>
      <w:r w:rsidR="00333BDC">
        <w:rPr>
          <w:rFonts w:ascii="LM Roman 12" w:eastAsia="Times New Roman" w:hAnsi="LM Roman 12" w:cs="Times New Roman"/>
          <w:color w:val="000000"/>
          <w:sz w:val="24"/>
          <w:szCs w:val="24"/>
        </w:rPr>
        <w:t>2</w:t>
      </w:r>
      <w:r>
        <w:rPr>
          <w:rFonts w:ascii="LM Roman 12" w:eastAsia="Times New Roman" w:hAnsi="LM Roman 12" w:cs="Times New Roman"/>
          <w:color w:val="000000"/>
          <w:sz w:val="24"/>
          <w:szCs w:val="24"/>
        </w:rPr>
        <w:t xml:space="preserve"> </w:t>
      </w:r>
      <w:r w:rsidR="00B571E4">
        <w:rPr>
          <w:rFonts w:ascii="LM Roman 12" w:eastAsia="Times New Roman" w:hAnsi="LM Roman 12" w:cs="Times New Roman"/>
          <w:color w:val="000000"/>
          <w:sz w:val="24"/>
          <w:szCs w:val="24"/>
        </w:rPr>
        <w:t>depicts the</w:t>
      </w:r>
      <w:r w:rsidR="00305FEE">
        <w:rPr>
          <w:rFonts w:ascii="LM Roman 12" w:eastAsia="Times New Roman" w:hAnsi="LM Roman 12" w:cs="Times New Roman"/>
          <w:color w:val="000000"/>
          <w:sz w:val="24"/>
          <w:szCs w:val="24"/>
        </w:rPr>
        <w:t xml:space="preserve"> marginal effects of three key</w:t>
      </w:r>
      <w:r w:rsidR="008668C3">
        <w:rPr>
          <w:rFonts w:ascii="LM Roman 12" w:eastAsia="Times New Roman" w:hAnsi="LM Roman 12" w:cs="Times New Roman"/>
          <w:color w:val="000000"/>
          <w:sz w:val="24"/>
          <w:szCs w:val="24"/>
        </w:rPr>
        <w:t xml:space="preserve"> explanatory</w:t>
      </w:r>
      <w:r w:rsidR="00305FEE">
        <w:rPr>
          <w:rFonts w:ascii="LM Roman 12" w:eastAsia="Times New Roman" w:hAnsi="LM Roman 12" w:cs="Times New Roman"/>
          <w:color w:val="000000"/>
          <w:sz w:val="24"/>
          <w:szCs w:val="24"/>
        </w:rPr>
        <w:t xml:space="preserve"> variables (</w:t>
      </w:r>
      <w:r w:rsidR="00305FEE">
        <w:rPr>
          <w:rFonts w:ascii="LM Roman 12" w:eastAsia="Times New Roman" w:hAnsi="LM Roman 12" w:cs="Times New Roman"/>
          <w:i/>
          <w:color w:val="000000"/>
          <w:sz w:val="24"/>
          <w:szCs w:val="24"/>
        </w:rPr>
        <w:t>oil income</w:t>
      </w:r>
      <w:r w:rsidR="00305FEE">
        <w:rPr>
          <w:rFonts w:ascii="LM Roman 12" w:eastAsia="Times New Roman" w:hAnsi="LM Roman 12" w:cs="Times New Roman"/>
          <w:color w:val="000000"/>
          <w:sz w:val="24"/>
          <w:szCs w:val="24"/>
        </w:rPr>
        <w:t>,</w:t>
      </w:r>
      <w:r w:rsidR="00305FEE">
        <w:rPr>
          <w:rFonts w:ascii="LM Roman 12" w:eastAsia="Times New Roman" w:hAnsi="LM Roman 12" w:cs="Times New Roman"/>
          <w:i/>
          <w:color w:val="000000"/>
          <w:sz w:val="24"/>
          <w:szCs w:val="24"/>
        </w:rPr>
        <w:t xml:space="preserve"> leader </w:t>
      </w:r>
      <w:r>
        <w:rPr>
          <w:rFonts w:ascii="LM Roman 12" w:eastAsia="Times New Roman" w:hAnsi="LM Roman 12" w:cs="Times New Roman"/>
          <w:i/>
          <w:color w:val="000000"/>
          <w:sz w:val="24"/>
          <w:szCs w:val="24"/>
        </w:rPr>
        <w:t>duration,</w:t>
      </w:r>
      <w:r w:rsidRPr="00336726">
        <w:rPr>
          <w:rFonts w:ascii="LM Roman 12" w:eastAsia="Times New Roman" w:hAnsi="LM Roman 12" w:cs="Times New Roman"/>
          <w:i/>
          <w:color w:val="000000"/>
          <w:sz w:val="24"/>
          <w:szCs w:val="24"/>
        </w:rPr>
        <w:t xml:space="preserve"> </w:t>
      </w:r>
      <w:r>
        <w:rPr>
          <w:rFonts w:ascii="LM Roman 12" w:eastAsia="Times New Roman" w:hAnsi="LM Roman 12" w:cs="Times New Roman"/>
          <w:color w:val="000000"/>
          <w:sz w:val="24"/>
          <w:szCs w:val="24"/>
        </w:rPr>
        <w:t xml:space="preserve">and </w:t>
      </w:r>
      <w:r>
        <w:rPr>
          <w:rFonts w:ascii="LM Roman 12" w:eastAsia="Times New Roman" w:hAnsi="LM Roman 12" w:cs="Times New Roman"/>
          <w:i/>
          <w:color w:val="000000"/>
          <w:sz w:val="24"/>
          <w:szCs w:val="24"/>
        </w:rPr>
        <w:t>new leader</w:t>
      </w:r>
      <w:r w:rsidR="00305FEE">
        <w:rPr>
          <w:rFonts w:ascii="LM Roman 12" w:eastAsia="Times New Roman" w:hAnsi="LM Roman 12" w:cs="Times New Roman"/>
          <w:color w:val="000000"/>
          <w:sz w:val="24"/>
          <w:szCs w:val="24"/>
        </w:rPr>
        <w:t>), expressed as the predicted change in the measure of personalism per an inter-quartile range increase in the independent varia</w:t>
      </w:r>
      <w:r w:rsidR="008668C3">
        <w:rPr>
          <w:rFonts w:ascii="LM Roman 12" w:eastAsia="Times New Roman" w:hAnsi="LM Roman 12" w:cs="Times New Roman"/>
          <w:color w:val="000000"/>
          <w:sz w:val="24"/>
          <w:szCs w:val="24"/>
        </w:rPr>
        <w:t>ble</w:t>
      </w:r>
      <w:r w:rsidR="006C2D3B">
        <w:rPr>
          <w:rFonts w:ascii="LM Roman 12" w:eastAsia="Times New Roman" w:hAnsi="LM Roman 12" w:cs="Times New Roman"/>
          <w:color w:val="000000"/>
          <w:sz w:val="24"/>
          <w:szCs w:val="24"/>
        </w:rPr>
        <w:t xml:space="preserve">, following the specifications in Models </w:t>
      </w:r>
      <w:r w:rsidR="00C84555">
        <w:rPr>
          <w:rFonts w:ascii="LM Roman 12" w:eastAsia="Times New Roman" w:hAnsi="LM Roman 12" w:cs="Times New Roman"/>
          <w:color w:val="000000"/>
          <w:sz w:val="24"/>
          <w:szCs w:val="24"/>
        </w:rPr>
        <w:t>2-4</w:t>
      </w:r>
      <w:r w:rsidR="008668C3">
        <w:rPr>
          <w:rFonts w:ascii="LM Roman 12" w:eastAsia="Times New Roman" w:hAnsi="LM Roman 12" w:cs="Times New Roman"/>
          <w:color w:val="000000"/>
          <w:sz w:val="24"/>
          <w:szCs w:val="24"/>
        </w:rPr>
        <w:t xml:space="preserve">. For each simulation, all other variables </w:t>
      </w:r>
      <w:r w:rsidR="00B94251">
        <w:rPr>
          <w:rFonts w:ascii="LM Roman 12" w:eastAsia="Times New Roman" w:hAnsi="LM Roman 12" w:cs="Times New Roman"/>
          <w:color w:val="000000"/>
          <w:sz w:val="24"/>
          <w:szCs w:val="24"/>
        </w:rPr>
        <w:t>are</w:t>
      </w:r>
      <w:r w:rsidR="008668C3">
        <w:rPr>
          <w:rFonts w:ascii="LM Roman 12" w:eastAsia="Times New Roman" w:hAnsi="LM Roman 12" w:cs="Times New Roman"/>
          <w:color w:val="000000"/>
          <w:sz w:val="24"/>
          <w:szCs w:val="24"/>
        </w:rPr>
        <w:t xml:space="preserve"> held to their mean values.</w:t>
      </w:r>
      <w:r w:rsidR="008668C3">
        <w:rPr>
          <w:rStyle w:val="FootnoteReference"/>
          <w:rFonts w:ascii="LM Roman 12" w:eastAsia="Times New Roman" w:hAnsi="LM Roman 12" w:cs="Times New Roman"/>
          <w:color w:val="000000"/>
          <w:sz w:val="24"/>
          <w:szCs w:val="24"/>
        </w:rPr>
        <w:footnoteReference w:id="6"/>
      </w:r>
      <w:r w:rsidR="008668C3">
        <w:rPr>
          <w:rFonts w:ascii="LM Roman 12" w:eastAsia="Times New Roman" w:hAnsi="LM Roman 12" w:cs="Times New Roman"/>
          <w:color w:val="000000"/>
          <w:sz w:val="24"/>
          <w:szCs w:val="24"/>
        </w:rPr>
        <w:t xml:space="preserve"> Inter-quartile range increases </w:t>
      </w:r>
      <w:r w:rsidR="00B94251">
        <w:rPr>
          <w:rFonts w:ascii="LM Roman 12" w:eastAsia="Times New Roman" w:hAnsi="LM Roman 12" w:cs="Times New Roman"/>
          <w:color w:val="000000"/>
          <w:sz w:val="24"/>
          <w:szCs w:val="24"/>
        </w:rPr>
        <w:t>are</w:t>
      </w:r>
      <w:r w:rsidR="008668C3">
        <w:rPr>
          <w:rFonts w:ascii="LM Roman 12" w:eastAsia="Times New Roman" w:hAnsi="LM Roman 12" w:cs="Times New Roman"/>
          <w:color w:val="000000"/>
          <w:sz w:val="24"/>
          <w:szCs w:val="24"/>
        </w:rPr>
        <w:t xml:space="preserve"> based on the distribution of values in </w:t>
      </w:r>
      <w:r w:rsidR="00B94251">
        <w:rPr>
          <w:rFonts w:ascii="LM Roman 12" w:eastAsia="Times New Roman" w:hAnsi="LM Roman 12" w:cs="Times New Roman"/>
          <w:color w:val="000000"/>
          <w:sz w:val="24"/>
          <w:szCs w:val="24"/>
        </w:rPr>
        <w:t>each</w:t>
      </w:r>
      <w:r w:rsidR="008668C3">
        <w:rPr>
          <w:rFonts w:ascii="LM Roman 12" w:eastAsia="Times New Roman" w:hAnsi="LM Roman 12" w:cs="Times New Roman"/>
          <w:color w:val="000000"/>
          <w:sz w:val="24"/>
          <w:szCs w:val="24"/>
        </w:rPr>
        <w:t xml:space="preserve"> estimation sample. </w:t>
      </w:r>
      <w:r w:rsidR="00C84555">
        <w:rPr>
          <w:rFonts w:ascii="LM Roman 12" w:eastAsia="Times New Roman" w:hAnsi="LM Roman 12" w:cs="Times New Roman"/>
          <w:color w:val="000000"/>
          <w:sz w:val="24"/>
          <w:szCs w:val="24"/>
        </w:rPr>
        <w:t>For Model 2</w:t>
      </w:r>
      <w:r w:rsidR="00B94251">
        <w:rPr>
          <w:rFonts w:ascii="LM Roman 12" w:eastAsia="Times New Roman" w:hAnsi="LM Roman 12" w:cs="Times New Roman"/>
          <w:color w:val="000000"/>
          <w:sz w:val="24"/>
          <w:szCs w:val="24"/>
        </w:rPr>
        <w:t xml:space="preserve">, </w:t>
      </w:r>
      <w:r w:rsidR="008668C3">
        <w:rPr>
          <w:rFonts w:ascii="LM Roman 12" w:eastAsia="Times New Roman" w:hAnsi="LM Roman 12" w:cs="Times New Roman"/>
          <w:i/>
          <w:color w:val="000000"/>
          <w:sz w:val="24"/>
          <w:szCs w:val="24"/>
        </w:rPr>
        <w:t>oil income per capita</w:t>
      </w:r>
      <w:r w:rsidR="00B94251">
        <w:rPr>
          <w:rFonts w:ascii="LM Roman 12" w:eastAsia="Times New Roman" w:hAnsi="LM Roman 12" w:cs="Times New Roman"/>
          <w:i/>
          <w:color w:val="000000"/>
          <w:sz w:val="24"/>
          <w:szCs w:val="24"/>
        </w:rPr>
        <w:t xml:space="preserve"> (logged)</w:t>
      </w:r>
      <w:r w:rsidR="00B94251">
        <w:rPr>
          <w:rFonts w:ascii="LM Roman 12" w:eastAsia="Times New Roman" w:hAnsi="LM Roman 12" w:cs="Times New Roman"/>
          <w:color w:val="000000"/>
          <w:sz w:val="24"/>
          <w:szCs w:val="24"/>
        </w:rPr>
        <w:t xml:space="preserve"> is measured as</w:t>
      </w:r>
      <w:r w:rsidR="008668C3">
        <w:rPr>
          <w:rFonts w:ascii="LM Roman 12" w:eastAsia="Times New Roman" w:hAnsi="LM Roman 12" w:cs="Times New Roman"/>
          <w:color w:val="000000"/>
          <w:sz w:val="24"/>
          <w:szCs w:val="24"/>
        </w:rPr>
        <w:t xml:space="preserve"> an increase from</w:t>
      </w:r>
      <w:r w:rsidR="00CB18CF">
        <w:rPr>
          <w:rFonts w:ascii="LM Roman 12" w:eastAsia="Times New Roman" w:hAnsi="LM Roman 12" w:cs="Times New Roman"/>
          <w:color w:val="000000"/>
          <w:sz w:val="24"/>
          <w:szCs w:val="24"/>
        </w:rPr>
        <w:t xml:space="preserve"> 0 to 6.1</w:t>
      </w:r>
      <w:r w:rsidR="006E1776">
        <w:rPr>
          <w:rFonts w:ascii="LM Roman 12" w:eastAsia="Times New Roman" w:hAnsi="LM Roman 12" w:cs="Times New Roman"/>
          <w:color w:val="000000"/>
          <w:sz w:val="24"/>
          <w:szCs w:val="24"/>
        </w:rPr>
        <w:t xml:space="preserve">, or from $0 to approximately $490 per capita, about the value of oil income in Angola in the late 1990s. </w:t>
      </w:r>
      <w:r w:rsidR="008668C3">
        <w:rPr>
          <w:rFonts w:ascii="LM Roman 12" w:eastAsia="Times New Roman" w:hAnsi="LM Roman 12" w:cs="Times New Roman"/>
          <w:color w:val="000000"/>
          <w:sz w:val="24"/>
          <w:szCs w:val="24"/>
        </w:rPr>
        <w:t xml:space="preserve">For </w:t>
      </w:r>
      <w:r w:rsidR="008668C3">
        <w:rPr>
          <w:rFonts w:ascii="LM Roman 12" w:eastAsia="Times New Roman" w:hAnsi="LM Roman 12" w:cs="Times New Roman"/>
          <w:i/>
          <w:color w:val="000000"/>
          <w:sz w:val="24"/>
          <w:szCs w:val="24"/>
        </w:rPr>
        <w:t>leader tenure</w:t>
      </w:r>
      <w:r w:rsidR="008668C3">
        <w:rPr>
          <w:rFonts w:ascii="LM Roman 12" w:eastAsia="Times New Roman" w:hAnsi="LM Roman 12" w:cs="Times New Roman"/>
          <w:color w:val="000000"/>
          <w:sz w:val="24"/>
          <w:szCs w:val="24"/>
        </w:rPr>
        <w:t xml:space="preserve">, this is an increase from </w:t>
      </w:r>
      <w:r w:rsidR="00CB18CF">
        <w:rPr>
          <w:rFonts w:ascii="LM Roman 12" w:eastAsia="Times New Roman" w:hAnsi="LM Roman 12" w:cs="Times New Roman"/>
          <w:color w:val="000000"/>
          <w:sz w:val="24"/>
          <w:szCs w:val="24"/>
        </w:rPr>
        <w:t>5 to 18 years in power</w:t>
      </w:r>
      <w:r w:rsidR="006E1776">
        <w:rPr>
          <w:rFonts w:ascii="LM Roman 12" w:eastAsia="Times New Roman" w:hAnsi="LM Roman 12" w:cs="Times New Roman"/>
          <w:color w:val="000000"/>
          <w:sz w:val="24"/>
          <w:szCs w:val="24"/>
        </w:rPr>
        <w:t>. F</w:t>
      </w:r>
      <w:r w:rsidR="00CB18CF">
        <w:rPr>
          <w:rFonts w:ascii="LM Roman 12" w:eastAsia="Times New Roman" w:hAnsi="LM Roman 12" w:cs="Times New Roman"/>
          <w:color w:val="000000"/>
          <w:sz w:val="24"/>
          <w:szCs w:val="24"/>
        </w:rPr>
        <w:t xml:space="preserve">or </w:t>
      </w:r>
      <w:r w:rsidR="008E5805">
        <w:rPr>
          <w:rFonts w:ascii="LM Roman 12" w:eastAsia="Times New Roman" w:hAnsi="LM Roman 12" w:cs="Times New Roman"/>
          <w:color w:val="000000"/>
          <w:sz w:val="24"/>
          <w:szCs w:val="24"/>
        </w:rPr>
        <w:t xml:space="preserve">the variable </w:t>
      </w:r>
      <w:r w:rsidR="00CB18CF">
        <w:rPr>
          <w:rFonts w:ascii="LM Roman 12" w:eastAsia="Times New Roman" w:hAnsi="LM Roman 12" w:cs="Times New Roman"/>
          <w:i/>
          <w:color w:val="000000"/>
          <w:sz w:val="24"/>
          <w:szCs w:val="24"/>
        </w:rPr>
        <w:t>new leader</w:t>
      </w:r>
      <w:r w:rsidR="00CB18CF">
        <w:rPr>
          <w:rFonts w:ascii="LM Roman 12" w:eastAsia="Times New Roman" w:hAnsi="LM Roman 12" w:cs="Times New Roman"/>
          <w:color w:val="000000"/>
          <w:sz w:val="24"/>
          <w:szCs w:val="24"/>
        </w:rPr>
        <w:t>, the IQR increase is from 0 to 1, or</w:t>
      </w:r>
      <w:r w:rsidR="00823015">
        <w:rPr>
          <w:rFonts w:ascii="LM Roman 12" w:eastAsia="Times New Roman" w:hAnsi="LM Roman 12" w:cs="Times New Roman"/>
          <w:color w:val="000000"/>
          <w:sz w:val="24"/>
          <w:szCs w:val="24"/>
        </w:rPr>
        <w:t xml:space="preserve"> </w:t>
      </w:r>
      <w:r w:rsidR="00B571E4">
        <w:rPr>
          <w:rFonts w:ascii="LM Roman 12" w:eastAsia="Times New Roman" w:hAnsi="LM Roman 12" w:cs="Times New Roman"/>
          <w:color w:val="000000"/>
          <w:sz w:val="24"/>
          <w:szCs w:val="24"/>
        </w:rPr>
        <w:t xml:space="preserve">simply </w:t>
      </w:r>
      <w:r w:rsidR="00823015">
        <w:rPr>
          <w:rFonts w:ascii="LM Roman 12" w:eastAsia="Times New Roman" w:hAnsi="LM Roman 12" w:cs="Times New Roman"/>
          <w:color w:val="000000"/>
          <w:sz w:val="24"/>
          <w:szCs w:val="24"/>
        </w:rPr>
        <w:t>the marginal effect of a regime’s first leader.</w:t>
      </w:r>
      <w:r w:rsidR="00A9093A">
        <w:rPr>
          <w:rFonts w:ascii="LM Roman 12" w:eastAsia="Times New Roman" w:hAnsi="LM Roman 12" w:cs="Times New Roman"/>
          <w:color w:val="000000"/>
          <w:sz w:val="24"/>
          <w:szCs w:val="24"/>
        </w:rPr>
        <w:t xml:space="preserve"> Models 3 and 4</w:t>
      </w:r>
      <w:r w:rsidR="00B94251">
        <w:rPr>
          <w:rFonts w:ascii="LM Roman 12" w:eastAsia="Times New Roman" w:hAnsi="LM Roman 12" w:cs="Times New Roman"/>
          <w:color w:val="000000"/>
          <w:sz w:val="24"/>
          <w:szCs w:val="24"/>
        </w:rPr>
        <w:t xml:space="preserve"> employ very similar IQR ranges.</w:t>
      </w:r>
    </w:p>
    <w:p w14:paraId="2C9E4A2C" w14:textId="77777777" w:rsidR="00D243CE" w:rsidRDefault="007E7978" w:rsidP="00D243CE">
      <w:pPr>
        <w:spacing w:line="240" w:lineRule="auto"/>
        <w:ind w:right="806"/>
        <w:jc w:val="both"/>
        <w:rPr>
          <w:rFonts w:ascii="LM Roman 12" w:eastAsia="Times New Roman" w:hAnsi="LM Roman 12" w:cs="Times New Roman"/>
          <w:color w:val="000000"/>
          <w:sz w:val="24"/>
          <w:szCs w:val="24"/>
        </w:rPr>
      </w:pPr>
      <w:r>
        <w:rPr>
          <w:rFonts w:ascii="LM Roman 12" w:eastAsia="Times New Roman" w:hAnsi="LM Roman 12" w:cs="Times New Roman"/>
          <w:color w:val="000000"/>
          <w:sz w:val="24"/>
          <w:szCs w:val="24"/>
        </w:rPr>
        <w:t xml:space="preserve"> </w:t>
      </w:r>
    </w:p>
    <w:p w14:paraId="325EAE3C" w14:textId="77777777" w:rsidR="00A22071" w:rsidRDefault="00A22071" w:rsidP="00D243CE">
      <w:pPr>
        <w:spacing w:line="240" w:lineRule="auto"/>
        <w:ind w:right="806"/>
        <w:jc w:val="both"/>
        <w:rPr>
          <w:rFonts w:ascii="LM Roman 12" w:eastAsia="Times New Roman" w:hAnsi="LM Roman 12" w:cs="Times New Roman"/>
          <w:color w:val="000000"/>
          <w:sz w:val="24"/>
          <w:szCs w:val="24"/>
        </w:rPr>
        <w:sectPr w:rsidR="00A22071">
          <w:pgSz w:w="12240" w:h="15840"/>
          <w:pgMar w:top="1440" w:right="1440" w:bottom="1440" w:left="1440" w:header="720" w:footer="720" w:gutter="0"/>
          <w:cols w:space="720"/>
          <w:docGrid w:linePitch="360"/>
        </w:sectPr>
      </w:pPr>
    </w:p>
    <w:p w14:paraId="13A9AE42" w14:textId="51E3FC9B" w:rsidR="00482B13" w:rsidRPr="0052035A" w:rsidRDefault="00D243CE" w:rsidP="00D243CE">
      <w:pPr>
        <w:spacing w:line="240" w:lineRule="auto"/>
        <w:ind w:right="806"/>
        <w:jc w:val="both"/>
        <w:rPr>
          <w:rFonts w:ascii="LM Roman 12" w:hAnsi="LM Roman 12"/>
          <w:sz w:val="24"/>
          <w:szCs w:val="24"/>
        </w:rPr>
      </w:pPr>
      <w:r>
        <w:rPr>
          <w:rFonts w:ascii="LM Roman 12" w:eastAsia="Times New Roman" w:hAnsi="LM Roman 12" w:cs="Times New Roman"/>
          <w:color w:val="000000"/>
          <w:sz w:val="24"/>
          <w:szCs w:val="24"/>
        </w:rPr>
        <w:lastRenderedPageBreak/>
        <w:t>F</w:t>
      </w:r>
      <w:r w:rsidR="00482B13" w:rsidRPr="0052035A">
        <w:rPr>
          <w:rFonts w:ascii="LM Roman 12" w:hAnsi="LM Roman 12"/>
          <w:sz w:val="24"/>
          <w:szCs w:val="24"/>
        </w:rPr>
        <w:t>igure 2: Estimates of Parame</w:t>
      </w:r>
      <w:r w:rsidR="00A9093A">
        <w:rPr>
          <w:rFonts w:ascii="LM Roman 12" w:hAnsi="LM Roman 12"/>
          <w:sz w:val="24"/>
          <w:szCs w:val="24"/>
        </w:rPr>
        <w:t>ters of Interest from Models 2-4</w:t>
      </w:r>
    </w:p>
    <w:p w14:paraId="6F8ED34B" w14:textId="34A29390" w:rsidR="00482B13" w:rsidRPr="0052035A" w:rsidRDefault="003B01C4" w:rsidP="00362716">
      <w:pPr>
        <w:jc w:val="both"/>
        <w:rPr>
          <w:rFonts w:ascii="LM Roman 12" w:hAnsi="LM Roman 12"/>
          <w:sz w:val="24"/>
          <w:szCs w:val="24"/>
        </w:rPr>
      </w:pPr>
      <w:r w:rsidRPr="003B01C4">
        <w:rPr>
          <w:rFonts w:ascii="LM Roman 12" w:hAnsi="LM Roman 12"/>
          <w:noProof/>
          <w:sz w:val="24"/>
          <w:szCs w:val="24"/>
        </w:rPr>
        <w:drawing>
          <wp:inline distT="0" distB="0" distL="0" distR="0" wp14:anchorId="76D1CAF4" wp14:editId="3CDC911D">
            <wp:extent cx="5969203" cy="401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191" cy="4031571"/>
                    </a:xfrm>
                    <a:prstGeom prst="rect">
                      <a:avLst/>
                    </a:prstGeom>
                    <a:noFill/>
                    <a:ln>
                      <a:noFill/>
                    </a:ln>
                  </pic:spPr>
                </pic:pic>
              </a:graphicData>
            </a:graphic>
          </wp:inline>
        </w:drawing>
      </w:r>
    </w:p>
    <w:p w14:paraId="6B560640" w14:textId="667040C9" w:rsidR="00C9312D" w:rsidRDefault="00762F92" w:rsidP="00D243CE">
      <w:pPr>
        <w:spacing w:after="120" w:line="360" w:lineRule="auto"/>
        <w:ind w:firstLine="720"/>
        <w:contextualSpacing/>
        <w:jc w:val="both"/>
        <w:rPr>
          <w:rFonts w:ascii="LM Roman 12" w:hAnsi="LM Roman 12"/>
          <w:sz w:val="24"/>
          <w:szCs w:val="24"/>
        </w:rPr>
      </w:pPr>
      <w:r>
        <w:rPr>
          <w:rFonts w:ascii="LM Roman 12" w:hAnsi="LM Roman 12"/>
          <w:sz w:val="24"/>
          <w:szCs w:val="24"/>
        </w:rPr>
        <w:t>I</w:t>
      </w:r>
      <w:r w:rsidR="00823015">
        <w:rPr>
          <w:rFonts w:ascii="LM Roman 12" w:hAnsi="LM Roman 12"/>
          <w:sz w:val="24"/>
          <w:szCs w:val="24"/>
        </w:rPr>
        <w:t xml:space="preserve">n </w:t>
      </w:r>
      <w:r w:rsidR="00976B59">
        <w:rPr>
          <w:rFonts w:ascii="LM Roman 12" w:hAnsi="LM Roman 12"/>
          <w:sz w:val="24"/>
          <w:szCs w:val="24"/>
        </w:rPr>
        <w:t>most</w:t>
      </w:r>
      <w:r w:rsidR="006C2D3B">
        <w:rPr>
          <w:rFonts w:ascii="LM Roman 12" w:hAnsi="LM Roman 12"/>
          <w:sz w:val="24"/>
          <w:szCs w:val="24"/>
        </w:rPr>
        <w:t xml:space="preserve"> specifications</w:t>
      </w:r>
      <w:r w:rsidR="00823015">
        <w:rPr>
          <w:rFonts w:ascii="LM Roman 12" w:hAnsi="LM Roman 12"/>
          <w:sz w:val="24"/>
          <w:szCs w:val="24"/>
        </w:rPr>
        <w:t xml:space="preserve">, the </w:t>
      </w:r>
      <w:r w:rsidR="006C2D3B">
        <w:rPr>
          <w:rFonts w:ascii="LM Roman 12" w:hAnsi="LM Roman 12"/>
          <w:sz w:val="24"/>
          <w:szCs w:val="24"/>
        </w:rPr>
        <w:t xml:space="preserve">impact of </w:t>
      </w:r>
      <w:r w:rsidR="00823015">
        <w:rPr>
          <w:rFonts w:ascii="LM Roman 12" w:hAnsi="LM Roman 12"/>
          <w:sz w:val="24"/>
          <w:szCs w:val="24"/>
        </w:rPr>
        <w:t xml:space="preserve">oil is on par with </w:t>
      </w:r>
      <w:r w:rsidR="00B94251">
        <w:rPr>
          <w:rFonts w:ascii="LM Roman 12" w:hAnsi="LM Roman 12"/>
          <w:sz w:val="24"/>
          <w:szCs w:val="24"/>
        </w:rPr>
        <w:t>that</w:t>
      </w:r>
      <w:r w:rsidR="00823015">
        <w:rPr>
          <w:rFonts w:ascii="LM Roman 12" w:hAnsi="LM Roman 12"/>
          <w:sz w:val="24"/>
          <w:szCs w:val="24"/>
        </w:rPr>
        <w:t xml:space="preserve"> of regime’s first leaders, and </w:t>
      </w:r>
      <w:r>
        <w:rPr>
          <w:rFonts w:ascii="LM Roman 12" w:hAnsi="LM Roman 12"/>
          <w:sz w:val="24"/>
          <w:szCs w:val="24"/>
        </w:rPr>
        <w:t>between two and three times larger than the marginal effect of</w:t>
      </w:r>
      <w:r w:rsidR="000E0030">
        <w:rPr>
          <w:rFonts w:ascii="LM Roman 12" w:hAnsi="LM Roman 12"/>
          <w:sz w:val="24"/>
          <w:szCs w:val="24"/>
        </w:rPr>
        <w:t xml:space="preserve"> </w:t>
      </w:r>
      <w:r>
        <w:rPr>
          <w:rFonts w:ascii="LM Roman 12" w:hAnsi="LM Roman 12"/>
          <w:sz w:val="24"/>
          <w:szCs w:val="24"/>
        </w:rPr>
        <w:t>increase</w:t>
      </w:r>
      <w:r w:rsidR="006C2D3B">
        <w:rPr>
          <w:rFonts w:ascii="LM Roman 12" w:hAnsi="LM Roman 12"/>
          <w:sz w:val="24"/>
          <w:szCs w:val="24"/>
        </w:rPr>
        <w:t>s</w:t>
      </w:r>
      <w:r>
        <w:rPr>
          <w:rFonts w:ascii="LM Roman 12" w:hAnsi="LM Roman 12"/>
          <w:sz w:val="24"/>
          <w:szCs w:val="24"/>
        </w:rPr>
        <w:t xml:space="preserve"> in a leader’s time in office. </w:t>
      </w:r>
      <w:r w:rsidR="00B94251">
        <w:rPr>
          <w:rFonts w:ascii="LM Roman 12" w:hAnsi="LM Roman 12"/>
          <w:sz w:val="24"/>
          <w:szCs w:val="24"/>
        </w:rPr>
        <w:t>Given the range of the</w:t>
      </w:r>
      <w:r w:rsidR="00823015">
        <w:rPr>
          <w:rFonts w:ascii="LM Roman 12" w:hAnsi="LM Roman 12"/>
          <w:sz w:val="24"/>
          <w:szCs w:val="24"/>
        </w:rPr>
        <w:t xml:space="preserve"> dependent variable</w:t>
      </w:r>
      <w:r w:rsidR="00A22071">
        <w:rPr>
          <w:rFonts w:ascii="LM Roman 12" w:hAnsi="LM Roman 12"/>
          <w:sz w:val="24"/>
          <w:szCs w:val="24"/>
        </w:rPr>
        <w:t>,</w:t>
      </w:r>
      <w:r w:rsidR="00823015">
        <w:rPr>
          <w:rFonts w:ascii="LM Roman 12" w:hAnsi="LM Roman 12"/>
          <w:sz w:val="24"/>
          <w:szCs w:val="24"/>
        </w:rPr>
        <w:t xml:space="preserve"> </w:t>
      </w:r>
      <w:r>
        <w:rPr>
          <w:rFonts w:ascii="LM Roman 12" w:hAnsi="LM Roman 12"/>
          <w:sz w:val="24"/>
          <w:szCs w:val="24"/>
        </w:rPr>
        <w:t>a</w:t>
      </w:r>
      <w:r w:rsidR="002D5C8D">
        <w:rPr>
          <w:rFonts w:ascii="LM Roman 12" w:hAnsi="LM Roman 12"/>
          <w:sz w:val="24"/>
          <w:szCs w:val="24"/>
        </w:rPr>
        <w:t xml:space="preserve"> marginal effect of </w:t>
      </w:r>
      <w:r w:rsidR="00B571E4">
        <w:rPr>
          <w:rFonts w:ascii="LM Roman 12" w:hAnsi="LM Roman 12"/>
          <w:sz w:val="24"/>
          <w:szCs w:val="24"/>
        </w:rPr>
        <w:t>0.4</w:t>
      </w:r>
      <w:r>
        <w:rPr>
          <w:rFonts w:ascii="LM Roman 12" w:hAnsi="LM Roman 12"/>
          <w:sz w:val="24"/>
          <w:szCs w:val="24"/>
        </w:rPr>
        <w:t xml:space="preserve"> for </w:t>
      </w:r>
      <w:r w:rsidR="002D5C8D">
        <w:rPr>
          <w:rFonts w:ascii="LM Roman 12" w:hAnsi="LM Roman 12"/>
          <w:i/>
          <w:sz w:val="24"/>
          <w:szCs w:val="24"/>
        </w:rPr>
        <w:t xml:space="preserve">oil </w:t>
      </w:r>
      <w:r w:rsidR="002D5C8D" w:rsidRPr="002D5C8D">
        <w:rPr>
          <w:rFonts w:ascii="LM Roman 12" w:hAnsi="LM Roman 12"/>
          <w:i/>
          <w:sz w:val="24"/>
          <w:szCs w:val="24"/>
        </w:rPr>
        <w:t>income</w:t>
      </w:r>
      <w:r w:rsidR="002D5C8D">
        <w:rPr>
          <w:rFonts w:ascii="LM Roman 12" w:hAnsi="LM Roman 12"/>
          <w:sz w:val="24"/>
          <w:szCs w:val="24"/>
        </w:rPr>
        <w:t xml:space="preserve"> </w:t>
      </w:r>
      <w:r w:rsidR="00976B59">
        <w:rPr>
          <w:rFonts w:ascii="LM Roman 12" w:hAnsi="LM Roman 12"/>
          <w:sz w:val="24"/>
          <w:szCs w:val="24"/>
        </w:rPr>
        <w:t>would</w:t>
      </w:r>
      <w:r>
        <w:rPr>
          <w:rFonts w:ascii="LM Roman 12" w:hAnsi="LM Roman 12"/>
          <w:sz w:val="24"/>
          <w:szCs w:val="24"/>
        </w:rPr>
        <w:t xml:space="preserve"> represent a</w:t>
      </w:r>
      <w:r w:rsidR="006C2D3B">
        <w:rPr>
          <w:rFonts w:ascii="LM Roman 12" w:hAnsi="LM Roman 12"/>
          <w:sz w:val="24"/>
          <w:szCs w:val="24"/>
        </w:rPr>
        <w:t>n increase of</w:t>
      </w:r>
      <w:r>
        <w:rPr>
          <w:rFonts w:ascii="LM Roman 12" w:hAnsi="LM Roman 12"/>
          <w:sz w:val="24"/>
          <w:szCs w:val="24"/>
        </w:rPr>
        <w:t xml:space="preserve"> </w:t>
      </w:r>
      <w:r w:rsidR="006C2D3B">
        <w:rPr>
          <w:rFonts w:ascii="LM Roman 12" w:hAnsi="LM Roman 12"/>
          <w:sz w:val="24"/>
          <w:szCs w:val="24"/>
        </w:rPr>
        <w:t xml:space="preserve">nearly </w:t>
      </w:r>
      <w:r w:rsidR="00976B59">
        <w:rPr>
          <w:rFonts w:ascii="LM Roman 12" w:hAnsi="LM Roman 12"/>
          <w:sz w:val="24"/>
          <w:szCs w:val="24"/>
        </w:rPr>
        <w:t>thirteen</w:t>
      </w:r>
      <w:r w:rsidR="006C2D3B">
        <w:rPr>
          <w:rFonts w:ascii="LM Roman 12" w:hAnsi="LM Roman 12"/>
          <w:sz w:val="24"/>
          <w:szCs w:val="24"/>
        </w:rPr>
        <w:t xml:space="preserve"> </w:t>
      </w:r>
      <w:r w:rsidR="00976B59">
        <w:rPr>
          <w:rFonts w:ascii="LM Roman 12" w:hAnsi="LM Roman 12"/>
          <w:sz w:val="24"/>
          <w:szCs w:val="24"/>
        </w:rPr>
        <w:t>percent</w:t>
      </w:r>
      <w:r w:rsidR="002D5C8D">
        <w:rPr>
          <w:rFonts w:ascii="LM Roman 12" w:hAnsi="LM Roman 12"/>
          <w:sz w:val="24"/>
          <w:szCs w:val="24"/>
        </w:rPr>
        <w:t xml:space="preserve">. </w:t>
      </w:r>
    </w:p>
    <w:p w14:paraId="36007BBB" w14:textId="77777777" w:rsidR="00B94251" w:rsidRDefault="00B94251" w:rsidP="00D243CE">
      <w:pPr>
        <w:spacing w:after="120" w:line="360" w:lineRule="auto"/>
        <w:ind w:firstLine="720"/>
        <w:contextualSpacing/>
        <w:jc w:val="both"/>
        <w:rPr>
          <w:rFonts w:ascii="LM Roman 12" w:hAnsi="LM Roman 12"/>
          <w:sz w:val="24"/>
          <w:szCs w:val="24"/>
        </w:rPr>
      </w:pPr>
    </w:p>
    <w:p w14:paraId="2B71C790" w14:textId="4D4E1F41" w:rsidR="003538DC" w:rsidRDefault="00B007ED" w:rsidP="00D243CE">
      <w:pPr>
        <w:spacing w:after="120" w:line="360" w:lineRule="auto"/>
        <w:contextualSpacing/>
        <w:jc w:val="both"/>
        <w:rPr>
          <w:rFonts w:ascii="LM Roman 12" w:hAnsi="LM Roman 12"/>
          <w:b/>
          <w:sz w:val="36"/>
          <w:szCs w:val="36"/>
        </w:rPr>
      </w:pPr>
      <w:r>
        <w:rPr>
          <w:rFonts w:ascii="LM Roman 12" w:hAnsi="LM Roman 12"/>
          <w:b/>
          <w:sz w:val="36"/>
          <w:szCs w:val="36"/>
        </w:rPr>
        <w:t>Conclusion</w:t>
      </w:r>
    </w:p>
    <w:p w14:paraId="5FE632BD" w14:textId="004E2D58" w:rsidR="00EC3E2D" w:rsidRDefault="00EC3E2D" w:rsidP="00127A61">
      <w:pPr>
        <w:spacing w:after="120" w:line="360" w:lineRule="auto"/>
        <w:ind w:firstLine="720"/>
        <w:contextualSpacing/>
        <w:jc w:val="both"/>
        <w:rPr>
          <w:rFonts w:ascii="LM Roman 12" w:hAnsi="LM Roman 12"/>
          <w:sz w:val="24"/>
          <w:szCs w:val="24"/>
        </w:rPr>
      </w:pPr>
      <w:r>
        <w:rPr>
          <w:rFonts w:ascii="LM Roman 12" w:hAnsi="LM Roman 12"/>
          <w:sz w:val="24"/>
          <w:szCs w:val="24"/>
        </w:rPr>
        <w:t>Important theories of autocratic politics rest upon the premise that resource rents help authoritarian leaders</w:t>
      </w:r>
      <w:r w:rsidR="00C73CCD">
        <w:rPr>
          <w:rFonts w:ascii="LM Roman 12" w:hAnsi="LM Roman 12"/>
          <w:sz w:val="24"/>
          <w:szCs w:val="24"/>
        </w:rPr>
        <w:t xml:space="preserve"> centralize their political power by</w:t>
      </w:r>
      <w:r>
        <w:rPr>
          <w:rFonts w:ascii="LM Roman 12" w:hAnsi="LM Roman 12"/>
          <w:sz w:val="24"/>
          <w:szCs w:val="24"/>
        </w:rPr>
        <w:t xml:space="preserve"> fund</w:t>
      </w:r>
      <w:r w:rsidR="00C73CCD">
        <w:rPr>
          <w:rFonts w:ascii="LM Roman 12" w:hAnsi="LM Roman 12"/>
          <w:sz w:val="24"/>
          <w:szCs w:val="24"/>
        </w:rPr>
        <w:t>ing</w:t>
      </w:r>
      <w:r>
        <w:rPr>
          <w:rFonts w:ascii="LM Roman 12" w:hAnsi="LM Roman 12"/>
          <w:sz w:val="24"/>
          <w:szCs w:val="24"/>
        </w:rPr>
        <w:t xml:space="preserve"> patrona</w:t>
      </w:r>
      <w:r w:rsidR="00127A61">
        <w:rPr>
          <w:rFonts w:ascii="LM Roman 12" w:hAnsi="LM Roman 12"/>
          <w:sz w:val="24"/>
          <w:szCs w:val="24"/>
        </w:rPr>
        <w:t xml:space="preserve">ge and </w:t>
      </w:r>
      <w:r w:rsidR="000F4C50">
        <w:rPr>
          <w:rFonts w:ascii="LM Roman 12" w:hAnsi="LM Roman 12"/>
          <w:sz w:val="24"/>
          <w:szCs w:val="24"/>
        </w:rPr>
        <w:t>enabling</w:t>
      </w:r>
      <w:r w:rsidR="00127A61">
        <w:rPr>
          <w:rFonts w:ascii="LM Roman 12" w:hAnsi="LM Roman 12"/>
          <w:sz w:val="24"/>
          <w:szCs w:val="24"/>
        </w:rPr>
        <w:t xml:space="preserve"> them</w:t>
      </w:r>
      <w:r w:rsidR="000F4C50">
        <w:rPr>
          <w:rFonts w:ascii="LM Roman 12" w:hAnsi="LM Roman 12"/>
          <w:sz w:val="24"/>
          <w:szCs w:val="24"/>
        </w:rPr>
        <w:t xml:space="preserve"> to</w:t>
      </w:r>
      <w:r>
        <w:rPr>
          <w:rFonts w:ascii="LM Roman 12" w:hAnsi="LM Roman 12"/>
          <w:sz w:val="24"/>
          <w:szCs w:val="24"/>
        </w:rPr>
        <w:t xml:space="preserve"> resist pressures to create power-sharing institutions</w:t>
      </w:r>
      <w:r w:rsidR="00127A61">
        <w:rPr>
          <w:rFonts w:ascii="LM Roman 12" w:hAnsi="LM Roman 12"/>
          <w:sz w:val="24"/>
          <w:szCs w:val="24"/>
        </w:rPr>
        <w:t xml:space="preserve"> with regime insiders. </w:t>
      </w:r>
      <w:r>
        <w:rPr>
          <w:rFonts w:ascii="LM Roman 12" w:hAnsi="LM Roman 12"/>
          <w:sz w:val="24"/>
          <w:szCs w:val="24"/>
        </w:rPr>
        <w:t xml:space="preserve">This note employs newly published data on personalism to demonstrate the cross-national </w:t>
      </w:r>
      <w:r>
        <w:rPr>
          <w:rFonts w:ascii="LM Roman 12" w:hAnsi="LM Roman 12"/>
          <w:sz w:val="24"/>
          <w:szCs w:val="24"/>
        </w:rPr>
        <w:lastRenderedPageBreak/>
        <w:t xml:space="preserve">quantitative basis of </w:t>
      </w:r>
      <w:r w:rsidR="00127A61">
        <w:rPr>
          <w:rFonts w:ascii="LM Roman 12" w:hAnsi="LM Roman 12"/>
          <w:sz w:val="24"/>
          <w:szCs w:val="24"/>
        </w:rPr>
        <w:t xml:space="preserve">such claims. Over the last two decades, </w:t>
      </w:r>
      <w:r w:rsidR="002D5C8D">
        <w:rPr>
          <w:rFonts w:ascii="LM Roman 12" w:hAnsi="LM Roman 12"/>
          <w:sz w:val="24"/>
          <w:szCs w:val="24"/>
        </w:rPr>
        <w:t xml:space="preserve">increases in oil income are associated with greater levels of personalism in authoritarian </w:t>
      </w:r>
      <w:r w:rsidR="00B571E4">
        <w:rPr>
          <w:rFonts w:ascii="LM Roman 12" w:hAnsi="LM Roman 12"/>
          <w:sz w:val="24"/>
          <w:szCs w:val="24"/>
        </w:rPr>
        <w:t>regimes</w:t>
      </w:r>
      <w:r w:rsidR="002D5C8D">
        <w:rPr>
          <w:rFonts w:ascii="LM Roman 12" w:hAnsi="LM Roman 12"/>
          <w:sz w:val="24"/>
          <w:szCs w:val="24"/>
        </w:rPr>
        <w:t xml:space="preserve">. </w:t>
      </w:r>
    </w:p>
    <w:p w14:paraId="7021BCB8" w14:textId="5917FD24" w:rsidR="000E0030" w:rsidRDefault="000E0030" w:rsidP="00D243CE">
      <w:pPr>
        <w:spacing w:after="120" w:line="360" w:lineRule="auto"/>
        <w:ind w:firstLine="720"/>
        <w:contextualSpacing/>
        <w:jc w:val="both"/>
        <w:rPr>
          <w:rFonts w:ascii="LM Roman 12" w:hAnsi="LM Roman 12"/>
          <w:sz w:val="24"/>
          <w:szCs w:val="24"/>
        </w:rPr>
      </w:pPr>
      <w:r>
        <w:rPr>
          <w:rFonts w:ascii="LM Roman 12" w:hAnsi="LM Roman 12"/>
          <w:sz w:val="24"/>
          <w:szCs w:val="24"/>
        </w:rPr>
        <w:t xml:space="preserve">Still, this result </w:t>
      </w:r>
      <w:r w:rsidR="00087CF9">
        <w:rPr>
          <w:rFonts w:ascii="LM Roman 12" w:hAnsi="LM Roman 12"/>
          <w:sz w:val="24"/>
          <w:szCs w:val="24"/>
        </w:rPr>
        <w:t>should be explored further. T</w:t>
      </w:r>
      <w:r w:rsidR="00EC3E2D">
        <w:rPr>
          <w:rFonts w:ascii="LM Roman 12" w:hAnsi="LM Roman 12"/>
          <w:sz w:val="24"/>
          <w:szCs w:val="24"/>
        </w:rPr>
        <w:t>hese findings</w:t>
      </w:r>
      <w:r>
        <w:rPr>
          <w:rFonts w:ascii="LM Roman 12" w:hAnsi="LM Roman 12"/>
          <w:sz w:val="24"/>
          <w:szCs w:val="24"/>
        </w:rPr>
        <w:t xml:space="preserve"> connect </w:t>
      </w:r>
      <w:r w:rsidR="00127A61">
        <w:rPr>
          <w:rFonts w:ascii="LM Roman 12" w:hAnsi="LM Roman 12"/>
          <w:sz w:val="24"/>
          <w:szCs w:val="24"/>
        </w:rPr>
        <w:t>increases in</w:t>
      </w:r>
      <w:r>
        <w:rPr>
          <w:rFonts w:ascii="LM Roman 12" w:hAnsi="LM Roman 12"/>
          <w:sz w:val="24"/>
          <w:szCs w:val="24"/>
        </w:rPr>
        <w:t xml:space="preserve"> rents to greater personalization, but do not </w:t>
      </w:r>
      <w:r w:rsidR="00EC3E2D">
        <w:rPr>
          <w:rFonts w:ascii="LM Roman 12" w:hAnsi="LM Roman 12"/>
          <w:sz w:val="24"/>
          <w:szCs w:val="24"/>
        </w:rPr>
        <w:t>identify</w:t>
      </w:r>
      <w:r>
        <w:rPr>
          <w:rFonts w:ascii="LM Roman 12" w:hAnsi="LM Roman 12"/>
          <w:sz w:val="24"/>
          <w:szCs w:val="24"/>
        </w:rPr>
        <w:t xml:space="preserve"> the specific ways in which leaders </w:t>
      </w:r>
      <w:r w:rsidR="00EC3E2D">
        <w:rPr>
          <w:rFonts w:ascii="LM Roman 12" w:hAnsi="LM Roman 12"/>
          <w:sz w:val="24"/>
          <w:szCs w:val="24"/>
        </w:rPr>
        <w:t xml:space="preserve">use these resources to consolidate their personal hold on power. For instance, </w:t>
      </w:r>
      <w:r w:rsidR="00127A61">
        <w:rPr>
          <w:rFonts w:ascii="LM Roman 12" w:hAnsi="LM Roman 12"/>
          <w:sz w:val="24"/>
          <w:szCs w:val="24"/>
        </w:rPr>
        <w:t>are these revenues</w:t>
      </w:r>
      <w:r w:rsidR="00EC3E2D">
        <w:rPr>
          <w:rFonts w:ascii="LM Roman 12" w:hAnsi="LM Roman 12"/>
          <w:sz w:val="24"/>
          <w:szCs w:val="24"/>
        </w:rPr>
        <w:t xml:space="preserve"> </w:t>
      </w:r>
      <w:r w:rsidR="00127A61">
        <w:rPr>
          <w:rFonts w:ascii="LM Roman 12" w:hAnsi="LM Roman 12"/>
          <w:sz w:val="24"/>
          <w:szCs w:val="24"/>
        </w:rPr>
        <w:t xml:space="preserve">used to </w:t>
      </w:r>
      <w:r w:rsidR="00EC3E2D">
        <w:rPr>
          <w:rFonts w:ascii="LM Roman 12" w:hAnsi="LM Roman 12"/>
          <w:sz w:val="24"/>
          <w:szCs w:val="24"/>
        </w:rPr>
        <w:t xml:space="preserve">subsidize consumer </w:t>
      </w:r>
      <w:r w:rsidR="007A4EE4">
        <w:rPr>
          <w:rFonts w:ascii="LM Roman 12" w:hAnsi="LM Roman 12"/>
          <w:sz w:val="24"/>
          <w:szCs w:val="24"/>
        </w:rPr>
        <w:t>goods that</w:t>
      </w:r>
      <w:r w:rsidR="00EC3E2D">
        <w:rPr>
          <w:rFonts w:ascii="LM Roman 12" w:hAnsi="LM Roman 12"/>
          <w:sz w:val="24"/>
          <w:szCs w:val="24"/>
        </w:rPr>
        <w:t xml:space="preserve"> reduce the demands for more institutionalized means of influence for </w:t>
      </w:r>
      <w:r w:rsidR="00127A61">
        <w:rPr>
          <w:rFonts w:ascii="LM Roman 12" w:hAnsi="LM Roman 12"/>
          <w:sz w:val="24"/>
          <w:szCs w:val="24"/>
        </w:rPr>
        <w:t>mass publics</w:t>
      </w:r>
      <w:r w:rsidR="00EC3E2D">
        <w:rPr>
          <w:rFonts w:ascii="LM Roman 12" w:hAnsi="LM Roman 12"/>
          <w:sz w:val="24"/>
          <w:szCs w:val="24"/>
        </w:rPr>
        <w:t xml:space="preserve"> and elites? Fails (</w:t>
      </w:r>
      <w:r w:rsidR="00EC3E2D">
        <w:rPr>
          <w:rFonts w:ascii="LM Roman 12" w:hAnsi="LM Roman 12"/>
          <w:i/>
          <w:sz w:val="24"/>
          <w:szCs w:val="24"/>
        </w:rPr>
        <w:t>forthcoming</w:t>
      </w:r>
      <w:r w:rsidR="00EC3E2D">
        <w:rPr>
          <w:rFonts w:ascii="LM Roman 12" w:hAnsi="LM Roman 12"/>
          <w:sz w:val="24"/>
          <w:szCs w:val="24"/>
        </w:rPr>
        <w:t xml:space="preserve">) suggests that more generous fuel subsidies prevent democratization. Might similar spending </w:t>
      </w:r>
      <w:r w:rsidR="00C26C4B">
        <w:rPr>
          <w:rFonts w:ascii="LM Roman 12" w:hAnsi="LM Roman 12"/>
          <w:sz w:val="24"/>
          <w:szCs w:val="24"/>
        </w:rPr>
        <w:t xml:space="preserve">choices </w:t>
      </w:r>
      <w:r w:rsidR="00EC3E2D">
        <w:rPr>
          <w:rFonts w:ascii="LM Roman 12" w:hAnsi="LM Roman 12"/>
          <w:sz w:val="24"/>
          <w:szCs w:val="24"/>
        </w:rPr>
        <w:t xml:space="preserve">enable personalist leaders to resist creating meaningful powersharing institutions? These are </w:t>
      </w:r>
      <w:r w:rsidR="00127A61">
        <w:rPr>
          <w:rFonts w:ascii="LM Roman 12" w:hAnsi="LM Roman 12"/>
          <w:sz w:val="24"/>
          <w:szCs w:val="24"/>
        </w:rPr>
        <w:t>important avenues for future research.</w:t>
      </w:r>
    </w:p>
    <w:p w14:paraId="1769ACD9" w14:textId="38F35817" w:rsidR="00B571E4" w:rsidRDefault="00C26C4B" w:rsidP="00C26C4B">
      <w:pPr>
        <w:spacing w:after="120" w:line="360" w:lineRule="auto"/>
        <w:ind w:firstLine="720"/>
        <w:contextualSpacing/>
        <w:jc w:val="both"/>
        <w:rPr>
          <w:rFonts w:ascii="LM Roman 12" w:hAnsi="LM Roman 12"/>
          <w:sz w:val="24"/>
          <w:szCs w:val="24"/>
        </w:rPr>
      </w:pPr>
      <w:r>
        <w:rPr>
          <w:rFonts w:ascii="LM Roman 12" w:hAnsi="LM Roman 12"/>
          <w:sz w:val="24"/>
          <w:szCs w:val="24"/>
        </w:rPr>
        <w:t>These findings also contribute to the broad literature on the political resource curse. Specifically, the results</w:t>
      </w:r>
      <w:r w:rsidR="00CA31E9">
        <w:rPr>
          <w:rFonts w:ascii="LM Roman 12" w:hAnsi="LM Roman 12"/>
          <w:sz w:val="24"/>
          <w:szCs w:val="24"/>
        </w:rPr>
        <w:t xml:space="preserve"> </w:t>
      </w:r>
      <w:r w:rsidR="00762F92">
        <w:rPr>
          <w:rFonts w:ascii="LM Roman 12" w:hAnsi="LM Roman 12"/>
          <w:sz w:val="24"/>
          <w:szCs w:val="24"/>
        </w:rPr>
        <w:t>suggest</w:t>
      </w:r>
      <w:r w:rsidR="00CA31E9">
        <w:rPr>
          <w:rFonts w:ascii="LM Roman 12" w:hAnsi="LM Roman 12"/>
          <w:sz w:val="24"/>
          <w:szCs w:val="24"/>
        </w:rPr>
        <w:t xml:space="preserve"> that one important channel connecting oil revenues </w:t>
      </w:r>
      <w:r w:rsidR="00961070">
        <w:rPr>
          <w:rFonts w:ascii="LM Roman 12" w:hAnsi="LM Roman 12"/>
          <w:sz w:val="24"/>
          <w:szCs w:val="24"/>
        </w:rPr>
        <w:t>to</w:t>
      </w:r>
      <w:r w:rsidR="00CA31E9">
        <w:rPr>
          <w:rFonts w:ascii="LM Roman 12" w:hAnsi="LM Roman 12"/>
          <w:sz w:val="24"/>
          <w:szCs w:val="24"/>
        </w:rPr>
        <w:t xml:space="preserve"> low</w:t>
      </w:r>
      <w:r w:rsidR="00961070">
        <w:rPr>
          <w:rFonts w:ascii="LM Roman 12" w:hAnsi="LM Roman 12"/>
          <w:sz w:val="24"/>
          <w:szCs w:val="24"/>
        </w:rPr>
        <w:t>er</w:t>
      </w:r>
      <w:r w:rsidR="00CA31E9">
        <w:rPr>
          <w:rFonts w:ascii="LM Roman 12" w:hAnsi="LM Roman 12"/>
          <w:sz w:val="24"/>
          <w:szCs w:val="24"/>
        </w:rPr>
        <w:t xml:space="preserve"> likelihood</w:t>
      </w:r>
      <w:r w:rsidR="00961070">
        <w:rPr>
          <w:rFonts w:ascii="LM Roman 12" w:hAnsi="LM Roman 12"/>
          <w:sz w:val="24"/>
          <w:szCs w:val="24"/>
        </w:rPr>
        <w:t>s</w:t>
      </w:r>
      <w:r w:rsidR="00CA31E9">
        <w:rPr>
          <w:rFonts w:ascii="LM Roman 12" w:hAnsi="LM Roman 12"/>
          <w:sz w:val="24"/>
          <w:szCs w:val="24"/>
        </w:rPr>
        <w:t xml:space="preserve"> of democratization runs through the consolidation of personalist regimes. </w:t>
      </w:r>
      <w:r w:rsidR="00A22071">
        <w:rPr>
          <w:rFonts w:ascii="LM Roman 12" w:hAnsi="LM Roman 12"/>
          <w:sz w:val="24"/>
          <w:szCs w:val="24"/>
        </w:rPr>
        <w:t>I</w:t>
      </w:r>
      <w:r w:rsidR="004C71DD">
        <w:rPr>
          <w:rFonts w:ascii="LM Roman 12" w:hAnsi="LM Roman 12"/>
          <w:sz w:val="24"/>
          <w:szCs w:val="24"/>
        </w:rPr>
        <w:t>ncreases in</w:t>
      </w:r>
      <w:r w:rsidR="00CA31E9">
        <w:rPr>
          <w:rFonts w:ascii="LM Roman 12" w:hAnsi="LM Roman 12"/>
          <w:sz w:val="24"/>
          <w:szCs w:val="24"/>
        </w:rPr>
        <w:t xml:space="preserve"> oil income </w:t>
      </w:r>
      <w:r w:rsidR="00B94251">
        <w:rPr>
          <w:rFonts w:ascii="LM Roman 12" w:hAnsi="LM Roman 12"/>
          <w:sz w:val="24"/>
          <w:szCs w:val="24"/>
        </w:rPr>
        <w:t>over the past two decades have</w:t>
      </w:r>
      <w:r w:rsidR="004C71DD">
        <w:rPr>
          <w:rFonts w:ascii="LM Roman 12" w:hAnsi="LM Roman 12"/>
          <w:sz w:val="24"/>
          <w:szCs w:val="24"/>
        </w:rPr>
        <w:t xml:space="preserve"> </w:t>
      </w:r>
      <w:r w:rsidR="00347E19">
        <w:rPr>
          <w:rFonts w:ascii="LM Roman 12" w:hAnsi="LM Roman 12"/>
          <w:sz w:val="24"/>
          <w:szCs w:val="24"/>
        </w:rPr>
        <w:t>facilitate</w:t>
      </w:r>
      <w:r w:rsidR="004C71DD">
        <w:rPr>
          <w:rFonts w:ascii="LM Roman 12" w:hAnsi="LM Roman 12"/>
          <w:sz w:val="24"/>
          <w:szCs w:val="24"/>
        </w:rPr>
        <w:t>d</w:t>
      </w:r>
      <w:r w:rsidR="00347E19">
        <w:rPr>
          <w:rFonts w:ascii="LM Roman 12" w:hAnsi="LM Roman 12"/>
          <w:sz w:val="24"/>
          <w:szCs w:val="24"/>
        </w:rPr>
        <w:t xml:space="preserve"> the</w:t>
      </w:r>
      <w:r w:rsidR="00CA31E9">
        <w:rPr>
          <w:rFonts w:ascii="LM Roman 12" w:hAnsi="LM Roman 12"/>
          <w:sz w:val="24"/>
          <w:szCs w:val="24"/>
        </w:rPr>
        <w:t xml:space="preserve"> emergence of </w:t>
      </w:r>
      <w:r w:rsidR="00347E19">
        <w:rPr>
          <w:rFonts w:ascii="LM Roman 12" w:hAnsi="LM Roman 12"/>
          <w:sz w:val="24"/>
          <w:szCs w:val="24"/>
        </w:rPr>
        <w:t>a</w:t>
      </w:r>
      <w:r w:rsidR="00CA31E9">
        <w:rPr>
          <w:rFonts w:ascii="LM Roman 12" w:hAnsi="LM Roman 12"/>
          <w:sz w:val="24"/>
          <w:szCs w:val="24"/>
        </w:rPr>
        <w:t xml:space="preserve"> uniquely problematic model of authoritarian politics</w:t>
      </w:r>
      <w:r w:rsidR="00347E19">
        <w:rPr>
          <w:rFonts w:ascii="LM Roman 12" w:hAnsi="LM Roman 12"/>
          <w:sz w:val="24"/>
          <w:szCs w:val="24"/>
        </w:rPr>
        <w:t>,</w:t>
      </w:r>
      <w:r w:rsidR="00CA31E9">
        <w:rPr>
          <w:rFonts w:ascii="LM Roman 12" w:hAnsi="LM Roman 12"/>
          <w:sz w:val="24"/>
          <w:szCs w:val="24"/>
        </w:rPr>
        <w:t xml:space="preserve"> at least </w:t>
      </w:r>
      <w:r>
        <w:rPr>
          <w:rFonts w:ascii="LM Roman 12" w:hAnsi="LM Roman 12"/>
          <w:sz w:val="24"/>
          <w:szCs w:val="24"/>
        </w:rPr>
        <w:t>in terms of</w:t>
      </w:r>
      <w:r w:rsidR="00CA31E9">
        <w:rPr>
          <w:rFonts w:ascii="LM Roman 12" w:hAnsi="LM Roman 12"/>
          <w:sz w:val="24"/>
          <w:szCs w:val="24"/>
        </w:rPr>
        <w:t xml:space="preserve"> the prospects of successful democratization. </w:t>
      </w:r>
      <w:r w:rsidR="005149A8">
        <w:rPr>
          <w:rFonts w:ascii="LM Roman 12" w:hAnsi="LM Roman 12"/>
          <w:sz w:val="24"/>
          <w:szCs w:val="24"/>
        </w:rPr>
        <w:t xml:space="preserve">These results are particularly important given that recent work strongly suggests that oil’s main political effect has been to insulate </w:t>
      </w:r>
      <w:r w:rsidR="00B94251">
        <w:rPr>
          <w:rFonts w:ascii="LM Roman 12" w:hAnsi="LM Roman 12"/>
          <w:sz w:val="24"/>
          <w:szCs w:val="24"/>
        </w:rPr>
        <w:t>producers</w:t>
      </w:r>
      <w:r w:rsidR="005149A8">
        <w:rPr>
          <w:rFonts w:ascii="LM Roman 12" w:hAnsi="LM Roman 12"/>
          <w:sz w:val="24"/>
          <w:szCs w:val="24"/>
        </w:rPr>
        <w:t xml:space="preserve"> from otherwise global trends toward more political liberalization </w:t>
      </w:r>
      <w:r w:rsidR="004C71DD">
        <w:rPr>
          <w:rFonts w:ascii="LM Roman 12" w:hAnsi="LM Roman 12"/>
          <w:sz w:val="24"/>
          <w:szCs w:val="24"/>
        </w:rPr>
        <w:t xml:space="preserve">since the early 1990s </w:t>
      </w:r>
      <w:r w:rsidR="00974736">
        <w:rPr>
          <w:rFonts w:ascii="LM Roman 12" w:hAnsi="LM Roman 12"/>
          <w:sz w:val="24"/>
          <w:szCs w:val="24"/>
        </w:rPr>
        <w:t>(</w:t>
      </w:r>
      <w:r w:rsidR="00A22071">
        <w:rPr>
          <w:rFonts w:ascii="LM Roman 12" w:hAnsi="LM Roman 12"/>
          <w:sz w:val="24"/>
          <w:szCs w:val="24"/>
        </w:rPr>
        <w:t xml:space="preserve">Hendrix 2018; </w:t>
      </w:r>
      <w:r w:rsidR="00974736">
        <w:rPr>
          <w:rFonts w:ascii="LM Roman 12" w:hAnsi="LM Roman 12"/>
          <w:sz w:val="24"/>
          <w:szCs w:val="24"/>
        </w:rPr>
        <w:t>Ross 2012, 75-7</w:t>
      </w:r>
      <w:r w:rsidR="005149A8">
        <w:rPr>
          <w:rFonts w:ascii="LM Roman 12" w:hAnsi="LM Roman 12"/>
          <w:sz w:val="24"/>
          <w:szCs w:val="24"/>
        </w:rPr>
        <w:t>)</w:t>
      </w:r>
      <w:r w:rsidR="004C71DD">
        <w:rPr>
          <w:rFonts w:ascii="LM Roman 12" w:hAnsi="LM Roman 12"/>
          <w:sz w:val="24"/>
          <w:szCs w:val="24"/>
        </w:rPr>
        <w:t xml:space="preserve">. </w:t>
      </w:r>
      <w:r w:rsidR="00B571E4">
        <w:rPr>
          <w:rFonts w:ascii="LM Roman 12" w:hAnsi="LM Roman 12"/>
          <w:sz w:val="24"/>
          <w:szCs w:val="24"/>
        </w:rPr>
        <w:t xml:space="preserve">By pointing toward one particular </w:t>
      </w:r>
      <w:r w:rsidR="000F4C50">
        <w:rPr>
          <w:rFonts w:ascii="LM Roman 12" w:hAnsi="LM Roman 12"/>
          <w:sz w:val="24"/>
          <w:szCs w:val="24"/>
        </w:rPr>
        <w:t>channel</w:t>
      </w:r>
      <w:r w:rsidR="00B571E4">
        <w:rPr>
          <w:rFonts w:ascii="LM Roman 12" w:hAnsi="LM Roman 12"/>
          <w:sz w:val="24"/>
          <w:szCs w:val="24"/>
        </w:rPr>
        <w:t xml:space="preserve">, these findings provide important evidence </w:t>
      </w:r>
      <w:r w:rsidR="005009BC">
        <w:rPr>
          <w:rFonts w:ascii="LM Roman 12" w:hAnsi="LM Roman 12"/>
          <w:sz w:val="24"/>
          <w:szCs w:val="24"/>
        </w:rPr>
        <w:t>as to exactly</w:t>
      </w:r>
      <w:r w:rsidR="00B571E4">
        <w:rPr>
          <w:rFonts w:ascii="LM Roman 12" w:hAnsi="LM Roman 12"/>
          <w:sz w:val="24"/>
          <w:szCs w:val="24"/>
        </w:rPr>
        <w:t xml:space="preserve"> </w:t>
      </w:r>
      <w:r w:rsidR="005009BC">
        <w:rPr>
          <w:rFonts w:ascii="LM Roman 12" w:hAnsi="LM Roman 12"/>
          <w:sz w:val="24"/>
          <w:szCs w:val="24"/>
        </w:rPr>
        <w:t xml:space="preserve">why </w:t>
      </w:r>
      <w:r w:rsidR="00B571E4">
        <w:rPr>
          <w:rFonts w:ascii="LM Roman 12" w:hAnsi="LM Roman 12"/>
          <w:sz w:val="24"/>
          <w:szCs w:val="24"/>
        </w:rPr>
        <w:t>oil impedes democracy.</w:t>
      </w:r>
    </w:p>
    <w:p w14:paraId="6B67775E" w14:textId="38504785" w:rsidR="00CA31E9" w:rsidRDefault="00CA31E9" w:rsidP="00C26C4B">
      <w:pPr>
        <w:spacing w:after="120" w:line="360" w:lineRule="auto"/>
        <w:contextualSpacing/>
        <w:jc w:val="center"/>
        <w:rPr>
          <w:rFonts w:ascii="LM Roman 12" w:hAnsi="LM Roman 12"/>
          <w:sz w:val="24"/>
          <w:szCs w:val="24"/>
        </w:rPr>
      </w:pPr>
      <w:r>
        <w:rPr>
          <w:rFonts w:ascii="LM Roman 12" w:hAnsi="LM Roman 12"/>
          <w:sz w:val="24"/>
          <w:szCs w:val="24"/>
        </w:rPr>
        <w:br w:type="page"/>
      </w:r>
      <w:r>
        <w:rPr>
          <w:rFonts w:ascii="LM Roman 12" w:hAnsi="LM Roman 12"/>
          <w:sz w:val="24"/>
          <w:szCs w:val="24"/>
        </w:rPr>
        <w:lastRenderedPageBreak/>
        <w:t>References</w:t>
      </w:r>
    </w:p>
    <w:p w14:paraId="7831D4AF"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 xml:space="preserve">Acemoglu, Daron, and James A. Robinson. 2006. </w:t>
      </w:r>
      <w:r>
        <w:rPr>
          <w:rFonts w:ascii="LM Roman 12" w:hAnsi="LM Roman 12"/>
          <w:sz w:val="24"/>
          <w:szCs w:val="24"/>
        </w:rPr>
        <w:t>“Economic Backwardness in Political P</w:t>
      </w:r>
      <w:r w:rsidRPr="00F525F8">
        <w:rPr>
          <w:rFonts w:ascii="LM Roman 12" w:hAnsi="LM Roman 12"/>
          <w:sz w:val="24"/>
          <w:szCs w:val="24"/>
        </w:rPr>
        <w:t>erspective.</w:t>
      </w:r>
      <w:r>
        <w:rPr>
          <w:rFonts w:ascii="LM Roman 12" w:hAnsi="LM Roman 12"/>
          <w:sz w:val="24"/>
          <w:szCs w:val="24"/>
        </w:rPr>
        <w:t>”</w:t>
      </w:r>
      <w:r w:rsidRPr="00F525F8">
        <w:rPr>
          <w:rFonts w:ascii="LM Roman 12" w:hAnsi="LM Roman 12"/>
          <w:sz w:val="24"/>
          <w:szCs w:val="24"/>
        </w:rPr>
        <w:t> </w:t>
      </w:r>
      <w:r w:rsidRPr="00F525F8">
        <w:rPr>
          <w:rFonts w:ascii="LM Roman 12" w:hAnsi="LM Roman 12"/>
          <w:i/>
          <w:iCs/>
          <w:sz w:val="24"/>
          <w:szCs w:val="24"/>
        </w:rPr>
        <w:t>American Political Science Review</w:t>
      </w:r>
      <w:r w:rsidRPr="00F525F8">
        <w:rPr>
          <w:rFonts w:ascii="LM Roman 12" w:hAnsi="LM Roman 12"/>
          <w:sz w:val="24"/>
          <w:szCs w:val="24"/>
        </w:rPr>
        <w:t>, </w:t>
      </w:r>
      <w:r w:rsidRPr="00AB6CAA">
        <w:rPr>
          <w:rFonts w:ascii="LM Roman 12" w:hAnsi="LM Roman 12"/>
          <w:iCs/>
          <w:sz w:val="24"/>
          <w:szCs w:val="24"/>
        </w:rPr>
        <w:t>100</w:t>
      </w:r>
      <w:r>
        <w:rPr>
          <w:rFonts w:ascii="LM Roman 12" w:hAnsi="LM Roman 12"/>
          <w:sz w:val="24"/>
          <w:szCs w:val="24"/>
        </w:rPr>
        <w:t>(1):</w:t>
      </w:r>
      <w:r w:rsidRPr="00F525F8">
        <w:rPr>
          <w:rFonts w:ascii="LM Roman 12" w:hAnsi="LM Roman 12"/>
          <w:sz w:val="24"/>
          <w:szCs w:val="24"/>
        </w:rPr>
        <w:t>115-131.</w:t>
      </w:r>
    </w:p>
    <w:p w14:paraId="2AB93DA1"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 xml:space="preserve">Acemoglu, Daron, James A. Robinson, and Thierry Verdier. 2004. “Kleptocracy and Divide-and-Rule: A Model of Personal Rule.” </w:t>
      </w:r>
      <w:r w:rsidRPr="00F525F8">
        <w:rPr>
          <w:rFonts w:ascii="LM Roman 12" w:hAnsi="LM Roman 12"/>
          <w:i/>
          <w:sz w:val="24"/>
          <w:szCs w:val="24"/>
        </w:rPr>
        <w:t>Journal of the European Economic Association</w:t>
      </w:r>
      <w:r w:rsidRPr="00F525F8">
        <w:rPr>
          <w:rFonts w:ascii="LM Roman 12" w:hAnsi="LM Roman 12"/>
          <w:sz w:val="24"/>
          <w:szCs w:val="24"/>
        </w:rPr>
        <w:t xml:space="preserve"> 2(2-3): 162-192.</w:t>
      </w:r>
    </w:p>
    <w:p w14:paraId="29CFADF3" w14:textId="6FFD8FC2" w:rsidR="00A640C0" w:rsidRPr="00A640C0" w:rsidRDefault="00A640C0" w:rsidP="00F525F8">
      <w:pPr>
        <w:ind w:left="720" w:hanging="720"/>
        <w:rPr>
          <w:rFonts w:ascii="LM Roman 12" w:hAnsi="LM Roman 12"/>
          <w:sz w:val="24"/>
          <w:szCs w:val="24"/>
        </w:rPr>
      </w:pPr>
      <w:r>
        <w:rPr>
          <w:rFonts w:ascii="LM Roman 12" w:hAnsi="LM Roman 12"/>
          <w:sz w:val="24"/>
          <w:szCs w:val="24"/>
        </w:rPr>
        <w:t xml:space="preserve">Andersen, Jørgen J., and Michael L. Ross. 2014. “The Big Oil Change: A Closer Look at the Haber-Menaldo Analysis.” </w:t>
      </w:r>
      <w:r>
        <w:rPr>
          <w:rFonts w:ascii="LM Roman 12" w:hAnsi="LM Roman 12"/>
          <w:i/>
          <w:sz w:val="24"/>
          <w:szCs w:val="24"/>
        </w:rPr>
        <w:t>Comparative Political Studies</w:t>
      </w:r>
      <w:r>
        <w:rPr>
          <w:rFonts w:ascii="LM Roman 12" w:hAnsi="LM Roman 12"/>
          <w:sz w:val="24"/>
          <w:szCs w:val="24"/>
        </w:rPr>
        <w:t xml:space="preserve"> 47(7): 993-1021.</w:t>
      </w:r>
    </w:p>
    <w:p w14:paraId="148E40B2" w14:textId="4A9FC3D1" w:rsidR="00A22071" w:rsidRPr="00A22071" w:rsidRDefault="00A22071" w:rsidP="00F525F8">
      <w:pPr>
        <w:ind w:left="720" w:hanging="720"/>
        <w:rPr>
          <w:rFonts w:ascii="LM Roman 12" w:hAnsi="LM Roman 12"/>
          <w:sz w:val="24"/>
          <w:szCs w:val="24"/>
        </w:rPr>
      </w:pPr>
      <w:r>
        <w:rPr>
          <w:rFonts w:ascii="LM Roman 12" w:hAnsi="LM Roman 12"/>
          <w:sz w:val="24"/>
          <w:szCs w:val="24"/>
        </w:rPr>
        <w:t xml:space="preserve">Bischof, Daniel. 2017. “New Graphic Schemes for Stata: plotplain and plotting.” </w:t>
      </w:r>
      <w:r>
        <w:rPr>
          <w:rFonts w:ascii="LM Roman 12" w:hAnsi="LM Roman 12"/>
          <w:i/>
          <w:sz w:val="24"/>
          <w:szCs w:val="24"/>
        </w:rPr>
        <w:t>The Stata Journal</w:t>
      </w:r>
      <w:r>
        <w:rPr>
          <w:rFonts w:ascii="LM Roman 12" w:hAnsi="LM Roman 12"/>
          <w:sz w:val="24"/>
          <w:szCs w:val="24"/>
        </w:rPr>
        <w:t xml:space="preserve"> 17(3): 748-759.</w:t>
      </w:r>
    </w:p>
    <w:p w14:paraId="1F7E0D4D" w14:textId="7BB9736E"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 xml:space="preserve">Bratton, Michael, and Nicolas van de walle. 1994. “Neopatrimonial Regimes and Political Transitions in Africa.” </w:t>
      </w:r>
      <w:r w:rsidRPr="00F525F8">
        <w:rPr>
          <w:rFonts w:ascii="LM Roman 12" w:hAnsi="LM Roman 12"/>
          <w:i/>
          <w:sz w:val="24"/>
          <w:szCs w:val="24"/>
        </w:rPr>
        <w:t>World Politics</w:t>
      </w:r>
      <w:r w:rsidRPr="00F525F8">
        <w:rPr>
          <w:rFonts w:ascii="LM Roman 12" w:hAnsi="LM Roman 12"/>
          <w:sz w:val="24"/>
          <w:szCs w:val="24"/>
        </w:rPr>
        <w:t xml:space="preserve"> 46(4): 453-489.</w:t>
      </w:r>
    </w:p>
    <w:p w14:paraId="41D10536"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Callaghy</w:t>
      </w:r>
      <w:r>
        <w:rPr>
          <w:rFonts w:ascii="LM Roman 12" w:hAnsi="LM Roman 12"/>
          <w:sz w:val="24"/>
          <w:szCs w:val="24"/>
        </w:rPr>
        <w:t>, Thomas M. 1984</w:t>
      </w:r>
      <w:r w:rsidRPr="00F525F8">
        <w:rPr>
          <w:rFonts w:ascii="LM Roman 12" w:hAnsi="LM Roman 12"/>
          <w:sz w:val="24"/>
          <w:szCs w:val="24"/>
        </w:rPr>
        <w:t xml:space="preserve"> </w:t>
      </w:r>
      <w:r w:rsidRPr="00F525F8">
        <w:rPr>
          <w:rFonts w:ascii="LM Roman 12" w:hAnsi="LM Roman 12"/>
          <w:i/>
          <w:sz w:val="24"/>
          <w:szCs w:val="24"/>
        </w:rPr>
        <w:t>The State-Society Struggle: Zaire in Comparative Perspective</w:t>
      </w:r>
      <w:r w:rsidRPr="00F525F8">
        <w:rPr>
          <w:rFonts w:ascii="LM Roman 12" w:hAnsi="LM Roman 12"/>
          <w:sz w:val="24"/>
          <w:szCs w:val="24"/>
        </w:rPr>
        <w:t>. New York: Columbia University Press.</w:t>
      </w:r>
    </w:p>
    <w:p w14:paraId="0AC1B1FA" w14:textId="77777777" w:rsidR="00974736" w:rsidRPr="00CE05A7" w:rsidRDefault="00974736" w:rsidP="00F525F8">
      <w:pPr>
        <w:ind w:left="720" w:hanging="720"/>
        <w:rPr>
          <w:rFonts w:ascii="LM Roman 12" w:hAnsi="LM Roman 12"/>
          <w:sz w:val="24"/>
          <w:szCs w:val="24"/>
        </w:rPr>
      </w:pPr>
      <w:r w:rsidRPr="003509B4">
        <w:rPr>
          <w:rFonts w:ascii="LM Roman 12" w:hAnsi="LM Roman 12"/>
          <w:sz w:val="24"/>
          <w:szCs w:val="24"/>
        </w:rPr>
        <w:t>Chebabi</w:t>
      </w:r>
      <w:r>
        <w:rPr>
          <w:rFonts w:ascii="LM Roman 12" w:hAnsi="LM Roman 12"/>
          <w:sz w:val="24"/>
          <w:szCs w:val="24"/>
        </w:rPr>
        <w:t>, Houchang E.,</w:t>
      </w:r>
      <w:r w:rsidRPr="003509B4">
        <w:rPr>
          <w:rFonts w:ascii="LM Roman 12" w:hAnsi="LM Roman 12"/>
          <w:sz w:val="24"/>
          <w:szCs w:val="24"/>
        </w:rPr>
        <w:t xml:space="preserve"> and </w:t>
      </w:r>
      <w:r>
        <w:rPr>
          <w:rFonts w:ascii="LM Roman 12" w:hAnsi="LM Roman 12"/>
          <w:sz w:val="24"/>
          <w:szCs w:val="24"/>
        </w:rPr>
        <w:t xml:space="preserve">Juan J. </w:t>
      </w:r>
      <w:r w:rsidRPr="003509B4">
        <w:rPr>
          <w:rFonts w:ascii="LM Roman 12" w:hAnsi="LM Roman 12"/>
          <w:sz w:val="24"/>
          <w:szCs w:val="24"/>
        </w:rPr>
        <w:t>Linz</w:t>
      </w:r>
      <w:r>
        <w:rPr>
          <w:rFonts w:ascii="LM Roman 12" w:hAnsi="LM Roman 12"/>
          <w:sz w:val="24"/>
          <w:szCs w:val="24"/>
        </w:rPr>
        <w:t xml:space="preserve">. 1998. “A Theory of Sultanism 2: Genesis and Demise of Sultanistic Regimes.” In </w:t>
      </w:r>
      <w:r>
        <w:rPr>
          <w:rFonts w:ascii="LM Roman 12" w:hAnsi="LM Roman 12"/>
          <w:i/>
          <w:sz w:val="24"/>
          <w:szCs w:val="24"/>
        </w:rPr>
        <w:t xml:space="preserve">Sultanistic Regimes, </w:t>
      </w:r>
      <w:r>
        <w:rPr>
          <w:rFonts w:ascii="LM Roman 12" w:hAnsi="LM Roman 12"/>
          <w:sz w:val="24"/>
          <w:szCs w:val="24"/>
        </w:rPr>
        <w:t>HE Chehabi and JJ Linz, eds., 26-28. Baltimore, MD: The Johns Hopkins University Press.</w:t>
      </w:r>
    </w:p>
    <w:p w14:paraId="43D570A1"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Cheon, Andrew, Maureen Lackner, and Johannes Urpelainen. 2015. “Instruments of Political Control National Oil Companies, Oil Prices, and Petroleum Subsidies.” </w:t>
      </w:r>
      <w:r w:rsidRPr="00F525F8">
        <w:rPr>
          <w:rFonts w:ascii="LM Roman 12" w:hAnsi="LM Roman 12"/>
          <w:i/>
          <w:iCs/>
          <w:sz w:val="24"/>
          <w:szCs w:val="24"/>
        </w:rPr>
        <w:t>Comparative Political Studies</w:t>
      </w:r>
      <w:r w:rsidRPr="00F525F8">
        <w:rPr>
          <w:rFonts w:ascii="LM Roman 12" w:hAnsi="LM Roman 12"/>
          <w:sz w:val="24"/>
          <w:szCs w:val="24"/>
        </w:rPr>
        <w:t> 48(3): 370-402.</w:t>
      </w:r>
    </w:p>
    <w:p w14:paraId="6E4E9BCA" w14:textId="77777777" w:rsidR="00974736" w:rsidRDefault="00974736" w:rsidP="00974736">
      <w:pPr>
        <w:ind w:left="720" w:hanging="720"/>
        <w:jc w:val="both"/>
        <w:rPr>
          <w:rFonts w:ascii="LM Roman 12" w:hAnsi="LM Roman 12"/>
          <w:sz w:val="24"/>
          <w:szCs w:val="24"/>
        </w:rPr>
      </w:pPr>
      <w:r>
        <w:rPr>
          <w:rFonts w:ascii="LM Roman 12" w:hAnsi="LM Roman 12"/>
          <w:sz w:val="24"/>
          <w:szCs w:val="24"/>
        </w:rPr>
        <w:t xml:space="preserve">Crabtree, Charles D., and Christopher J. Fariss. 2015. “Uncovering Patterns Among Latent Variables: Human Rights and De Facto Judicial Independence.” </w:t>
      </w:r>
      <w:r>
        <w:rPr>
          <w:rFonts w:ascii="LM Roman 12" w:hAnsi="LM Roman 12"/>
          <w:i/>
          <w:sz w:val="24"/>
          <w:szCs w:val="24"/>
        </w:rPr>
        <w:t>Research &amp; Politics</w:t>
      </w:r>
      <w:r>
        <w:rPr>
          <w:rFonts w:ascii="LM Roman 12" w:hAnsi="LM Roman 12"/>
          <w:sz w:val="24"/>
          <w:szCs w:val="24"/>
        </w:rPr>
        <w:t xml:space="preserve"> 2(3): 1-9. </w:t>
      </w:r>
    </w:p>
    <w:p w14:paraId="58BB8347" w14:textId="77777777" w:rsidR="00974736" w:rsidRPr="00D8200A" w:rsidRDefault="00974736" w:rsidP="00F525F8">
      <w:pPr>
        <w:ind w:left="720" w:hanging="720"/>
        <w:rPr>
          <w:rFonts w:ascii="LM Roman 12" w:hAnsi="LM Roman 12"/>
          <w:sz w:val="24"/>
          <w:szCs w:val="24"/>
        </w:rPr>
      </w:pPr>
      <w:r>
        <w:rPr>
          <w:rFonts w:ascii="LM Roman 12" w:hAnsi="LM Roman 12"/>
          <w:sz w:val="24"/>
          <w:szCs w:val="24"/>
        </w:rPr>
        <w:t xml:space="preserve">Dunning, Thad. 2005. “Resource Dependence, Economic Performance, and Political Stability.” </w:t>
      </w:r>
      <w:r>
        <w:rPr>
          <w:rFonts w:ascii="LM Roman 12" w:hAnsi="LM Roman 12"/>
          <w:i/>
          <w:sz w:val="24"/>
          <w:szCs w:val="24"/>
        </w:rPr>
        <w:t>Journal of Conflict Resolution</w:t>
      </w:r>
      <w:r>
        <w:rPr>
          <w:rFonts w:ascii="LM Roman 12" w:hAnsi="LM Roman 12"/>
          <w:sz w:val="24"/>
          <w:szCs w:val="24"/>
        </w:rPr>
        <w:t xml:space="preserve"> 49(4): 451-482.</w:t>
      </w:r>
    </w:p>
    <w:p w14:paraId="2CA80E0A"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Escribà -Folch, A</w:t>
      </w:r>
      <w:r>
        <w:rPr>
          <w:rFonts w:ascii="LM Roman 12" w:hAnsi="LM Roman 12"/>
          <w:sz w:val="24"/>
          <w:szCs w:val="24"/>
        </w:rPr>
        <w:t>bel, and Joseph Wright. 2010.</w:t>
      </w:r>
      <w:r w:rsidRPr="00F525F8">
        <w:rPr>
          <w:rFonts w:ascii="LM Roman 12" w:hAnsi="LM Roman 12"/>
          <w:sz w:val="24"/>
          <w:szCs w:val="24"/>
        </w:rPr>
        <w:t xml:space="preserve"> </w:t>
      </w:r>
      <w:r>
        <w:rPr>
          <w:rFonts w:ascii="LM Roman 12" w:hAnsi="LM Roman 12"/>
          <w:sz w:val="24"/>
          <w:szCs w:val="24"/>
        </w:rPr>
        <w:t>“</w:t>
      </w:r>
      <w:r w:rsidRPr="00F525F8">
        <w:rPr>
          <w:rFonts w:ascii="LM Roman 12" w:hAnsi="LM Roman 12"/>
          <w:sz w:val="24"/>
          <w:szCs w:val="24"/>
        </w:rPr>
        <w:t>Dealing with Tyranny: International Sanctions and the Survival of Authoritarian Rulers.</w:t>
      </w:r>
      <w:r>
        <w:rPr>
          <w:rFonts w:ascii="LM Roman 12" w:hAnsi="LM Roman 12"/>
          <w:sz w:val="24"/>
          <w:szCs w:val="24"/>
        </w:rPr>
        <w:t>”</w:t>
      </w:r>
      <w:r w:rsidRPr="00F525F8">
        <w:rPr>
          <w:rFonts w:ascii="LM Roman 12" w:hAnsi="LM Roman 12"/>
          <w:sz w:val="24"/>
          <w:szCs w:val="24"/>
        </w:rPr>
        <w:t xml:space="preserve"> </w:t>
      </w:r>
      <w:r w:rsidRPr="00F525F8">
        <w:rPr>
          <w:rFonts w:ascii="LM Roman 12" w:hAnsi="LM Roman 12"/>
          <w:i/>
          <w:sz w:val="24"/>
          <w:szCs w:val="24"/>
        </w:rPr>
        <w:t>International Studies Quarterly</w:t>
      </w:r>
      <w:r w:rsidRPr="00F525F8">
        <w:rPr>
          <w:rFonts w:ascii="LM Roman 12" w:hAnsi="LM Roman 12"/>
          <w:sz w:val="24"/>
          <w:szCs w:val="24"/>
        </w:rPr>
        <w:t xml:space="preserve"> 54: 335-359.</w:t>
      </w:r>
    </w:p>
    <w:p w14:paraId="4AED9952" w14:textId="09435627" w:rsidR="00C26C4B" w:rsidRPr="00C26C4B" w:rsidRDefault="00C26C4B" w:rsidP="00F525F8">
      <w:pPr>
        <w:ind w:left="720" w:hanging="720"/>
        <w:rPr>
          <w:rFonts w:ascii="LM Roman 12" w:hAnsi="LM Roman 12"/>
          <w:sz w:val="24"/>
          <w:szCs w:val="24"/>
        </w:rPr>
      </w:pPr>
      <w:r>
        <w:rPr>
          <w:rFonts w:ascii="LM Roman 12" w:hAnsi="LM Roman 12"/>
          <w:sz w:val="24"/>
          <w:szCs w:val="24"/>
        </w:rPr>
        <w:t xml:space="preserve">Fails, Matthew D. Forthcoming. “Fuel Subsidies Limit Democratization: Evidence from a Global Sample, 1990-2014.” </w:t>
      </w:r>
      <w:r>
        <w:rPr>
          <w:rFonts w:ascii="LM Roman 12" w:hAnsi="LM Roman 12"/>
          <w:i/>
          <w:sz w:val="24"/>
          <w:szCs w:val="24"/>
        </w:rPr>
        <w:t>International Studies Quarterly</w:t>
      </w:r>
      <w:r>
        <w:rPr>
          <w:rFonts w:ascii="LM Roman 12" w:hAnsi="LM Roman 12"/>
          <w:sz w:val="24"/>
          <w:szCs w:val="24"/>
        </w:rPr>
        <w:t>.</w:t>
      </w:r>
    </w:p>
    <w:p w14:paraId="462F67E7"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lastRenderedPageBreak/>
        <w:t xml:space="preserve">Frantz, Erica, and Andrea Kendall-Taylor. 2016. “Pathways to Democratization in Personalist Dictatorships.” </w:t>
      </w:r>
      <w:r w:rsidRPr="00F525F8">
        <w:rPr>
          <w:rFonts w:ascii="LM Roman 12" w:hAnsi="LM Roman 12"/>
          <w:i/>
          <w:sz w:val="24"/>
          <w:szCs w:val="24"/>
        </w:rPr>
        <w:t>Democratization</w:t>
      </w:r>
      <w:r w:rsidRPr="00F525F8">
        <w:rPr>
          <w:rFonts w:ascii="LM Roman 12" w:hAnsi="LM Roman 12"/>
          <w:sz w:val="24"/>
          <w:szCs w:val="24"/>
        </w:rPr>
        <w:t xml:space="preserve"> 24(1): 20-40.</w:t>
      </w:r>
    </w:p>
    <w:p w14:paraId="23B1F3B1" w14:textId="77777777" w:rsidR="00974736" w:rsidRPr="00F525F8" w:rsidRDefault="00974736" w:rsidP="00F525F8">
      <w:pPr>
        <w:ind w:left="720" w:hanging="720"/>
        <w:rPr>
          <w:rFonts w:ascii="LM Roman 12" w:hAnsi="LM Roman 12"/>
          <w:sz w:val="24"/>
          <w:szCs w:val="24"/>
        </w:rPr>
      </w:pPr>
      <w:r>
        <w:rPr>
          <w:rFonts w:ascii="LM Roman 12" w:hAnsi="LM Roman 12"/>
          <w:sz w:val="24"/>
          <w:szCs w:val="24"/>
        </w:rPr>
        <w:t>Geddes, Bar</w:t>
      </w:r>
      <w:r w:rsidRPr="00F525F8">
        <w:rPr>
          <w:rFonts w:ascii="LM Roman 12" w:hAnsi="LM Roman 12"/>
          <w:sz w:val="24"/>
          <w:szCs w:val="24"/>
        </w:rPr>
        <w:t>bara, Joseph Wr</w:t>
      </w:r>
      <w:r>
        <w:rPr>
          <w:rFonts w:ascii="LM Roman 12" w:hAnsi="LM Roman 12"/>
          <w:sz w:val="24"/>
          <w:szCs w:val="24"/>
        </w:rPr>
        <w:t>ight, and Erica Frantz. 2014.</w:t>
      </w:r>
      <w:r w:rsidRPr="00F525F8">
        <w:rPr>
          <w:rFonts w:ascii="LM Roman 12" w:hAnsi="LM Roman 12"/>
          <w:sz w:val="24"/>
          <w:szCs w:val="24"/>
        </w:rPr>
        <w:t xml:space="preserve"> </w:t>
      </w:r>
      <w:r>
        <w:rPr>
          <w:rFonts w:ascii="LM Roman 12" w:hAnsi="LM Roman 12"/>
          <w:sz w:val="24"/>
          <w:szCs w:val="24"/>
        </w:rPr>
        <w:t>“</w:t>
      </w:r>
      <w:r w:rsidRPr="00F525F8">
        <w:rPr>
          <w:rFonts w:ascii="LM Roman 12" w:hAnsi="LM Roman 12"/>
          <w:sz w:val="24"/>
          <w:szCs w:val="24"/>
        </w:rPr>
        <w:t>New Data Set: Autocratic Breakdown and Regime Transitions.</w:t>
      </w:r>
      <w:r>
        <w:rPr>
          <w:rFonts w:ascii="LM Roman 12" w:hAnsi="LM Roman 12"/>
          <w:sz w:val="24"/>
          <w:szCs w:val="24"/>
        </w:rPr>
        <w:t>”</w:t>
      </w:r>
      <w:r w:rsidRPr="00F525F8">
        <w:rPr>
          <w:rFonts w:ascii="LM Roman 12" w:hAnsi="LM Roman 12"/>
          <w:sz w:val="24"/>
          <w:szCs w:val="24"/>
        </w:rPr>
        <w:t xml:space="preserve"> </w:t>
      </w:r>
      <w:r w:rsidRPr="00F525F8">
        <w:rPr>
          <w:rFonts w:ascii="LM Roman 12" w:hAnsi="LM Roman 12"/>
          <w:i/>
          <w:sz w:val="24"/>
          <w:szCs w:val="24"/>
        </w:rPr>
        <w:t xml:space="preserve">Perspectives on Politics </w:t>
      </w:r>
      <w:r>
        <w:rPr>
          <w:rFonts w:ascii="LM Roman 12" w:hAnsi="LM Roman 12"/>
          <w:sz w:val="24"/>
          <w:szCs w:val="24"/>
        </w:rPr>
        <w:t>12(2): 313-331</w:t>
      </w:r>
      <w:r w:rsidRPr="00F525F8">
        <w:rPr>
          <w:rFonts w:ascii="LM Roman 12" w:hAnsi="LM Roman 12"/>
          <w:sz w:val="24"/>
          <w:szCs w:val="24"/>
        </w:rPr>
        <w:t>.</w:t>
      </w:r>
    </w:p>
    <w:p w14:paraId="7CDEA0EB" w14:textId="77777777" w:rsidR="00974736" w:rsidRPr="00F525F8" w:rsidRDefault="00974736" w:rsidP="00F525F8">
      <w:pPr>
        <w:ind w:left="720" w:hanging="720"/>
        <w:rPr>
          <w:rFonts w:ascii="LM Roman 12" w:hAnsi="LM Roman 12"/>
          <w:sz w:val="24"/>
          <w:szCs w:val="24"/>
        </w:rPr>
      </w:pPr>
      <w:r>
        <w:rPr>
          <w:rFonts w:ascii="LM Roman 12" w:hAnsi="LM Roman 12"/>
          <w:sz w:val="24"/>
          <w:szCs w:val="24"/>
        </w:rPr>
        <w:t>Geddes, Bar</w:t>
      </w:r>
      <w:r w:rsidRPr="00F525F8">
        <w:rPr>
          <w:rFonts w:ascii="LM Roman 12" w:hAnsi="LM Roman 12"/>
          <w:sz w:val="24"/>
          <w:szCs w:val="24"/>
        </w:rPr>
        <w:t xml:space="preserve">bara, Joseph Wright, and Erica Frantz. </w:t>
      </w:r>
      <w:r>
        <w:rPr>
          <w:rFonts w:ascii="LM Roman 12" w:hAnsi="LM Roman 12"/>
          <w:sz w:val="24"/>
          <w:szCs w:val="24"/>
        </w:rPr>
        <w:t>2018</w:t>
      </w:r>
      <w:r w:rsidRPr="00F525F8">
        <w:rPr>
          <w:rFonts w:ascii="LM Roman 12" w:hAnsi="LM Roman 12"/>
          <w:sz w:val="24"/>
          <w:szCs w:val="24"/>
        </w:rPr>
        <w:t xml:space="preserve">. </w:t>
      </w:r>
      <w:r>
        <w:rPr>
          <w:rFonts w:ascii="LM Roman 12" w:hAnsi="LM Roman 12"/>
          <w:i/>
          <w:sz w:val="24"/>
          <w:szCs w:val="24"/>
        </w:rPr>
        <w:t xml:space="preserve">How Dictatorships Work: Power, Personalization, and Collapse. </w:t>
      </w:r>
      <w:r w:rsidRPr="00F525F8">
        <w:rPr>
          <w:rFonts w:ascii="LM Roman 12" w:hAnsi="LM Roman 12"/>
          <w:sz w:val="24"/>
          <w:szCs w:val="24"/>
        </w:rPr>
        <w:t xml:space="preserve">Cambridge: Cambridge University Press. </w:t>
      </w:r>
    </w:p>
    <w:p w14:paraId="03D04C7D" w14:textId="77777777" w:rsidR="00974736" w:rsidRPr="00F525F8" w:rsidRDefault="00974736" w:rsidP="00F525F8">
      <w:pPr>
        <w:ind w:left="720" w:hanging="720"/>
        <w:rPr>
          <w:rFonts w:ascii="LM Roman 12" w:hAnsi="LM Roman 12"/>
          <w:sz w:val="24"/>
          <w:szCs w:val="24"/>
        </w:rPr>
      </w:pPr>
      <w:r>
        <w:rPr>
          <w:rFonts w:ascii="LM Roman 12" w:hAnsi="LM Roman 12"/>
          <w:sz w:val="24"/>
          <w:szCs w:val="24"/>
        </w:rPr>
        <w:t>Geddes, Barbara. 1999.</w:t>
      </w:r>
      <w:r w:rsidRPr="00F525F8">
        <w:rPr>
          <w:rFonts w:ascii="LM Roman 12" w:hAnsi="LM Roman 12"/>
          <w:sz w:val="24"/>
          <w:szCs w:val="24"/>
        </w:rPr>
        <w:t xml:space="preserve"> </w:t>
      </w:r>
      <w:r>
        <w:rPr>
          <w:rFonts w:ascii="LM Roman 12" w:hAnsi="LM Roman 12"/>
          <w:sz w:val="24"/>
          <w:szCs w:val="24"/>
        </w:rPr>
        <w:t>“</w:t>
      </w:r>
      <w:r w:rsidRPr="00F525F8">
        <w:rPr>
          <w:rFonts w:ascii="LM Roman 12" w:hAnsi="LM Roman 12"/>
          <w:sz w:val="24"/>
          <w:szCs w:val="24"/>
        </w:rPr>
        <w:t>What Do We Know About Democratization after Twenty Years?</w:t>
      </w:r>
      <w:r>
        <w:rPr>
          <w:rFonts w:ascii="LM Roman 12" w:hAnsi="LM Roman 12"/>
          <w:sz w:val="24"/>
          <w:szCs w:val="24"/>
        </w:rPr>
        <w:t>”</w:t>
      </w:r>
      <w:r w:rsidRPr="00F525F8">
        <w:rPr>
          <w:rFonts w:ascii="LM Roman 12" w:hAnsi="LM Roman 12"/>
          <w:sz w:val="24"/>
          <w:szCs w:val="24"/>
        </w:rPr>
        <w:t xml:space="preserve"> </w:t>
      </w:r>
      <w:r w:rsidRPr="00F525F8">
        <w:rPr>
          <w:rFonts w:ascii="LM Roman 12" w:hAnsi="LM Roman 12"/>
          <w:i/>
          <w:sz w:val="24"/>
          <w:szCs w:val="24"/>
        </w:rPr>
        <w:t>Annual Review of Political Science</w:t>
      </w:r>
      <w:r w:rsidRPr="00F525F8">
        <w:rPr>
          <w:rFonts w:ascii="LM Roman 12" w:hAnsi="LM Roman 12"/>
          <w:sz w:val="24"/>
          <w:szCs w:val="24"/>
        </w:rPr>
        <w:t xml:space="preserve"> 2: 114-144.</w:t>
      </w:r>
    </w:p>
    <w:p w14:paraId="6913074A"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Girod, Desha M., Megan A. Stewart, and Meir R. Walters. 2016. “Mass Protests and the Resource Curse: The Politics of Demobilization in Rentier Autocracies.” </w:t>
      </w:r>
      <w:r w:rsidRPr="00F525F8">
        <w:rPr>
          <w:rFonts w:ascii="LM Roman 12" w:hAnsi="LM Roman 12"/>
          <w:i/>
          <w:iCs/>
          <w:sz w:val="24"/>
          <w:szCs w:val="24"/>
        </w:rPr>
        <w:t>Conflict Management and Peace Science</w:t>
      </w:r>
      <w:r w:rsidRPr="00F525F8">
        <w:rPr>
          <w:rFonts w:ascii="LM Roman 12" w:hAnsi="LM Roman 12"/>
          <w:sz w:val="24"/>
          <w:szCs w:val="24"/>
        </w:rPr>
        <w:t>. DOI: 0738894216651826.</w:t>
      </w:r>
    </w:p>
    <w:p w14:paraId="45FAD55A"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 xml:space="preserve">Gross, Justin H. 2015. “Testing What Matters (If You Must Test at All): A Context-Driven Approach to Substantive and Statistical Significance.” </w:t>
      </w:r>
      <w:r w:rsidRPr="00F525F8">
        <w:rPr>
          <w:rFonts w:ascii="LM Roman 12" w:hAnsi="LM Roman 12"/>
          <w:i/>
          <w:sz w:val="24"/>
          <w:szCs w:val="24"/>
        </w:rPr>
        <w:t xml:space="preserve">American Journal of Political Science </w:t>
      </w:r>
      <w:r w:rsidRPr="00F525F8">
        <w:rPr>
          <w:rFonts w:ascii="LM Roman 12" w:hAnsi="LM Roman 12"/>
          <w:sz w:val="24"/>
          <w:szCs w:val="24"/>
        </w:rPr>
        <w:t>59(3): 775-88.</w:t>
      </w:r>
    </w:p>
    <w:p w14:paraId="42D7C04D"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Guliyev</w:t>
      </w:r>
      <w:r>
        <w:rPr>
          <w:rFonts w:ascii="LM Roman 12" w:hAnsi="LM Roman 12"/>
          <w:sz w:val="24"/>
          <w:szCs w:val="24"/>
        </w:rPr>
        <w:t>, Farid.</w:t>
      </w:r>
      <w:r w:rsidRPr="00F525F8">
        <w:rPr>
          <w:rFonts w:ascii="LM Roman 12" w:hAnsi="LM Roman 12"/>
          <w:sz w:val="24"/>
          <w:szCs w:val="24"/>
        </w:rPr>
        <w:t xml:space="preserve"> 2014</w:t>
      </w:r>
      <w:r>
        <w:rPr>
          <w:rFonts w:ascii="LM Roman 12" w:hAnsi="LM Roman 12"/>
          <w:sz w:val="24"/>
          <w:szCs w:val="24"/>
        </w:rPr>
        <w:t>. “Unpacking the Political Resource Curse: How Oil Fuels Personalism and Undermines Democratization.” PhD Dissertation. Jacobs University.</w:t>
      </w:r>
    </w:p>
    <w:p w14:paraId="69F9254F"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Haber, Stephen and Victor Menaldo. 2011. “Do Natural Resources Fuel Authoritarianism?  A Reappraisal of the Resource Curse.”</w:t>
      </w:r>
      <w:r>
        <w:rPr>
          <w:rFonts w:ascii="LM Roman 12" w:hAnsi="LM Roman 12"/>
          <w:sz w:val="24"/>
          <w:szCs w:val="24"/>
        </w:rPr>
        <w:t xml:space="preserve"> </w:t>
      </w:r>
      <w:r w:rsidRPr="00F525F8">
        <w:rPr>
          <w:rFonts w:ascii="LM Roman 12" w:hAnsi="LM Roman 12"/>
          <w:i/>
          <w:sz w:val="24"/>
          <w:szCs w:val="24"/>
        </w:rPr>
        <w:t xml:space="preserve">American Political Science Review </w:t>
      </w:r>
      <w:r w:rsidRPr="00F525F8">
        <w:rPr>
          <w:rFonts w:ascii="LM Roman 12" w:hAnsi="LM Roman 12"/>
          <w:sz w:val="24"/>
          <w:szCs w:val="24"/>
        </w:rPr>
        <w:t xml:space="preserve">105(1): 1-26. </w:t>
      </w:r>
    </w:p>
    <w:p w14:paraId="430C8FF0" w14:textId="467C611B" w:rsidR="00E20D8E" w:rsidRPr="00E20D8E" w:rsidRDefault="00E20D8E" w:rsidP="00F525F8">
      <w:pPr>
        <w:ind w:left="720" w:hanging="720"/>
        <w:rPr>
          <w:rFonts w:ascii="LM Roman 12" w:hAnsi="LM Roman 12"/>
          <w:sz w:val="24"/>
          <w:szCs w:val="24"/>
        </w:rPr>
      </w:pPr>
      <w:r>
        <w:rPr>
          <w:rFonts w:ascii="LM Roman 12" w:hAnsi="LM Roman 12"/>
          <w:sz w:val="24"/>
          <w:szCs w:val="24"/>
        </w:rPr>
        <w:t xml:space="preserve">Hendrix, Cullen S. 2018. “Cold War Geopolitics and the Making of the Oil Curse.” </w:t>
      </w:r>
      <w:r>
        <w:rPr>
          <w:rFonts w:ascii="LM Roman 12" w:hAnsi="LM Roman 12"/>
          <w:i/>
          <w:sz w:val="24"/>
          <w:szCs w:val="24"/>
        </w:rPr>
        <w:t>Journal of Global Security Studies</w:t>
      </w:r>
      <w:r>
        <w:rPr>
          <w:rFonts w:ascii="LM Roman 12" w:hAnsi="LM Roman 12"/>
          <w:sz w:val="24"/>
          <w:szCs w:val="24"/>
        </w:rPr>
        <w:t xml:space="preserve"> 3(1): 2-22.</w:t>
      </w:r>
    </w:p>
    <w:p w14:paraId="161931A7" w14:textId="7EFCCB34"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International Monetary Fund. 2016. “World Revenue Longitudinal Dataset.” Accessed from https://data.world/imf/world-revenue-longitudinal-dat</w:t>
      </w:r>
    </w:p>
    <w:p w14:paraId="5F9280FF"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 xml:space="preserve">Jann, Ben. 2014. “Plotting Regression Coefficients and Other Estimates in Stata.” </w:t>
      </w:r>
      <w:r w:rsidRPr="00F525F8">
        <w:rPr>
          <w:rFonts w:ascii="LM Roman 12" w:hAnsi="LM Roman 12"/>
          <w:i/>
          <w:sz w:val="24"/>
          <w:szCs w:val="24"/>
        </w:rPr>
        <w:t>The Stata Journal</w:t>
      </w:r>
      <w:r w:rsidRPr="00F525F8">
        <w:rPr>
          <w:rFonts w:ascii="LM Roman 12" w:hAnsi="LM Roman 12"/>
          <w:sz w:val="24"/>
          <w:szCs w:val="24"/>
        </w:rPr>
        <w:t xml:space="preserve"> 14(4): 708-737.</w:t>
      </w:r>
    </w:p>
    <w:p w14:paraId="126BB2B9"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 xml:space="preserve">Kendall-Taylor, Andrea, Erica Frantz, and Joseph Wright. 2017. “The Global Rise of Personalized Politics: It’s Not Just Dictators Anymore.” </w:t>
      </w:r>
      <w:r w:rsidRPr="00F525F8">
        <w:rPr>
          <w:rFonts w:ascii="LM Roman 12" w:hAnsi="LM Roman 12"/>
          <w:i/>
          <w:sz w:val="24"/>
          <w:szCs w:val="24"/>
        </w:rPr>
        <w:t>The Washington Quarterly</w:t>
      </w:r>
      <w:r w:rsidRPr="00F525F8">
        <w:rPr>
          <w:rFonts w:ascii="LM Roman 12" w:hAnsi="LM Roman 12"/>
          <w:sz w:val="24"/>
          <w:szCs w:val="24"/>
        </w:rPr>
        <w:t xml:space="preserve"> 40(1): 7-19.</w:t>
      </w:r>
    </w:p>
    <w:p w14:paraId="48B40EE4"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lastRenderedPageBreak/>
        <w:t>Liou, Yu-Ming, and Paul Musgrave. 2014. “Refining the Oil Curse Country-Level Evidence From Exogenous Variations in Resource Income.” </w:t>
      </w:r>
      <w:r w:rsidRPr="00F525F8">
        <w:rPr>
          <w:rFonts w:ascii="LM Roman 12" w:hAnsi="LM Roman 12"/>
          <w:i/>
          <w:iCs/>
          <w:sz w:val="24"/>
          <w:szCs w:val="24"/>
        </w:rPr>
        <w:t>Comparative Political Studies</w:t>
      </w:r>
      <w:r w:rsidRPr="00F525F8">
        <w:rPr>
          <w:rFonts w:ascii="LM Roman 12" w:hAnsi="LM Roman 12"/>
          <w:sz w:val="24"/>
          <w:szCs w:val="24"/>
        </w:rPr>
        <w:t> 47(11): 1584-610.</w:t>
      </w:r>
    </w:p>
    <w:p w14:paraId="3EAC16B2"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 xml:space="preserve">Menaldo, Victor. 2016. </w:t>
      </w:r>
      <w:r w:rsidRPr="00F525F8">
        <w:rPr>
          <w:rFonts w:ascii="LM Roman 12" w:hAnsi="LM Roman 12"/>
          <w:i/>
          <w:sz w:val="24"/>
          <w:szCs w:val="24"/>
        </w:rPr>
        <w:t>The Institutions Curse: Natural Resources, Politics, and Development</w:t>
      </w:r>
      <w:r w:rsidRPr="00F525F8">
        <w:rPr>
          <w:rFonts w:ascii="LM Roman 12" w:hAnsi="LM Roman 12"/>
          <w:sz w:val="24"/>
          <w:szCs w:val="24"/>
        </w:rPr>
        <w:t>. Cambridge: Cambridge University Press.</w:t>
      </w:r>
    </w:p>
    <w:p w14:paraId="6AEF8AA5"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Ross, Michael, and Paasha Mahdavi. 2013. Oil and gas data, 1932-2011. </w:t>
      </w:r>
      <w:r w:rsidRPr="00F525F8">
        <w:rPr>
          <w:rFonts w:ascii="LM Roman 12" w:hAnsi="LM Roman 12"/>
          <w:i/>
          <w:iCs/>
          <w:sz w:val="24"/>
          <w:szCs w:val="24"/>
        </w:rPr>
        <w:t>Harvard Dataverse Network</w:t>
      </w:r>
      <w:r w:rsidRPr="00F525F8">
        <w:rPr>
          <w:rFonts w:ascii="LM Roman 12" w:hAnsi="LM Roman 12"/>
          <w:sz w:val="24"/>
          <w:szCs w:val="24"/>
        </w:rPr>
        <w:t>.</w:t>
      </w:r>
    </w:p>
    <w:p w14:paraId="02A6CFEF" w14:textId="77777777" w:rsidR="00974736" w:rsidRPr="00F525F8" w:rsidRDefault="00974736" w:rsidP="00F525F8">
      <w:pPr>
        <w:ind w:left="720" w:hanging="720"/>
        <w:rPr>
          <w:rFonts w:ascii="LM Roman 12" w:hAnsi="LM Roman 12"/>
          <w:bCs/>
          <w:sz w:val="24"/>
          <w:szCs w:val="24"/>
        </w:rPr>
      </w:pPr>
      <w:r>
        <w:rPr>
          <w:rFonts w:ascii="LM Roman 12" w:hAnsi="LM Roman 12"/>
          <w:bCs/>
          <w:sz w:val="24"/>
          <w:szCs w:val="24"/>
        </w:rPr>
        <w:t>Ross, Michael.</w:t>
      </w:r>
      <w:r w:rsidRPr="00F525F8">
        <w:rPr>
          <w:rFonts w:ascii="LM Roman 12" w:hAnsi="LM Roman 12"/>
          <w:bCs/>
          <w:sz w:val="24"/>
          <w:szCs w:val="24"/>
        </w:rPr>
        <w:t xml:space="preserve"> 2012. </w:t>
      </w:r>
      <w:r w:rsidRPr="00F525F8">
        <w:rPr>
          <w:rFonts w:ascii="LM Roman 12" w:hAnsi="LM Roman 12"/>
          <w:bCs/>
          <w:i/>
          <w:sz w:val="24"/>
          <w:szCs w:val="24"/>
        </w:rPr>
        <w:t>The Oil Curse: How Petroleum Wealth Shapes the Development of Nations</w:t>
      </w:r>
      <w:r w:rsidRPr="00F525F8">
        <w:rPr>
          <w:rFonts w:ascii="LM Roman 12" w:hAnsi="LM Roman 12"/>
          <w:bCs/>
          <w:sz w:val="24"/>
          <w:szCs w:val="24"/>
        </w:rPr>
        <w:t>.  Princeton: Princeton University Press.</w:t>
      </w:r>
    </w:p>
    <w:p w14:paraId="5483BE31" w14:textId="72D25726" w:rsidR="00974736" w:rsidRPr="00E33EB3" w:rsidRDefault="00974736" w:rsidP="00974736">
      <w:pPr>
        <w:ind w:left="720" w:hanging="720"/>
        <w:jc w:val="both"/>
        <w:rPr>
          <w:rFonts w:ascii="LM Roman 12" w:hAnsi="LM Roman 12"/>
          <w:sz w:val="24"/>
          <w:szCs w:val="24"/>
        </w:rPr>
      </w:pPr>
      <w:r>
        <w:rPr>
          <w:rFonts w:ascii="LM Roman 12" w:hAnsi="LM Roman 12"/>
          <w:sz w:val="24"/>
          <w:szCs w:val="24"/>
        </w:rPr>
        <w:t>Schnake</w:t>
      </w:r>
      <w:r w:rsidR="007A4EE4">
        <w:rPr>
          <w:rFonts w:ascii="LM Roman 12" w:hAnsi="LM Roman 12"/>
          <w:sz w:val="24"/>
          <w:szCs w:val="24"/>
        </w:rPr>
        <w:t>n</w:t>
      </w:r>
      <w:r>
        <w:rPr>
          <w:rFonts w:ascii="LM Roman 12" w:hAnsi="LM Roman 12"/>
          <w:sz w:val="24"/>
          <w:szCs w:val="24"/>
        </w:rPr>
        <w:t xml:space="preserve">berg, Keith E., and Christopher J. Fariss. 2014. “Dynamic Patterns of Human Rights Practices.” </w:t>
      </w:r>
      <w:r>
        <w:rPr>
          <w:rFonts w:ascii="LM Roman 12" w:hAnsi="LM Roman 12"/>
          <w:i/>
          <w:sz w:val="24"/>
          <w:szCs w:val="24"/>
        </w:rPr>
        <w:t>Political Science Research and Methods</w:t>
      </w:r>
      <w:r>
        <w:rPr>
          <w:rFonts w:ascii="LM Roman 12" w:hAnsi="LM Roman 12"/>
          <w:sz w:val="24"/>
          <w:szCs w:val="24"/>
        </w:rPr>
        <w:t xml:space="preserve"> 2(1): 1-31</w:t>
      </w:r>
    </w:p>
    <w:p w14:paraId="5D244ABF"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 xml:space="preserve">Smith, Benjamin. 2017. “Resource Wealth as Rent Leverage: Rethinking the Oil-Stability Nexus.” </w:t>
      </w:r>
      <w:r w:rsidRPr="00F525F8">
        <w:rPr>
          <w:rFonts w:ascii="LM Roman 12" w:hAnsi="LM Roman 12"/>
          <w:i/>
          <w:sz w:val="24"/>
          <w:szCs w:val="24"/>
        </w:rPr>
        <w:t xml:space="preserve">Conflict Management and Peace Science </w:t>
      </w:r>
      <w:r w:rsidRPr="00F525F8">
        <w:rPr>
          <w:rFonts w:ascii="LM Roman 12" w:hAnsi="LM Roman 12"/>
          <w:sz w:val="24"/>
          <w:szCs w:val="24"/>
        </w:rPr>
        <w:t>34(6): 597-617.</w:t>
      </w:r>
    </w:p>
    <w:p w14:paraId="54547646"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 xml:space="preserve">Svolik, Milan. (2012) </w:t>
      </w:r>
      <w:r w:rsidRPr="00F525F8">
        <w:rPr>
          <w:rFonts w:ascii="LM Roman 12" w:hAnsi="LM Roman 12"/>
          <w:i/>
          <w:sz w:val="24"/>
          <w:szCs w:val="24"/>
        </w:rPr>
        <w:t>The Politics of Authoritarian Rule</w:t>
      </w:r>
      <w:r w:rsidRPr="00F525F8">
        <w:rPr>
          <w:rFonts w:ascii="LM Roman 12" w:hAnsi="LM Roman 12"/>
          <w:sz w:val="24"/>
          <w:szCs w:val="24"/>
        </w:rPr>
        <w:t xml:space="preserve">. Cambridge: Cambridge University Press. </w:t>
      </w:r>
    </w:p>
    <w:p w14:paraId="474A430E"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 xml:space="preserve">Tsui, Kevin. 2011. </w:t>
      </w:r>
      <w:r>
        <w:rPr>
          <w:rFonts w:ascii="LM Roman 12" w:hAnsi="LM Roman 12"/>
          <w:sz w:val="24"/>
          <w:szCs w:val="24"/>
        </w:rPr>
        <w:t>“</w:t>
      </w:r>
      <w:r w:rsidRPr="00F525F8">
        <w:rPr>
          <w:rFonts w:ascii="LM Roman 12" w:hAnsi="LM Roman 12"/>
          <w:sz w:val="24"/>
          <w:szCs w:val="24"/>
        </w:rPr>
        <w:t>More oil, less democracy: evidence from worldwide crude oil discoveries.</w:t>
      </w:r>
      <w:r>
        <w:rPr>
          <w:rFonts w:ascii="LM Roman 12" w:hAnsi="LM Roman 12"/>
          <w:sz w:val="24"/>
          <w:szCs w:val="24"/>
        </w:rPr>
        <w:t>”</w:t>
      </w:r>
      <w:r w:rsidRPr="00F525F8">
        <w:rPr>
          <w:rFonts w:ascii="LM Roman 12" w:hAnsi="LM Roman 12"/>
          <w:sz w:val="24"/>
          <w:szCs w:val="24"/>
        </w:rPr>
        <w:t> </w:t>
      </w:r>
      <w:r w:rsidRPr="00F525F8">
        <w:rPr>
          <w:rFonts w:ascii="LM Roman 12" w:hAnsi="LM Roman 12"/>
          <w:i/>
          <w:iCs/>
          <w:sz w:val="24"/>
          <w:szCs w:val="24"/>
        </w:rPr>
        <w:t>The Economic Journal</w:t>
      </w:r>
      <w:r w:rsidRPr="00F525F8">
        <w:rPr>
          <w:rFonts w:ascii="LM Roman 12" w:hAnsi="LM Roman 12"/>
          <w:sz w:val="24"/>
          <w:szCs w:val="24"/>
        </w:rPr>
        <w:t>, </w:t>
      </w:r>
      <w:r w:rsidRPr="00F525F8">
        <w:rPr>
          <w:rFonts w:ascii="LM Roman 12" w:hAnsi="LM Roman 12"/>
          <w:i/>
          <w:iCs/>
          <w:sz w:val="24"/>
          <w:szCs w:val="24"/>
        </w:rPr>
        <w:t>121</w:t>
      </w:r>
      <w:r>
        <w:rPr>
          <w:rFonts w:ascii="LM Roman 12" w:hAnsi="LM Roman 12"/>
          <w:sz w:val="24"/>
          <w:szCs w:val="24"/>
        </w:rPr>
        <w:t xml:space="preserve">(551): </w:t>
      </w:r>
      <w:r w:rsidRPr="00F525F8">
        <w:rPr>
          <w:rFonts w:ascii="LM Roman 12" w:hAnsi="LM Roman 12"/>
          <w:sz w:val="24"/>
          <w:szCs w:val="24"/>
        </w:rPr>
        <w:t>89-115.</w:t>
      </w:r>
    </w:p>
    <w:p w14:paraId="06FB51F2" w14:textId="77777777" w:rsidR="00974736" w:rsidRDefault="00974736" w:rsidP="00974736">
      <w:pPr>
        <w:ind w:left="720" w:hanging="720"/>
        <w:jc w:val="both"/>
        <w:rPr>
          <w:rFonts w:ascii="LM Roman 12" w:hAnsi="LM Roman 12"/>
          <w:sz w:val="24"/>
          <w:szCs w:val="24"/>
        </w:rPr>
      </w:pPr>
      <w:r>
        <w:rPr>
          <w:rFonts w:ascii="LM Roman 12" w:hAnsi="LM Roman 12"/>
          <w:sz w:val="24"/>
          <w:szCs w:val="24"/>
        </w:rPr>
        <w:t xml:space="preserve">Weeks, Jessica L.P. 2014. </w:t>
      </w:r>
      <w:r>
        <w:rPr>
          <w:rFonts w:ascii="LM Roman 12" w:hAnsi="LM Roman 12"/>
          <w:i/>
          <w:sz w:val="24"/>
          <w:szCs w:val="24"/>
        </w:rPr>
        <w:t>Dictators at War and Peace</w:t>
      </w:r>
      <w:r>
        <w:rPr>
          <w:rFonts w:ascii="LM Roman 12" w:hAnsi="LM Roman 12"/>
          <w:sz w:val="24"/>
          <w:szCs w:val="24"/>
        </w:rPr>
        <w:t>. Ithaca, NY: Cornell University Press.</w:t>
      </w:r>
    </w:p>
    <w:p w14:paraId="72836CEE"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World Bank. 2016. “World Development Indicators.” Accessed from https://data.worldbank.org/products/wdi</w:t>
      </w:r>
    </w:p>
    <w:p w14:paraId="36F6D342"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Wright, Joseph, Erica Frantz, and Barbara Geddes. 2015. “Oil and Autocratic Regime Survival.” </w:t>
      </w:r>
      <w:r w:rsidRPr="00F525F8">
        <w:rPr>
          <w:rFonts w:ascii="LM Roman 12" w:hAnsi="LM Roman 12"/>
          <w:i/>
          <w:iCs/>
          <w:sz w:val="24"/>
          <w:szCs w:val="24"/>
        </w:rPr>
        <w:t>British Journal of Political Science</w:t>
      </w:r>
      <w:r w:rsidRPr="00F525F8">
        <w:rPr>
          <w:rFonts w:ascii="LM Roman 12" w:hAnsi="LM Roman 12"/>
          <w:sz w:val="24"/>
          <w:szCs w:val="24"/>
        </w:rPr>
        <w:t xml:space="preserve"> 45(2): 287-306.</w:t>
      </w:r>
    </w:p>
    <w:p w14:paraId="36135AED" w14:textId="77777777" w:rsidR="00974736" w:rsidRPr="00F525F8" w:rsidRDefault="00974736" w:rsidP="00F525F8">
      <w:pPr>
        <w:ind w:left="720" w:hanging="720"/>
        <w:rPr>
          <w:rFonts w:ascii="LM Roman 12" w:hAnsi="LM Roman 12"/>
          <w:sz w:val="24"/>
          <w:szCs w:val="24"/>
        </w:rPr>
      </w:pPr>
      <w:r w:rsidRPr="00F525F8">
        <w:rPr>
          <w:rFonts w:ascii="LM Roman 12" w:hAnsi="LM Roman 12"/>
          <w:sz w:val="24"/>
          <w:szCs w:val="24"/>
        </w:rPr>
        <w:t>Wright, Joseph. 2008. “Do authoritarian institutions constrain? How legislatures affect economic growth and investment.” </w:t>
      </w:r>
      <w:r w:rsidRPr="00F525F8">
        <w:rPr>
          <w:rFonts w:ascii="LM Roman 12" w:hAnsi="LM Roman 12"/>
          <w:i/>
          <w:iCs/>
          <w:sz w:val="24"/>
          <w:szCs w:val="24"/>
        </w:rPr>
        <w:t>American Journal of Political Science</w:t>
      </w:r>
      <w:r w:rsidRPr="00AB6CAA">
        <w:rPr>
          <w:rFonts w:ascii="LM Roman 12" w:hAnsi="LM Roman 12"/>
          <w:i/>
          <w:sz w:val="24"/>
          <w:szCs w:val="24"/>
        </w:rPr>
        <w:t>, </w:t>
      </w:r>
      <w:r w:rsidRPr="00AB6CAA">
        <w:rPr>
          <w:rFonts w:ascii="LM Roman 12" w:hAnsi="LM Roman 12"/>
          <w:iCs/>
          <w:sz w:val="24"/>
          <w:szCs w:val="24"/>
        </w:rPr>
        <w:t>52</w:t>
      </w:r>
      <w:r w:rsidRPr="00AB6CAA">
        <w:rPr>
          <w:rFonts w:ascii="LM Roman 12" w:hAnsi="LM Roman 12"/>
          <w:sz w:val="24"/>
          <w:szCs w:val="24"/>
        </w:rPr>
        <w:t>(2</w:t>
      </w:r>
      <w:r>
        <w:rPr>
          <w:rFonts w:ascii="LM Roman 12" w:hAnsi="LM Roman 12"/>
          <w:sz w:val="24"/>
          <w:szCs w:val="24"/>
        </w:rPr>
        <w:t xml:space="preserve">): </w:t>
      </w:r>
      <w:r w:rsidRPr="00F525F8">
        <w:rPr>
          <w:rFonts w:ascii="LM Roman 12" w:hAnsi="LM Roman 12"/>
          <w:sz w:val="24"/>
          <w:szCs w:val="24"/>
        </w:rPr>
        <w:t>322-343.</w:t>
      </w:r>
    </w:p>
    <w:p w14:paraId="1F9408AC" w14:textId="77777777" w:rsidR="00974736" w:rsidRDefault="00974736" w:rsidP="00974736">
      <w:pPr>
        <w:ind w:left="720" w:hanging="720"/>
        <w:rPr>
          <w:rFonts w:ascii="LM Roman 12" w:hAnsi="LM Roman 12"/>
          <w:sz w:val="24"/>
          <w:szCs w:val="24"/>
        </w:rPr>
      </w:pPr>
      <w:r>
        <w:rPr>
          <w:rFonts w:ascii="LM Roman 12" w:hAnsi="LM Roman 12"/>
          <w:sz w:val="24"/>
          <w:szCs w:val="24"/>
        </w:rPr>
        <w:t xml:space="preserve">Wright, Joseph. 2017. “The Latent Characteristics that Structure Autocratic Rule.” Working Paper.” APSA 2014 Annual Meeting Paper. Available at SSRN: </w:t>
      </w:r>
      <w:hyperlink r:id="rId11" w:history="1">
        <w:r w:rsidRPr="001439EB">
          <w:rPr>
            <w:rStyle w:val="Hyperlink"/>
            <w:rFonts w:ascii="LM Roman 12" w:hAnsi="LM Roman 12"/>
            <w:sz w:val="24"/>
            <w:szCs w:val="24"/>
          </w:rPr>
          <w:t>https://ssrn.com/abstract=2451510</w:t>
        </w:r>
      </w:hyperlink>
      <w:r>
        <w:rPr>
          <w:rFonts w:ascii="LM Roman 12" w:hAnsi="LM Roman 12"/>
          <w:sz w:val="24"/>
          <w:szCs w:val="24"/>
        </w:rPr>
        <w:t xml:space="preserve">.  </w:t>
      </w:r>
    </w:p>
    <w:sectPr w:rsidR="009747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E3184" w14:textId="77777777" w:rsidR="00FD5908" w:rsidRDefault="00FD5908" w:rsidP="00AA4362">
      <w:pPr>
        <w:spacing w:after="0" w:line="240" w:lineRule="auto"/>
      </w:pPr>
      <w:r>
        <w:separator/>
      </w:r>
    </w:p>
  </w:endnote>
  <w:endnote w:type="continuationSeparator" w:id="0">
    <w:p w14:paraId="61F1A988" w14:textId="77777777" w:rsidR="00FD5908" w:rsidRDefault="00FD5908" w:rsidP="00AA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M Roman 12">
    <w:panose1 w:val="00000500000000000000"/>
    <w:charset w:val="00"/>
    <w:family w:val="modern"/>
    <w:notTrueType/>
    <w:pitch w:val="variable"/>
    <w:sig w:usb0="20000007" w:usb1="00000000" w:usb2="00000000" w:usb3="00000000" w:csb0="000001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24640"/>
      <w:docPartObj>
        <w:docPartGallery w:val="Page Numbers (Bottom of Page)"/>
        <w:docPartUnique/>
      </w:docPartObj>
    </w:sdtPr>
    <w:sdtEndPr>
      <w:rPr>
        <w:rFonts w:ascii="LM Roman 12" w:hAnsi="LM Roman 12"/>
        <w:noProof/>
      </w:rPr>
    </w:sdtEndPr>
    <w:sdtContent>
      <w:p w14:paraId="7A9E879D" w14:textId="5D9F63C3" w:rsidR="00034EE3" w:rsidRPr="001F0D6B" w:rsidRDefault="00034EE3">
        <w:pPr>
          <w:pStyle w:val="Footer"/>
          <w:jc w:val="center"/>
          <w:rPr>
            <w:rFonts w:ascii="LM Roman 12" w:hAnsi="LM Roman 12"/>
          </w:rPr>
        </w:pPr>
        <w:r w:rsidRPr="001F0D6B">
          <w:rPr>
            <w:rFonts w:ascii="LM Roman 12" w:hAnsi="LM Roman 12"/>
          </w:rPr>
          <w:fldChar w:fldCharType="begin"/>
        </w:r>
        <w:r w:rsidRPr="001F0D6B">
          <w:rPr>
            <w:rFonts w:ascii="LM Roman 12" w:hAnsi="LM Roman 12"/>
          </w:rPr>
          <w:instrText xml:space="preserve"> PAGE   \* MERGEFORMAT </w:instrText>
        </w:r>
        <w:r w:rsidRPr="001F0D6B">
          <w:rPr>
            <w:rFonts w:ascii="LM Roman 12" w:hAnsi="LM Roman 12"/>
          </w:rPr>
          <w:fldChar w:fldCharType="separate"/>
        </w:r>
        <w:r w:rsidR="00474D51">
          <w:rPr>
            <w:rFonts w:ascii="LM Roman 12" w:hAnsi="LM Roman 12"/>
            <w:noProof/>
          </w:rPr>
          <w:t>16</w:t>
        </w:r>
        <w:r w:rsidRPr="001F0D6B">
          <w:rPr>
            <w:rFonts w:ascii="LM Roman 12" w:hAnsi="LM Roman 12"/>
            <w:noProof/>
          </w:rPr>
          <w:fldChar w:fldCharType="end"/>
        </w:r>
      </w:p>
    </w:sdtContent>
  </w:sdt>
  <w:p w14:paraId="2EC57A7D" w14:textId="77777777" w:rsidR="00034EE3" w:rsidRPr="001F0D6B" w:rsidRDefault="00034EE3">
    <w:pPr>
      <w:pStyle w:val="Footer"/>
      <w:rPr>
        <w:rFonts w:ascii="LM Roman 12" w:hAnsi="LM Roman 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2A239" w14:textId="77777777" w:rsidR="00FD5908" w:rsidRDefault="00FD5908" w:rsidP="00AA4362">
      <w:pPr>
        <w:spacing w:after="0" w:line="240" w:lineRule="auto"/>
      </w:pPr>
      <w:r>
        <w:separator/>
      </w:r>
    </w:p>
  </w:footnote>
  <w:footnote w:type="continuationSeparator" w:id="0">
    <w:p w14:paraId="37152A20" w14:textId="77777777" w:rsidR="00FD5908" w:rsidRDefault="00FD5908" w:rsidP="00AA4362">
      <w:pPr>
        <w:spacing w:after="0" w:line="240" w:lineRule="auto"/>
      </w:pPr>
      <w:r>
        <w:continuationSeparator/>
      </w:r>
    </w:p>
  </w:footnote>
  <w:footnote w:id="1">
    <w:p w14:paraId="4AE16665" w14:textId="0B2855B2" w:rsidR="00034EE3" w:rsidRPr="00C664C7" w:rsidRDefault="00034EE3" w:rsidP="00100F29">
      <w:pPr>
        <w:pStyle w:val="FootnoteText"/>
        <w:rPr>
          <w:rFonts w:ascii="LM Roman 12" w:hAnsi="LM Roman 12"/>
        </w:rPr>
      </w:pPr>
      <w:r w:rsidRPr="00C664C7">
        <w:rPr>
          <w:rStyle w:val="FootnoteReference"/>
          <w:rFonts w:ascii="LM Roman 12" w:hAnsi="LM Roman 12"/>
        </w:rPr>
        <w:footnoteRef/>
      </w:r>
      <w:r w:rsidRPr="00C664C7">
        <w:rPr>
          <w:rFonts w:ascii="LM Roman 12" w:hAnsi="LM Roman 12"/>
        </w:rPr>
        <w:t xml:space="preserve"> Important </w:t>
      </w:r>
      <w:r>
        <w:rPr>
          <w:rFonts w:ascii="LM Roman 12" w:hAnsi="LM Roman 12"/>
        </w:rPr>
        <w:t>quantitative</w:t>
      </w:r>
      <w:r w:rsidRPr="00C664C7">
        <w:rPr>
          <w:rFonts w:ascii="LM Roman 12" w:hAnsi="LM Roman 12"/>
        </w:rPr>
        <w:t xml:space="preserve"> objections to this finding do exist, particularly Haber and Menaldo (2011), Liou and Musgrave (2014), and Menaldo (2016)</w:t>
      </w:r>
    </w:p>
  </w:footnote>
  <w:footnote w:id="2">
    <w:p w14:paraId="7C938AC6" w14:textId="4BAB4753" w:rsidR="00034EE3" w:rsidRPr="00FA3606" w:rsidRDefault="00034EE3">
      <w:pPr>
        <w:pStyle w:val="FootnoteText"/>
        <w:rPr>
          <w:rFonts w:ascii="LM Roman 12" w:hAnsi="LM Roman 12"/>
        </w:rPr>
      </w:pPr>
      <w:r w:rsidRPr="00FA3606">
        <w:rPr>
          <w:rStyle w:val="FootnoteReference"/>
          <w:rFonts w:ascii="LM Roman 12" w:hAnsi="LM Roman 12"/>
        </w:rPr>
        <w:footnoteRef/>
      </w:r>
      <w:r w:rsidRPr="00FA3606">
        <w:rPr>
          <w:rFonts w:ascii="LM Roman 12" w:hAnsi="LM Roman 12"/>
        </w:rPr>
        <w:t xml:space="preserve"> Figure 1 uses the “standardized” latent measure of personalism, which is re-scaled to </w:t>
      </w:r>
      <w:r>
        <w:rPr>
          <w:rFonts w:ascii="LM Roman 12" w:hAnsi="LM Roman 12"/>
        </w:rPr>
        <w:t>range</w:t>
      </w:r>
      <w:r w:rsidRPr="00FA3606">
        <w:rPr>
          <w:rFonts w:ascii="LM Roman 12" w:hAnsi="LM Roman 12"/>
        </w:rPr>
        <w:t xml:space="preserve"> between 0 and 1. Subsequent </w:t>
      </w:r>
      <w:r>
        <w:rPr>
          <w:rFonts w:ascii="LM Roman 12" w:hAnsi="LM Roman 12"/>
        </w:rPr>
        <w:t xml:space="preserve">regression </w:t>
      </w:r>
      <w:r w:rsidRPr="00FA3606">
        <w:rPr>
          <w:rFonts w:ascii="LM Roman 12" w:hAnsi="LM Roman 12"/>
        </w:rPr>
        <w:t>analyses employ the un-standardized version of the variable.</w:t>
      </w:r>
    </w:p>
  </w:footnote>
  <w:footnote w:id="3">
    <w:p w14:paraId="274C8467" w14:textId="2D4A3D38" w:rsidR="00FA4A19" w:rsidRPr="004B65D1" w:rsidRDefault="00FA4A19">
      <w:pPr>
        <w:pStyle w:val="FootnoteText"/>
        <w:rPr>
          <w:rFonts w:ascii="LM Roman 12" w:hAnsi="LM Roman 12"/>
        </w:rPr>
      </w:pPr>
      <w:r w:rsidRPr="004B65D1">
        <w:rPr>
          <w:rStyle w:val="FootnoteReference"/>
          <w:rFonts w:ascii="LM Roman 12" w:hAnsi="LM Roman 12"/>
        </w:rPr>
        <w:footnoteRef/>
      </w:r>
      <w:r w:rsidRPr="004B65D1">
        <w:rPr>
          <w:rFonts w:ascii="LM Roman 12" w:hAnsi="LM Roman 12"/>
        </w:rPr>
        <w:t xml:space="preserve"> Table 1A in the online appendix re-estimates the key models using sample years 1980-2010, though consistent with the arguments above, the effect is limited to the post-Cold War period. Appendix Table 4A reports descriptive statistics for both sample periods.</w:t>
      </w:r>
    </w:p>
  </w:footnote>
  <w:footnote w:id="4">
    <w:p w14:paraId="25489B45" w14:textId="1D558435" w:rsidR="00034EE3" w:rsidRPr="003923A8" w:rsidRDefault="00034EE3">
      <w:pPr>
        <w:pStyle w:val="FootnoteText"/>
        <w:rPr>
          <w:rFonts w:ascii="LM Roman 12" w:hAnsi="LM Roman 12"/>
        </w:rPr>
      </w:pPr>
      <w:r w:rsidRPr="003923A8">
        <w:rPr>
          <w:rStyle w:val="FootnoteReference"/>
          <w:rFonts w:ascii="LM Roman 12" w:hAnsi="LM Roman 12"/>
        </w:rPr>
        <w:footnoteRef/>
      </w:r>
      <w:r w:rsidRPr="003923A8">
        <w:rPr>
          <w:rFonts w:ascii="LM Roman 12" w:hAnsi="LM Roman 12"/>
        </w:rPr>
        <w:t xml:space="preserve"> Unsurprisingly, large producers are concentrated in the Middle East and North Africa. In Model 4, </w:t>
      </w:r>
      <w:r>
        <w:rPr>
          <w:rFonts w:ascii="LM Roman 12" w:hAnsi="LM Roman 12"/>
        </w:rPr>
        <w:t xml:space="preserve">nearly three-quarters </w:t>
      </w:r>
      <w:r w:rsidRPr="003923A8">
        <w:rPr>
          <w:rFonts w:ascii="LM Roman 12" w:hAnsi="LM Roman 12"/>
        </w:rPr>
        <w:t xml:space="preserve">of the excluded observations are from Kuwait, Saudi Arabia, Oman, Libya, and UAE. </w:t>
      </w:r>
    </w:p>
  </w:footnote>
  <w:footnote w:id="5">
    <w:p w14:paraId="5F2711CF" w14:textId="7368AF11" w:rsidR="00530A1B" w:rsidRPr="00773505" w:rsidRDefault="00530A1B" w:rsidP="00530A1B">
      <w:pPr>
        <w:pStyle w:val="FootnoteText"/>
        <w:rPr>
          <w:rFonts w:ascii="LM Roman 12" w:hAnsi="LM Roman 12"/>
        </w:rPr>
      </w:pPr>
      <w:r w:rsidRPr="00773505">
        <w:rPr>
          <w:rStyle w:val="FootnoteReference"/>
          <w:rFonts w:ascii="LM Roman 12" w:hAnsi="LM Roman 12"/>
        </w:rPr>
        <w:footnoteRef/>
      </w:r>
      <w:r w:rsidRPr="00773505">
        <w:rPr>
          <w:rFonts w:ascii="LM Roman 12" w:hAnsi="LM Roman 12"/>
        </w:rPr>
        <w:t xml:space="preserve"> </w:t>
      </w:r>
      <w:r>
        <w:rPr>
          <w:rFonts w:ascii="LM Roman 12" w:hAnsi="LM Roman 12"/>
        </w:rPr>
        <w:t>Tables 2A and 3A in the online appendix report these results.</w:t>
      </w:r>
    </w:p>
  </w:footnote>
  <w:footnote w:id="6">
    <w:p w14:paraId="1738FC30" w14:textId="12BFE261" w:rsidR="00034EE3" w:rsidRPr="008668C3" w:rsidRDefault="00034EE3" w:rsidP="008668C3">
      <w:pPr>
        <w:pStyle w:val="FootnoteText"/>
        <w:tabs>
          <w:tab w:val="right" w:pos="9360"/>
        </w:tabs>
        <w:rPr>
          <w:rFonts w:ascii="LM Roman 12" w:hAnsi="LM Roman 12"/>
        </w:rPr>
      </w:pPr>
      <w:r w:rsidRPr="008668C3">
        <w:rPr>
          <w:rStyle w:val="FootnoteReference"/>
          <w:rFonts w:ascii="LM Roman 12" w:hAnsi="LM Roman 12"/>
        </w:rPr>
        <w:footnoteRef/>
      </w:r>
      <w:r w:rsidRPr="008668C3">
        <w:rPr>
          <w:rFonts w:ascii="LM Roman 12" w:hAnsi="LM Roman 12"/>
        </w:rPr>
        <w:t xml:space="preserve"> This figure draws on Gross’ (2015) recommendation for interpreting substantive effects. Marginal effects calculated </w:t>
      </w:r>
      <w:r w:rsidR="00087CF9">
        <w:rPr>
          <w:rFonts w:ascii="LM Roman 12" w:hAnsi="LM Roman 12"/>
        </w:rPr>
        <w:t xml:space="preserve">and reported </w:t>
      </w:r>
      <w:r w:rsidRPr="008668C3">
        <w:rPr>
          <w:rFonts w:ascii="LM Roman 12" w:hAnsi="LM Roman 12"/>
        </w:rPr>
        <w:t>following Jann (2014)</w:t>
      </w:r>
      <w:r w:rsidR="00A22071">
        <w:rPr>
          <w:rFonts w:ascii="LM Roman 12" w:hAnsi="LM Roman 12"/>
        </w:rPr>
        <w:t xml:space="preserve"> and </w:t>
      </w:r>
      <w:r w:rsidR="00087CF9">
        <w:rPr>
          <w:rFonts w:ascii="LM Roman 12" w:hAnsi="LM Roman 12"/>
        </w:rPr>
        <w:t>Bischof</w:t>
      </w:r>
      <w:r w:rsidR="00A22071">
        <w:rPr>
          <w:rFonts w:ascii="LM Roman 12" w:hAnsi="LM Roman 12"/>
        </w:rPr>
        <w:t xml:space="preserve"> (2017)</w:t>
      </w:r>
      <w:r w:rsidRPr="008668C3">
        <w:rPr>
          <w:rFonts w:ascii="LM Roman 12" w:hAnsi="LM Roman 12"/>
        </w:rPr>
        <w:t>.</w:t>
      </w:r>
      <w:r w:rsidRPr="008668C3">
        <w:rPr>
          <w:rFonts w:ascii="LM Roman 12" w:hAnsi="LM Roman 12"/>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3BC0"/>
    <w:multiLevelType w:val="hybridMultilevel"/>
    <w:tmpl w:val="0E80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EF7D7B"/>
    <w:multiLevelType w:val="hybridMultilevel"/>
    <w:tmpl w:val="994A22D4"/>
    <w:lvl w:ilvl="0" w:tplc="10AE42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DC"/>
    <w:rsid w:val="00034EE3"/>
    <w:rsid w:val="00046769"/>
    <w:rsid w:val="00053E15"/>
    <w:rsid w:val="0005606D"/>
    <w:rsid w:val="000741ED"/>
    <w:rsid w:val="000834FA"/>
    <w:rsid w:val="00085837"/>
    <w:rsid w:val="00087CF9"/>
    <w:rsid w:val="0009306A"/>
    <w:rsid w:val="00093B2E"/>
    <w:rsid w:val="000A7EF6"/>
    <w:rsid w:val="000B4355"/>
    <w:rsid w:val="000C061D"/>
    <w:rsid w:val="000D7700"/>
    <w:rsid w:val="000E0030"/>
    <w:rsid w:val="000E2AC0"/>
    <w:rsid w:val="000F4C50"/>
    <w:rsid w:val="00100F29"/>
    <w:rsid w:val="00116B2C"/>
    <w:rsid w:val="001220E4"/>
    <w:rsid w:val="0012461F"/>
    <w:rsid w:val="00127A61"/>
    <w:rsid w:val="0015569B"/>
    <w:rsid w:val="00167053"/>
    <w:rsid w:val="00180C71"/>
    <w:rsid w:val="00194EBE"/>
    <w:rsid w:val="00196165"/>
    <w:rsid w:val="001A235E"/>
    <w:rsid w:val="001A5C31"/>
    <w:rsid w:val="001A7F67"/>
    <w:rsid w:val="001B7783"/>
    <w:rsid w:val="001F0D6B"/>
    <w:rsid w:val="00200846"/>
    <w:rsid w:val="00216478"/>
    <w:rsid w:val="00234C7B"/>
    <w:rsid w:val="00252FAC"/>
    <w:rsid w:val="00266A10"/>
    <w:rsid w:val="00272A72"/>
    <w:rsid w:val="002902B9"/>
    <w:rsid w:val="00290D06"/>
    <w:rsid w:val="00293E99"/>
    <w:rsid w:val="0029647E"/>
    <w:rsid w:val="00297D0B"/>
    <w:rsid w:val="00297F4D"/>
    <w:rsid w:val="002A7593"/>
    <w:rsid w:val="002A77C5"/>
    <w:rsid w:val="002D5C8D"/>
    <w:rsid w:val="002E534E"/>
    <w:rsid w:val="002F628B"/>
    <w:rsid w:val="002F712E"/>
    <w:rsid w:val="003011BA"/>
    <w:rsid w:val="00305FEE"/>
    <w:rsid w:val="0032496D"/>
    <w:rsid w:val="003277A4"/>
    <w:rsid w:val="00333BDC"/>
    <w:rsid w:val="00336726"/>
    <w:rsid w:val="0034219F"/>
    <w:rsid w:val="00347E19"/>
    <w:rsid w:val="003509B4"/>
    <w:rsid w:val="003538DC"/>
    <w:rsid w:val="00354D55"/>
    <w:rsid w:val="003607C3"/>
    <w:rsid w:val="00362716"/>
    <w:rsid w:val="003923A8"/>
    <w:rsid w:val="003A27B7"/>
    <w:rsid w:val="003B01C4"/>
    <w:rsid w:val="003B7C6C"/>
    <w:rsid w:val="003D59BD"/>
    <w:rsid w:val="003E0E44"/>
    <w:rsid w:val="003E6949"/>
    <w:rsid w:val="003F5206"/>
    <w:rsid w:val="00417D02"/>
    <w:rsid w:val="004211E9"/>
    <w:rsid w:val="004316FE"/>
    <w:rsid w:val="0044735C"/>
    <w:rsid w:val="00462529"/>
    <w:rsid w:val="004627A8"/>
    <w:rsid w:val="00463EEE"/>
    <w:rsid w:val="00474D51"/>
    <w:rsid w:val="00482B13"/>
    <w:rsid w:val="0049116F"/>
    <w:rsid w:val="004A3922"/>
    <w:rsid w:val="004B65D1"/>
    <w:rsid w:val="004C71DD"/>
    <w:rsid w:val="004E2B77"/>
    <w:rsid w:val="004F31BC"/>
    <w:rsid w:val="005009BC"/>
    <w:rsid w:val="005036D2"/>
    <w:rsid w:val="00511A5E"/>
    <w:rsid w:val="005149A8"/>
    <w:rsid w:val="0052035A"/>
    <w:rsid w:val="00522AD8"/>
    <w:rsid w:val="00530A1B"/>
    <w:rsid w:val="005610C0"/>
    <w:rsid w:val="00571B41"/>
    <w:rsid w:val="005903EF"/>
    <w:rsid w:val="005954F6"/>
    <w:rsid w:val="005A1450"/>
    <w:rsid w:val="005A787B"/>
    <w:rsid w:val="005C54F4"/>
    <w:rsid w:val="005D57E2"/>
    <w:rsid w:val="005D63ED"/>
    <w:rsid w:val="005F4AE5"/>
    <w:rsid w:val="00603661"/>
    <w:rsid w:val="0060704D"/>
    <w:rsid w:val="006103C4"/>
    <w:rsid w:val="00614F16"/>
    <w:rsid w:val="006203B5"/>
    <w:rsid w:val="00660540"/>
    <w:rsid w:val="00661E11"/>
    <w:rsid w:val="00662B5A"/>
    <w:rsid w:val="00671C26"/>
    <w:rsid w:val="006A2B9D"/>
    <w:rsid w:val="006A4733"/>
    <w:rsid w:val="006B0958"/>
    <w:rsid w:val="006C2D3B"/>
    <w:rsid w:val="006C542D"/>
    <w:rsid w:val="006C72A0"/>
    <w:rsid w:val="006D3EB1"/>
    <w:rsid w:val="006E1776"/>
    <w:rsid w:val="006F2801"/>
    <w:rsid w:val="00703B57"/>
    <w:rsid w:val="0070657B"/>
    <w:rsid w:val="007108E8"/>
    <w:rsid w:val="007113B8"/>
    <w:rsid w:val="007274F9"/>
    <w:rsid w:val="00730E35"/>
    <w:rsid w:val="00745593"/>
    <w:rsid w:val="00752A3D"/>
    <w:rsid w:val="00756987"/>
    <w:rsid w:val="00762F92"/>
    <w:rsid w:val="007708F1"/>
    <w:rsid w:val="007728A7"/>
    <w:rsid w:val="00773505"/>
    <w:rsid w:val="007902CB"/>
    <w:rsid w:val="00794B2A"/>
    <w:rsid w:val="007A10FF"/>
    <w:rsid w:val="007A3323"/>
    <w:rsid w:val="007A4EE4"/>
    <w:rsid w:val="007A4FDA"/>
    <w:rsid w:val="007B6F58"/>
    <w:rsid w:val="007D1E62"/>
    <w:rsid w:val="007D3E02"/>
    <w:rsid w:val="007D3F73"/>
    <w:rsid w:val="007E3FC8"/>
    <w:rsid w:val="007E7978"/>
    <w:rsid w:val="007F56F3"/>
    <w:rsid w:val="008119E5"/>
    <w:rsid w:val="00823015"/>
    <w:rsid w:val="0082740C"/>
    <w:rsid w:val="008341E3"/>
    <w:rsid w:val="00846CC1"/>
    <w:rsid w:val="00855550"/>
    <w:rsid w:val="00856790"/>
    <w:rsid w:val="0086391B"/>
    <w:rsid w:val="00865758"/>
    <w:rsid w:val="008668C3"/>
    <w:rsid w:val="008739A0"/>
    <w:rsid w:val="008745D3"/>
    <w:rsid w:val="008851D5"/>
    <w:rsid w:val="00891159"/>
    <w:rsid w:val="00896477"/>
    <w:rsid w:val="008D2EDD"/>
    <w:rsid w:val="008D7F13"/>
    <w:rsid w:val="008E2B58"/>
    <w:rsid w:val="008E5805"/>
    <w:rsid w:val="008F6F95"/>
    <w:rsid w:val="00900C91"/>
    <w:rsid w:val="009218CF"/>
    <w:rsid w:val="00922DBF"/>
    <w:rsid w:val="00936921"/>
    <w:rsid w:val="009378F2"/>
    <w:rsid w:val="00951FAB"/>
    <w:rsid w:val="00961070"/>
    <w:rsid w:val="009675D9"/>
    <w:rsid w:val="00974736"/>
    <w:rsid w:val="00976B59"/>
    <w:rsid w:val="00986820"/>
    <w:rsid w:val="009A0053"/>
    <w:rsid w:val="009A7A47"/>
    <w:rsid w:val="009D2A06"/>
    <w:rsid w:val="009D5DCE"/>
    <w:rsid w:val="009E6A46"/>
    <w:rsid w:val="009F2FA9"/>
    <w:rsid w:val="00A22071"/>
    <w:rsid w:val="00A34451"/>
    <w:rsid w:val="00A35E13"/>
    <w:rsid w:val="00A57998"/>
    <w:rsid w:val="00A61C67"/>
    <w:rsid w:val="00A63851"/>
    <w:rsid w:val="00A640C0"/>
    <w:rsid w:val="00A82D75"/>
    <w:rsid w:val="00A9093A"/>
    <w:rsid w:val="00AA4362"/>
    <w:rsid w:val="00AB6CAA"/>
    <w:rsid w:val="00AD693F"/>
    <w:rsid w:val="00AF57D3"/>
    <w:rsid w:val="00B007ED"/>
    <w:rsid w:val="00B052A4"/>
    <w:rsid w:val="00B56AD0"/>
    <w:rsid w:val="00B571E4"/>
    <w:rsid w:val="00B647DE"/>
    <w:rsid w:val="00B7651F"/>
    <w:rsid w:val="00B76760"/>
    <w:rsid w:val="00B83491"/>
    <w:rsid w:val="00B94251"/>
    <w:rsid w:val="00B9622E"/>
    <w:rsid w:val="00B97247"/>
    <w:rsid w:val="00BB268C"/>
    <w:rsid w:val="00BD23FE"/>
    <w:rsid w:val="00BD2613"/>
    <w:rsid w:val="00BE0E2B"/>
    <w:rsid w:val="00C242DE"/>
    <w:rsid w:val="00C26C4B"/>
    <w:rsid w:val="00C40C23"/>
    <w:rsid w:val="00C664C7"/>
    <w:rsid w:val="00C73CCD"/>
    <w:rsid w:val="00C75DD1"/>
    <w:rsid w:val="00C84555"/>
    <w:rsid w:val="00C9312D"/>
    <w:rsid w:val="00CA31E9"/>
    <w:rsid w:val="00CA4A3E"/>
    <w:rsid w:val="00CA7D28"/>
    <w:rsid w:val="00CB18CF"/>
    <w:rsid w:val="00CC5586"/>
    <w:rsid w:val="00CD5658"/>
    <w:rsid w:val="00CE05A7"/>
    <w:rsid w:val="00CE5D6E"/>
    <w:rsid w:val="00D142E1"/>
    <w:rsid w:val="00D21456"/>
    <w:rsid w:val="00D243CE"/>
    <w:rsid w:val="00D31EAA"/>
    <w:rsid w:val="00D6126B"/>
    <w:rsid w:val="00D804A9"/>
    <w:rsid w:val="00D8200A"/>
    <w:rsid w:val="00D94CFF"/>
    <w:rsid w:val="00DA2684"/>
    <w:rsid w:val="00DA39D9"/>
    <w:rsid w:val="00DB03C3"/>
    <w:rsid w:val="00DB2D46"/>
    <w:rsid w:val="00DC1665"/>
    <w:rsid w:val="00DC1D9D"/>
    <w:rsid w:val="00DC3283"/>
    <w:rsid w:val="00DC74FC"/>
    <w:rsid w:val="00DD10D4"/>
    <w:rsid w:val="00DE0CF2"/>
    <w:rsid w:val="00DF1440"/>
    <w:rsid w:val="00DF188E"/>
    <w:rsid w:val="00DF6F87"/>
    <w:rsid w:val="00E01159"/>
    <w:rsid w:val="00E04576"/>
    <w:rsid w:val="00E04B2F"/>
    <w:rsid w:val="00E11D76"/>
    <w:rsid w:val="00E20D8E"/>
    <w:rsid w:val="00E2264E"/>
    <w:rsid w:val="00E33EB3"/>
    <w:rsid w:val="00E37328"/>
    <w:rsid w:val="00E468B4"/>
    <w:rsid w:val="00E5372D"/>
    <w:rsid w:val="00E57120"/>
    <w:rsid w:val="00E65A1C"/>
    <w:rsid w:val="00E70678"/>
    <w:rsid w:val="00E77EDE"/>
    <w:rsid w:val="00E84A5B"/>
    <w:rsid w:val="00E90FFF"/>
    <w:rsid w:val="00E953B7"/>
    <w:rsid w:val="00EB70B6"/>
    <w:rsid w:val="00EC3E2D"/>
    <w:rsid w:val="00EC41D7"/>
    <w:rsid w:val="00EC44B7"/>
    <w:rsid w:val="00EC7EBC"/>
    <w:rsid w:val="00ED03D7"/>
    <w:rsid w:val="00ED2B7B"/>
    <w:rsid w:val="00ED407A"/>
    <w:rsid w:val="00F14F69"/>
    <w:rsid w:val="00F27E7D"/>
    <w:rsid w:val="00F3466E"/>
    <w:rsid w:val="00F525F8"/>
    <w:rsid w:val="00F76999"/>
    <w:rsid w:val="00F875E1"/>
    <w:rsid w:val="00FA3606"/>
    <w:rsid w:val="00FA4A19"/>
    <w:rsid w:val="00FA5547"/>
    <w:rsid w:val="00FB1060"/>
    <w:rsid w:val="00FB4DED"/>
    <w:rsid w:val="00FC1A44"/>
    <w:rsid w:val="00FC5665"/>
    <w:rsid w:val="00FD01FC"/>
    <w:rsid w:val="00FD2D1B"/>
    <w:rsid w:val="00FD4AC9"/>
    <w:rsid w:val="00FD5908"/>
    <w:rsid w:val="00FE7A0E"/>
    <w:rsid w:val="00FF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53A9"/>
  <w15:chartTrackingRefBased/>
  <w15:docId w15:val="{9285EFB8-C5A6-41FA-B8FE-9B995FC9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96D"/>
    <w:rPr>
      <w:color w:val="0563C1" w:themeColor="hyperlink"/>
      <w:u w:val="single"/>
    </w:rPr>
  </w:style>
  <w:style w:type="paragraph" w:styleId="BalloonText">
    <w:name w:val="Balloon Text"/>
    <w:basedOn w:val="Normal"/>
    <w:link w:val="BalloonTextChar"/>
    <w:uiPriority w:val="99"/>
    <w:semiHidden/>
    <w:unhideWhenUsed/>
    <w:rsid w:val="005A1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50"/>
    <w:rPr>
      <w:rFonts w:ascii="Segoe UI" w:hAnsi="Segoe UI" w:cs="Segoe UI"/>
      <w:sz w:val="18"/>
      <w:szCs w:val="18"/>
    </w:rPr>
  </w:style>
  <w:style w:type="paragraph" w:styleId="FootnoteText">
    <w:name w:val="footnote text"/>
    <w:basedOn w:val="Normal"/>
    <w:link w:val="FootnoteTextChar"/>
    <w:uiPriority w:val="99"/>
    <w:semiHidden/>
    <w:unhideWhenUsed/>
    <w:rsid w:val="00AA43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362"/>
    <w:rPr>
      <w:sz w:val="20"/>
      <w:szCs w:val="20"/>
    </w:rPr>
  </w:style>
  <w:style w:type="character" w:styleId="FootnoteReference">
    <w:name w:val="footnote reference"/>
    <w:basedOn w:val="DefaultParagraphFont"/>
    <w:uiPriority w:val="99"/>
    <w:semiHidden/>
    <w:unhideWhenUsed/>
    <w:rsid w:val="00AA4362"/>
    <w:rPr>
      <w:vertAlign w:val="superscript"/>
    </w:rPr>
  </w:style>
  <w:style w:type="paragraph" w:styleId="Header">
    <w:name w:val="header"/>
    <w:basedOn w:val="Normal"/>
    <w:link w:val="HeaderChar"/>
    <w:uiPriority w:val="99"/>
    <w:unhideWhenUsed/>
    <w:rsid w:val="00AA4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362"/>
  </w:style>
  <w:style w:type="paragraph" w:styleId="Footer">
    <w:name w:val="footer"/>
    <w:basedOn w:val="Normal"/>
    <w:link w:val="FooterChar"/>
    <w:uiPriority w:val="99"/>
    <w:unhideWhenUsed/>
    <w:rsid w:val="00AA4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362"/>
  </w:style>
  <w:style w:type="paragraph" w:styleId="ListParagraph">
    <w:name w:val="List Paragraph"/>
    <w:basedOn w:val="Normal"/>
    <w:uiPriority w:val="34"/>
    <w:qFormat/>
    <w:rsid w:val="00200846"/>
    <w:pPr>
      <w:ind w:left="720"/>
      <w:contextualSpacing/>
    </w:pPr>
  </w:style>
  <w:style w:type="character" w:styleId="CommentReference">
    <w:name w:val="annotation reference"/>
    <w:basedOn w:val="DefaultParagraphFont"/>
    <w:uiPriority w:val="99"/>
    <w:semiHidden/>
    <w:unhideWhenUsed/>
    <w:rsid w:val="00194EBE"/>
    <w:rPr>
      <w:sz w:val="16"/>
      <w:szCs w:val="16"/>
    </w:rPr>
  </w:style>
  <w:style w:type="paragraph" w:styleId="CommentText">
    <w:name w:val="annotation text"/>
    <w:basedOn w:val="Normal"/>
    <w:link w:val="CommentTextChar"/>
    <w:uiPriority w:val="99"/>
    <w:semiHidden/>
    <w:unhideWhenUsed/>
    <w:rsid w:val="00194EBE"/>
    <w:pPr>
      <w:spacing w:line="240" w:lineRule="auto"/>
    </w:pPr>
    <w:rPr>
      <w:sz w:val="20"/>
      <w:szCs w:val="20"/>
    </w:rPr>
  </w:style>
  <w:style w:type="character" w:customStyle="1" w:styleId="CommentTextChar">
    <w:name w:val="Comment Text Char"/>
    <w:basedOn w:val="DefaultParagraphFont"/>
    <w:link w:val="CommentText"/>
    <w:uiPriority w:val="99"/>
    <w:semiHidden/>
    <w:rsid w:val="00194EBE"/>
    <w:rPr>
      <w:sz w:val="20"/>
      <w:szCs w:val="20"/>
    </w:rPr>
  </w:style>
  <w:style w:type="paragraph" w:styleId="CommentSubject">
    <w:name w:val="annotation subject"/>
    <w:basedOn w:val="CommentText"/>
    <w:next w:val="CommentText"/>
    <w:link w:val="CommentSubjectChar"/>
    <w:uiPriority w:val="99"/>
    <w:semiHidden/>
    <w:unhideWhenUsed/>
    <w:rsid w:val="00194EBE"/>
    <w:rPr>
      <w:b/>
      <w:bCs/>
    </w:rPr>
  </w:style>
  <w:style w:type="character" w:customStyle="1" w:styleId="CommentSubjectChar">
    <w:name w:val="Comment Subject Char"/>
    <w:basedOn w:val="CommentTextChar"/>
    <w:link w:val="CommentSubject"/>
    <w:uiPriority w:val="99"/>
    <w:semiHidden/>
    <w:rsid w:val="00194E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12684">
      <w:bodyDiv w:val="1"/>
      <w:marLeft w:val="0"/>
      <w:marRight w:val="0"/>
      <w:marTop w:val="0"/>
      <w:marBottom w:val="0"/>
      <w:divBdr>
        <w:top w:val="none" w:sz="0" w:space="0" w:color="auto"/>
        <w:left w:val="none" w:sz="0" w:space="0" w:color="auto"/>
        <w:bottom w:val="none" w:sz="0" w:space="0" w:color="auto"/>
        <w:right w:val="none" w:sz="0" w:space="0" w:color="auto"/>
      </w:divBdr>
    </w:div>
    <w:div w:id="595091139">
      <w:bodyDiv w:val="1"/>
      <w:marLeft w:val="0"/>
      <w:marRight w:val="0"/>
      <w:marTop w:val="0"/>
      <w:marBottom w:val="0"/>
      <w:divBdr>
        <w:top w:val="none" w:sz="0" w:space="0" w:color="auto"/>
        <w:left w:val="none" w:sz="0" w:space="0" w:color="auto"/>
        <w:bottom w:val="none" w:sz="0" w:space="0" w:color="auto"/>
        <w:right w:val="none" w:sz="0" w:space="0" w:color="auto"/>
      </w:divBdr>
    </w:div>
    <w:div w:id="627510841">
      <w:bodyDiv w:val="1"/>
      <w:marLeft w:val="0"/>
      <w:marRight w:val="0"/>
      <w:marTop w:val="0"/>
      <w:marBottom w:val="0"/>
      <w:divBdr>
        <w:top w:val="none" w:sz="0" w:space="0" w:color="auto"/>
        <w:left w:val="none" w:sz="0" w:space="0" w:color="auto"/>
        <w:bottom w:val="none" w:sz="0" w:space="0" w:color="auto"/>
        <w:right w:val="none" w:sz="0" w:space="0" w:color="auto"/>
      </w:divBdr>
    </w:div>
    <w:div w:id="10032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rn.com/abstract=2451510"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FDD3-A46A-42CE-916F-6830DC76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3818</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Fails</dc:creator>
  <cp:keywords/>
  <dc:description/>
  <cp:lastModifiedBy>Matthew Fails</cp:lastModifiedBy>
  <cp:revision>14</cp:revision>
  <cp:lastPrinted>2019-03-08T15:42:00Z</cp:lastPrinted>
  <dcterms:created xsi:type="dcterms:W3CDTF">2019-02-06T19:09:00Z</dcterms:created>
  <dcterms:modified xsi:type="dcterms:W3CDTF">2019-03-08T16:09:00Z</dcterms:modified>
</cp:coreProperties>
</file>