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C0C" w:rsidRDefault="007C4C0C" w:rsidP="007C4C0C">
      <w:pPr>
        <w:pStyle w:val="Heading1"/>
        <w:jc w:val="center"/>
      </w:pPr>
      <w:r>
        <w:t xml:space="preserve">Online </w:t>
      </w:r>
      <w:r>
        <w:t>Supplement</w:t>
      </w:r>
      <w:r>
        <w:t xml:space="preserve"> A: ERGM Model Terms</w:t>
      </w:r>
    </w:p>
    <w:p w:rsidR="007C4C0C" w:rsidRDefault="007C4C0C" w:rsidP="007C4C0C">
      <w:r>
        <w:t>In this section, we describe each exponential random graph mo</w:t>
      </w:r>
      <w:bookmarkStart w:id="0" w:name="_GoBack"/>
      <w:bookmarkEnd w:id="0"/>
      <w:r>
        <w:t>del term, starting with the least structurally dependent terms (i.e., actor-level covariates) and concluding the most structurally dependent (i.e., triadic and degree terms that induce Markov dependence). Some terms are included as controls (age, gender) or to identify the processes under study due to nesting of marginal effects in network models (i.e., in- and out- degree distributions).</w:t>
      </w:r>
    </w:p>
    <w:p w:rsidR="007C4C0C" w:rsidRDefault="007C4C0C" w:rsidP="007C4C0C"/>
    <w:p w:rsidR="007C4C0C" w:rsidRDefault="007C4C0C" w:rsidP="007C4C0C">
      <w:r>
        <w:t xml:space="preserve">We include four “actor level” covariates to control for family members’ differential propensities to be involved in emotionally supportive relationships based on their personal attributes. </w:t>
      </w:r>
    </w:p>
    <w:p w:rsidR="007C4C0C" w:rsidRDefault="007C4C0C" w:rsidP="007C4C0C"/>
    <w:p w:rsidR="007C4C0C" w:rsidRDefault="007C4C0C" w:rsidP="007C4C0C">
      <w:r>
        <w:t xml:space="preserve">1) </w:t>
      </w:r>
      <w:r>
        <w:rPr>
          <w:i/>
        </w:rPr>
        <w:t>Number of unique exogenous supporters (NUES)</w:t>
      </w:r>
      <w:r>
        <w:t>: We add four statistics to the model equal to the number of emotional support partners that were not part of the observed family network for each (</w:t>
      </w:r>
      <w:proofErr w:type="spellStart"/>
      <w:proofErr w:type="gramStart"/>
      <w:r>
        <w:t>i,j</w:t>
      </w:r>
      <w:proofErr w:type="spellEnd"/>
      <w:proofErr w:type="gramEnd"/>
      <w:r>
        <w:t>) edge, we take the sum for each actor incident on that (in or out) tie. These terms test for the effect of the number of unique exogenous support (NUES) partners each network member reports on their propensity to send and receive ties, respectively. Significant positive values indicate that as the number of NUES goes up, the number of in- and out- ties also goes up. Two of the terms reflect NUES from socially related supporters and two of the terms reflect NUES from biologically related supporters.</w:t>
      </w:r>
    </w:p>
    <w:p w:rsidR="007C4C0C" w:rsidRDefault="007C4C0C" w:rsidP="007C4C0C">
      <w:pPr>
        <w:rPr>
          <w:i/>
        </w:rPr>
      </w:pPr>
    </w:p>
    <w:p w:rsidR="007C4C0C" w:rsidRDefault="007C4C0C" w:rsidP="007C4C0C">
      <w:r>
        <w:t>2)</w:t>
      </w:r>
      <w:r>
        <w:rPr>
          <w:i/>
        </w:rPr>
        <w:t xml:space="preserve"> Sociality by actor testing-status:</w:t>
      </w:r>
      <w:r>
        <w:t xml:space="preserve"> We add two statistics to the model equal to the sum of the number of times an actor that is a) a test recipient or b) a test decliner is incident on an edge in the network (compared with the number of times someone who was c) not-at-risk for receiving testing is incident on ties, e.g. the reference). A positive significant coefficient suggests that actors with that testing-status category is more likely to be involved in emotionally supportive relationships than the reference.</w:t>
      </w:r>
    </w:p>
    <w:p w:rsidR="007C4C0C" w:rsidRDefault="007C4C0C" w:rsidP="007C4C0C">
      <w:pPr>
        <w:rPr>
          <w:i/>
        </w:rPr>
      </w:pPr>
    </w:p>
    <w:p w:rsidR="007C4C0C" w:rsidRDefault="007C4C0C" w:rsidP="007C4C0C">
      <w:r>
        <w:t xml:space="preserve">3) </w:t>
      </w:r>
      <w:r>
        <w:rPr>
          <w:i/>
        </w:rPr>
        <w:t>Interaction between in/out tie effects of NUES and testing-status sociality:</w:t>
      </w:r>
      <w:r>
        <w:t xml:space="preserve"> To examine whether overall sociality among testers and decliners is moderated by the in- and out-tie effects of both socially and biologically related NUES, we add eight statistics to the model to capture the interaction between those terms. As conditional terms, significant positive values indicate that the tie effect of NUES has a greater impact on sociality for that testing-status than it does for the reference. </w:t>
      </w:r>
    </w:p>
    <w:p w:rsidR="007C4C0C" w:rsidRDefault="007C4C0C" w:rsidP="007C4C0C">
      <w:pPr>
        <w:rPr>
          <w:i/>
        </w:rPr>
      </w:pPr>
    </w:p>
    <w:p w:rsidR="007C4C0C" w:rsidRDefault="007C4C0C" w:rsidP="007C4C0C">
      <w:r>
        <w:t>4)</w:t>
      </w:r>
      <w:r>
        <w:rPr>
          <w:i/>
        </w:rPr>
        <w:t xml:space="preserve"> Sociality of males:</w:t>
      </w:r>
      <w:r>
        <w:t xml:space="preserve"> We add one statistic to the model equal to the sum of the number of times men (gender=1) are incident on ties in the network. When this statistic is </w:t>
      </w:r>
      <w:r>
        <w:lastRenderedPageBreak/>
        <w:t xml:space="preserve">positive and significant, it suggests that men are incident on more ties in the network than women. </w:t>
      </w:r>
    </w:p>
    <w:p w:rsidR="007C4C0C" w:rsidRDefault="007C4C0C" w:rsidP="007C4C0C">
      <w:pPr>
        <w:rPr>
          <w:i/>
        </w:rPr>
      </w:pPr>
    </w:p>
    <w:p w:rsidR="007C4C0C" w:rsidRDefault="007C4C0C" w:rsidP="007C4C0C">
      <w:r>
        <w:t xml:space="preserve">5) </w:t>
      </w:r>
      <w:r>
        <w:rPr>
          <w:i/>
        </w:rPr>
        <w:t>Absolute Difference in Age</w:t>
      </w:r>
      <w:r>
        <w:t>: We add one statistic to the model equal to the absolute difference in age between two actors with an edge between them. When this statistic is positive and significant, it indicates that edges are more likely to form between two actors as their age difference increases.</w:t>
      </w:r>
    </w:p>
    <w:p w:rsidR="007C4C0C" w:rsidRDefault="007C4C0C" w:rsidP="007C4C0C"/>
    <w:p w:rsidR="007C4C0C" w:rsidRDefault="007C4C0C" w:rsidP="007C4C0C">
      <w:r>
        <w:t>The next set of terms involve differential mixing between actors. These terms are edge covariates and model the likelihood of ties forming between two actors as a function of the values of the covariate between them.</w:t>
      </w:r>
    </w:p>
    <w:p w:rsidR="007C4C0C" w:rsidRDefault="007C4C0C" w:rsidP="007C4C0C"/>
    <w:p w:rsidR="007C4C0C" w:rsidRDefault="007C4C0C" w:rsidP="007C4C0C">
      <w:r>
        <w:t xml:space="preserve">6) </w:t>
      </w:r>
      <w:r>
        <w:rPr>
          <w:i/>
        </w:rPr>
        <w:t>Gender homophily:</w:t>
      </w:r>
      <w:r>
        <w:t xml:space="preserve"> We add one statistic to the model that equals the number of edges incident between actors of the same gender. A significant positive coefficient indicates greater likelihood of ties forming between same-gender partners than different gender partners.</w:t>
      </w:r>
    </w:p>
    <w:p w:rsidR="007C4C0C" w:rsidRDefault="007C4C0C" w:rsidP="007C4C0C"/>
    <w:p w:rsidR="007C4C0C" w:rsidRDefault="007C4C0C" w:rsidP="007C4C0C">
      <w:r>
        <w:t xml:space="preserve">7) </w:t>
      </w:r>
      <w:r>
        <w:rPr>
          <w:i/>
        </w:rPr>
        <w:t>Exogenous shared partners:</w:t>
      </w:r>
      <w:r>
        <w:t xml:space="preserve"> We add a single dyadic covariate equal to the number of shared support partners that are not part of the observed family network that two actors have in common. When the coefficient for this statistic is positive and significant, it suggests that actors are more likely to form ties when they share a greater number of exogenous support partners. </w:t>
      </w:r>
    </w:p>
    <w:p w:rsidR="007C4C0C" w:rsidRDefault="007C4C0C" w:rsidP="007C4C0C"/>
    <w:p w:rsidR="007C4C0C" w:rsidRDefault="007C4C0C" w:rsidP="007C4C0C">
      <w:r>
        <w:t>We also include several structural terms to the model. These terms involve higher-order network structure, such as reciprocity, triadic, and degree distribution effects.</w:t>
      </w:r>
    </w:p>
    <w:p w:rsidR="007C4C0C" w:rsidRDefault="007C4C0C" w:rsidP="007C4C0C"/>
    <w:p w:rsidR="007C4C0C" w:rsidRDefault="007C4C0C" w:rsidP="007C4C0C">
      <w:r>
        <w:t xml:space="preserve">8)  </w:t>
      </w:r>
      <w:r>
        <w:rPr>
          <w:i/>
        </w:rPr>
        <w:t xml:space="preserve">Baseline Reciprocity and </w:t>
      </w:r>
      <w:proofErr w:type="spellStart"/>
      <w:r>
        <w:rPr>
          <w:i/>
        </w:rPr>
        <w:t>Homophilous</w:t>
      </w:r>
      <w:proofErr w:type="spellEnd"/>
      <w:r>
        <w:rPr>
          <w:i/>
        </w:rPr>
        <w:t xml:space="preserve"> Reciprocity:</w:t>
      </w:r>
      <w:r>
        <w:t xml:space="preserve"> While we do not have dynamic network data, we include two statistics in the model that capture the number of mutual ties in the network, which is consistent with a social process of reciprocity in emotional support exchange. The first </w:t>
      </w:r>
      <w:proofErr w:type="spellStart"/>
      <w:r>
        <w:t>mutuals</w:t>
      </w:r>
      <w:proofErr w:type="spellEnd"/>
      <w:r>
        <w:t xml:space="preserve"> term captures reciprocity of support overall and the second term models the number of </w:t>
      </w:r>
      <w:proofErr w:type="spellStart"/>
      <w:r>
        <w:t>mutuals</w:t>
      </w:r>
      <w:proofErr w:type="spellEnd"/>
      <w:r>
        <w:t xml:space="preserve"> incident only between family members who share the same genetic test status (receiver&lt;-&gt;receiver, decliner&lt;-&gt;decliner, and not-at-risk&lt;-&gt;not-at-risk).</w:t>
      </w:r>
    </w:p>
    <w:p w:rsidR="007C4C0C" w:rsidRDefault="007C4C0C" w:rsidP="007C4C0C"/>
    <w:p w:rsidR="007C4C0C" w:rsidRDefault="007C4C0C" w:rsidP="007C4C0C">
      <w:r>
        <w:t xml:space="preserve">9) </w:t>
      </w:r>
      <w:r>
        <w:rPr>
          <w:i/>
        </w:rPr>
        <w:t>Geometrically weighted edgewise shared-partner (GWESP) distribution:</w:t>
      </w:r>
      <w:r>
        <w:t xml:space="preserve"> We include one statistic in the model equal to the geometrically weighted shared partner distribution of the observed network. The coefficient associated with this triadic term models the propensity for two actors who are connected by an edge to have in common one, two, three or more shared partners. We fix the weighting parameter to be equal to 0.85 based on diagnostic tests (this also facilitates estimation). While the interpretation of this </w:t>
      </w:r>
      <w:r>
        <w:lastRenderedPageBreak/>
        <w:t>coefficient depends on the distribution of shared partners in the network, in general, a significant positive coefficient would indicate that two family members sharing a greater number of emotional support partners increases the likelihood of ties forming between them.</w:t>
      </w:r>
    </w:p>
    <w:p w:rsidR="007C4C0C" w:rsidRDefault="007C4C0C" w:rsidP="007C4C0C"/>
    <w:p w:rsidR="007C4C0C" w:rsidRDefault="007C4C0C" w:rsidP="007C4C0C">
      <w:r>
        <w:t xml:space="preserve">10) </w:t>
      </w:r>
      <w:r>
        <w:rPr>
          <w:i/>
        </w:rPr>
        <w:t>Geometrically weighted in- and out-degree distributions:</w:t>
      </w:r>
      <w:r>
        <w:t xml:space="preserve"> We add two statistics to the model equal to the geometrically weighted in- and out-degree distributions. These terms model the propensity for actors to have zero, one, two, three, and up to </w:t>
      </w:r>
      <w:r>
        <w:rPr>
          <w:i/>
        </w:rPr>
        <w:t>n-1</w:t>
      </w:r>
      <w:r>
        <w:t xml:space="preserve"> ties directed toward and away from them, respectively. We fix the weighting parameters to be 0.97 and 0.42, respectively.  Like the geometrically weighted shared partner distributions, the interpretation of this coefficient depends on the degree distribution, though in general, positive coefficients reflect decreased likelihood of in/out ties to higher degree actors.</w:t>
      </w:r>
    </w:p>
    <w:p w:rsidR="007C4C0C" w:rsidRDefault="007C4C0C" w:rsidP="007C4C0C"/>
    <w:p w:rsidR="007C4C0C" w:rsidRDefault="007C4C0C" w:rsidP="007C4C0C">
      <w:r>
        <w:t xml:space="preserve">11) </w:t>
      </w:r>
      <w:proofErr w:type="spellStart"/>
      <w:r>
        <w:rPr>
          <w:i/>
        </w:rPr>
        <w:t>Twopaths</w:t>
      </w:r>
      <w:proofErr w:type="spellEnd"/>
      <w:r>
        <w:rPr>
          <w:i/>
        </w:rPr>
        <w:t xml:space="preserve">: </w:t>
      </w:r>
      <w:r>
        <w:t xml:space="preserve">We add one statistic to the model equal to the number of </w:t>
      </w:r>
      <w:proofErr w:type="spellStart"/>
      <w:r>
        <w:t>twopaths</w:t>
      </w:r>
      <w:proofErr w:type="spellEnd"/>
      <w:r>
        <w:t xml:space="preserve"> between </w:t>
      </w:r>
      <w:proofErr w:type="spellStart"/>
      <w:r>
        <w:t>i</w:t>
      </w:r>
      <w:proofErr w:type="spellEnd"/>
      <w:r>
        <w:t xml:space="preserve"> and k through node j. This term acts to support the principle of marginality to identify the triadic closure effect modeled by the GWESP term. A positive coefficient indicates that adding a single edge to increases the number of </w:t>
      </w:r>
      <w:proofErr w:type="spellStart"/>
      <w:r>
        <w:t>twopaths</w:t>
      </w:r>
      <w:proofErr w:type="spellEnd"/>
      <w:r>
        <w:t xml:space="preserve"> in the network (and thus increases the number of opportunities for triadic closure). </w:t>
      </w:r>
    </w:p>
    <w:p w:rsidR="007C4C0C" w:rsidRDefault="007C4C0C" w:rsidP="007C4C0C">
      <w:r>
        <w:br w:type="page"/>
      </w:r>
    </w:p>
    <w:p w:rsidR="007C4C0C" w:rsidRDefault="007C4C0C" w:rsidP="007C4C0C">
      <w:pPr>
        <w:pStyle w:val="Heading1"/>
        <w:jc w:val="center"/>
      </w:pPr>
      <w:bookmarkStart w:id="1" w:name="_l1ce72azwrty" w:colFirst="0" w:colLast="0"/>
      <w:bookmarkEnd w:id="1"/>
      <w:r>
        <w:lastRenderedPageBreak/>
        <w:t xml:space="preserve">Online </w:t>
      </w:r>
      <w:r>
        <w:t>Supplement</w:t>
      </w:r>
      <w:r>
        <w:t xml:space="preserve"> B: Summary Table of Final Model Results</w:t>
      </w:r>
    </w:p>
    <w:p w:rsidR="007C4C0C" w:rsidRDefault="007C4C0C" w:rsidP="007C4C0C"/>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58"/>
        <w:gridCol w:w="2466"/>
        <w:gridCol w:w="1056"/>
        <w:gridCol w:w="880"/>
      </w:tblGrid>
      <w:tr w:rsidR="007C4C0C" w:rsidTr="00D0081C">
        <w:trPr>
          <w:trHeight w:val="460"/>
        </w:trPr>
        <w:tc>
          <w:tcPr>
            <w:tcW w:w="4957"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b/>
                <w:sz w:val="20"/>
                <w:szCs w:val="20"/>
              </w:rPr>
              <w:t>Hypothesis</w:t>
            </w:r>
          </w:p>
        </w:tc>
        <w:tc>
          <w:tcPr>
            <w:tcW w:w="2465"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b/>
                <w:sz w:val="20"/>
                <w:szCs w:val="20"/>
              </w:rPr>
              <w:t>Term(s)</w:t>
            </w:r>
          </w:p>
        </w:tc>
        <w:tc>
          <w:tcPr>
            <w:tcW w:w="1056"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b/>
                <w:sz w:val="20"/>
                <w:szCs w:val="20"/>
              </w:rPr>
              <w:t>Expected Direction</w:t>
            </w:r>
          </w:p>
        </w:tc>
        <w:tc>
          <w:tcPr>
            <w:tcW w:w="880"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b/>
                <w:sz w:val="20"/>
                <w:szCs w:val="20"/>
              </w:rPr>
              <w:t>Result</w:t>
            </w:r>
          </w:p>
        </w:tc>
      </w:tr>
      <w:tr w:rsidR="007C4C0C" w:rsidTr="00D0081C">
        <w:trPr>
          <w:trHeight w:val="300"/>
        </w:trPr>
        <w:tc>
          <w:tcPr>
            <w:tcW w:w="4957" w:type="dxa"/>
            <w:shd w:val="clear" w:color="auto" w:fill="auto"/>
            <w:tcMar>
              <w:top w:w="0" w:type="dxa"/>
              <w:left w:w="40" w:type="dxa"/>
              <w:bottom w:w="0" w:type="dxa"/>
              <w:right w:w="40" w:type="dxa"/>
            </w:tcMar>
            <w:vAlign w:val="bottom"/>
          </w:tcPr>
          <w:p w:rsidR="007C4C0C" w:rsidRDefault="007C4C0C" w:rsidP="00D0081C">
            <w:pPr>
              <w:widowControl w:val="0"/>
              <w:rPr>
                <w:sz w:val="20"/>
                <w:szCs w:val="20"/>
              </w:rPr>
            </w:pPr>
            <w:r>
              <w:rPr>
                <w:sz w:val="20"/>
                <w:szCs w:val="20"/>
              </w:rPr>
              <w:t>H1</w:t>
            </w:r>
            <w:proofErr w:type="gramStart"/>
            <w:r>
              <w:rPr>
                <w:sz w:val="20"/>
                <w:szCs w:val="20"/>
              </w:rPr>
              <w:t>a :</w:t>
            </w:r>
            <w:proofErr w:type="gramEnd"/>
            <w:r>
              <w:rPr>
                <w:sz w:val="20"/>
                <w:szCs w:val="20"/>
              </w:rPr>
              <w:t xml:space="preserve"> Testing-Status Homophily</w:t>
            </w:r>
          </w:p>
        </w:tc>
        <w:tc>
          <w:tcPr>
            <w:tcW w:w="2465" w:type="dxa"/>
            <w:shd w:val="clear" w:color="auto" w:fill="auto"/>
            <w:tcMar>
              <w:top w:w="0" w:type="dxa"/>
              <w:left w:w="40" w:type="dxa"/>
              <w:bottom w:w="0" w:type="dxa"/>
              <w:right w:w="40" w:type="dxa"/>
            </w:tcMar>
            <w:vAlign w:val="bottom"/>
          </w:tcPr>
          <w:p w:rsidR="007C4C0C" w:rsidRDefault="007C4C0C" w:rsidP="00D0081C">
            <w:pPr>
              <w:widowControl w:val="0"/>
              <w:rPr>
                <w:sz w:val="20"/>
                <w:szCs w:val="20"/>
              </w:rPr>
            </w:pPr>
            <w:r>
              <w:rPr>
                <w:sz w:val="20"/>
                <w:szCs w:val="20"/>
              </w:rPr>
              <w:t>Receiver –&gt; Receiver Mixing (ref=other mixing)</w:t>
            </w:r>
          </w:p>
        </w:tc>
        <w:tc>
          <w:tcPr>
            <w:tcW w:w="1056"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sz w:val="20"/>
                <w:szCs w:val="20"/>
              </w:rPr>
              <w:t>"+"</w:t>
            </w:r>
          </w:p>
        </w:tc>
        <w:tc>
          <w:tcPr>
            <w:tcW w:w="880"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rFonts w:ascii="Arial Unicode MS" w:eastAsia="Arial Unicode MS" w:hAnsi="Arial Unicode MS" w:cs="Arial Unicode MS"/>
                <w:sz w:val="20"/>
                <w:szCs w:val="20"/>
              </w:rPr>
              <w:t>✔</w:t>
            </w:r>
          </w:p>
        </w:tc>
      </w:tr>
      <w:tr w:rsidR="007C4C0C" w:rsidTr="00D0081C">
        <w:trPr>
          <w:trHeight w:val="300"/>
        </w:trPr>
        <w:tc>
          <w:tcPr>
            <w:tcW w:w="4957" w:type="dxa"/>
            <w:tcMar>
              <w:top w:w="0" w:type="dxa"/>
              <w:left w:w="40" w:type="dxa"/>
              <w:bottom w:w="0" w:type="dxa"/>
              <w:right w:w="40" w:type="dxa"/>
            </w:tcMar>
            <w:vAlign w:val="bottom"/>
          </w:tcPr>
          <w:p w:rsidR="007C4C0C" w:rsidRDefault="007C4C0C" w:rsidP="00D0081C">
            <w:pPr>
              <w:widowControl w:val="0"/>
              <w:rPr>
                <w:sz w:val="20"/>
                <w:szCs w:val="20"/>
              </w:rPr>
            </w:pPr>
          </w:p>
        </w:tc>
        <w:tc>
          <w:tcPr>
            <w:tcW w:w="2465" w:type="dxa"/>
            <w:shd w:val="clear" w:color="auto" w:fill="auto"/>
            <w:tcMar>
              <w:top w:w="0" w:type="dxa"/>
              <w:left w:w="40" w:type="dxa"/>
              <w:bottom w:w="0" w:type="dxa"/>
              <w:right w:w="40" w:type="dxa"/>
            </w:tcMar>
            <w:vAlign w:val="bottom"/>
          </w:tcPr>
          <w:p w:rsidR="007C4C0C" w:rsidRDefault="007C4C0C" w:rsidP="00D0081C">
            <w:pPr>
              <w:widowControl w:val="0"/>
              <w:rPr>
                <w:sz w:val="20"/>
                <w:szCs w:val="20"/>
              </w:rPr>
            </w:pPr>
            <w:r>
              <w:rPr>
                <w:sz w:val="20"/>
                <w:szCs w:val="20"/>
              </w:rPr>
              <w:t>Decliner –&gt; Decliner Mixing (ref=other mixing)</w:t>
            </w:r>
          </w:p>
        </w:tc>
        <w:tc>
          <w:tcPr>
            <w:tcW w:w="1056"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sz w:val="20"/>
                <w:szCs w:val="20"/>
              </w:rPr>
              <w:t>"+"</w:t>
            </w:r>
          </w:p>
        </w:tc>
        <w:tc>
          <w:tcPr>
            <w:tcW w:w="880"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rFonts w:ascii="Arial Unicode MS" w:eastAsia="Arial Unicode MS" w:hAnsi="Arial Unicode MS" w:cs="Arial Unicode MS"/>
                <w:sz w:val="20"/>
                <w:szCs w:val="20"/>
              </w:rPr>
              <w:t>✔</w:t>
            </w:r>
          </w:p>
        </w:tc>
      </w:tr>
      <w:tr w:rsidR="007C4C0C" w:rsidTr="00D0081C">
        <w:trPr>
          <w:trHeight w:val="300"/>
        </w:trPr>
        <w:tc>
          <w:tcPr>
            <w:tcW w:w="4957" w:type="dxa"/>
            <w:shd w:val="clear" w:color="auto" w:fill="auto"/>
            <w:tcMar>
              <w:top w:w="0" w:type="dxa"/>
              <w:left w:w="40" w:type="dxa"/>
              <w:bottom w:w="0" w:type="dxa"/>
              <w:right w:w="40" w:type="dxa"/>
            </w:tcMar>
            <w:vAlign w:val="bottom"/>
          </w:tcPr>
          <w:p w:rsidR="007C4C0C" w:rsidRDefault="007C4C0C" w:rsidP="00D0081C">
            <w:pPr>
              <w:widowControl w:val="0"/>
              <w:rPr>
                <w:sz w:val="20"/>
                <w:szCs w:val="20"/>
              </w:rPr>
            </w:pPr>
            <w:r>
              <w:rPr>
                <w:sz w:val="20"/>
                <w:szCs w:val="20"/>
              </w:rPr>
              <w:t>H1</w:t>
            </w:r>
            <w:proofErr w:type="gramStart"/>
            <w:r>
              <w:rPr>
                <w:sz w:val="20"/>
                <w:szCs w:val="20"/>
              </w:rPr>
              <w:t>a :</w:t>
            </w:r>
            <w:proofErr w:type="gramEnd"/>
            <w:r>
              <w:rPr>
                <w:sz w:val="20"/>
                <w:szCs w:val="20"/>
              </w:rPr>
              <w:t xml:space="preserve"> Testing-Status Heterophily</w:t>
            </w:r>
          </w:p>
        </w:tc>
        <w:tc>
          <w:tcPr>
            <w:tcW w:w="2465" w:type="dxa"/>
            <w:shd w:val="clear" w:color="auto" w:fill="auto"/>
            <w:tcMar>
              <w:top w:w="0" w:type="dxa"/>
              <w:left w:w="40" w:type="dxa"/>
              <w:bottom w:w="0" w:type="dxa"/>
              <w:right w:w="40" w:type="dxa"/>
            </w:tcMar>
            <w:vAlign w:val="bottom"/>
          </w:tcPr>
          <w:p w:rsidR="007C4C0C" w:rsidRDefault="007C4C0C" w:rsidP="00D0081C">
            <w:pPr>
              <w:widowControl w:val="0"/>
              <w:rPr>
                <w:sz w:val="20"/>
                <w:szCs w:val="20"/>
              </w:rPr>
            </w:pPr>
            <w:r>
              <w:rPr>
                <w:sz w:val="20"/>
                <w:szCs w:val="20"/>
              </w:rPr>
              <w:t>Receiver –&gt; Decliner Mixing (ref=other mixing)</w:t>
            </w:r>
          </w:p>
        </w:tc>
        <w:tc>
          <w:tcPr>
            <w:tcW w:w="1056"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sz w:val="20"/>
                <w:szCs w:val="20"/>
              </w:rPr>
              <w:t>"+"</w:t>
            </w:r>
          </w:p>
        </w:tc>
        <w:tc>
          <w:tcPr>
            <w:tcW w:w="8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sz w:val="20"/>
                <w:szCs w:val="20"/>
              </w:rPr>
              <w:t>-</w:t>
            </w:r>
          </w:p>
        </w:tc>
      </w:tr>
      <w:tr w:rsidR="007C4C0C" w:rsidTr="00D0081C">
        <w:trPr>
          <w:trHeight w:val="300"/>
        </w:trPr>
        <w:tc>
          <w:tcPr>
            <w:tcW w:w="4957" w:type="dxa"/>
            <w:tcMar>
              <w:top w:w="0" w:type="dxa"/>
              <w:left w:w="40" w:type="dxa"/>
              <w:bottom w:w="0" w:type="dxa"/>
              <w:right w:w="40" w:type="dxa"/>
            </w:tcMar>
            <w:vAlign w:val="bottom"/>
          </w:tcPr>
          <w:p w:rsidR="007C4C0C" w:rsidRDefault="007C4C0C" w:rsidP="00D0081C">
            <w:pPr>
              <w:widowControl w:val="0"/>
              <w:rPr>
                <w:sz w:val="20"/>
                <w:szCs w:val="20"/>
              </w:rPr>
            </w:pPr>
          </w:p>
        </w:tc>
        <w:tc>
          <w:tcPr>
            <w:tcW w:w="2465" w:type="dxa"/>
            <w:shd w:val="clear" w:color="auto" w:fill="auto"/>
            <w:tcMar>
              <w:top w:w="0" w:type="dxa"/>
              <w:left w:w="40" w:type="dxa"/>
              <w:bottom w:w="0" w:type="dxa"/>
              <w:right w:w="40" w:type="dxa"/>
            </w:tcMar>
            <w:vAlign w:val="bottom"/>
          </w:tcPr>
          <w:p w:rsidR="007C4C0C" w:rsidRDefault="007C4C0C" w:rsidP="00D0081C">
            <w:pPr>
              <w:widowControl w:val="0"/>
              <w:rPr>
                <w:sz w:val="20"/>
                <w:szCs w:val="20"/>
              </w:rPr>
            </w:pPr>
            <w:r>
              <w:rPr>
                <w:sz w:val="20"/>
                <w:szCs w:val="20"/>
              </w:rPr>
              <w:t>Decliner –&gt; Receiver Mixing (ref=other mixing)</w:t>
            </w:r>
          </w:p>
        </w:tc>
        <w:tc>
          <w:tcPr>
            <w:tcW w:w="1056"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sz w:val="20"/>
                <w:szCs w:val="20"/>
              </w:rPr>
              <w:t>"+"</w:t>
            </w:r>
          </w:p>
        </w:tc>
        <w:tc>
          <w:tcPr>
            <w:tcW w:w="880"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b/>
                <w:sz w:val="20"/>
                <w:szCs w:val="20"/>
              </w:rPr>
              <w:t>X</w:t>
            </w:r>
          </w:p>
        </w:tc>
      </w:tr>
      <w:tr w:rsidR="007C4C0C" w:rsidTr="00D0081C">
        <w:trPr>
          <w:trHeight w:val="300"/>
        </w:trPr>
        <w:tc>
          <w:tcPr>
            <w:tcW w:w="4957" w:type="dxa"/>
            <w:shd w:val="clear" w:color="auto" w:fill="auto"/>
            <w:tcMar>
              <w:top w:w="0" w:type="dxa"/>
              <w:left w:w="40" w:type="dxa"/>
              <w:bottom w:w="0" w:type="dxa"/>
              <w:right w:w="40" w:type="dxa"/>
            </w:tcMar>
            <w:vAlign w:val="bottom"/>
          </w:tcPr>
          <w:p w:rsidR="007C4C0C" w:rsidRDefault="007C4C0C" w:rsidP="00D0081C">
            <w:pPr>
              <w:widowControl w:val="0"/>
              <w:rPr>
                <w:sz w:val="20"/>
                <w:szCs w:val="20"/>
              </w:rPr>
            </w:pPr>
            <w:r>
              <w:rPr>
                <w:sz w:val="20"/>
                <w:szCs w:val="20"/>
              </w:rPr>
              <w:t>H1b: Testing-Status Homophily &gt; Heterophily</w:t>
            </w:r>
          </w:p>
        </w:tc>
        <w:tc>
          <w:tcPr>
            <w:tcW w:w="2465" w:type="dxa"/>
            <w:shd w:val="clear" w:color="auto" w:fill="auto"/>
            <w:tcMar>
              <w:top w:w="0" w:type="dxa"/>
              <w:left w:w="40" w:type="dxa"/>
              <w:bottom w:w="0" w:type="dxa"/>
              <w:right w:w="40" w:type="dxa"/>
            </w:tcMar>
            <w:vAlign w:val="bottom"/>
          </w:tcPr>
          <w:p w:rsidR="007C4C0C" w:rsidRDefault="007C4C0C" w:rsidP="00D0081C">
            <w:pPr>
              <w:widowControl w:val="0"/>
              <w:rPr>
                <w:sz w:val="20"/>
                <w:szCs w:val="20"/>
              </w:rPr>
            </w:pPr>
            <w:r>
              <w:rPr>
                <w:sz w:val="20"/>
                <w:szCs w:val="20"/>
              </w:rPr>
              <w:t>" "</w:t>
            </w:r>
          </w:p>
        </w:tc>
        <w:tc>
          <w:tcPr>
            <w:tcW w:w="1056"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sz w:val="20"/>
                <w:szCs w:val="20"/>
              </w:rPr>
              <w:t>"+"</w:t>
            </w:r>
          </w:p>
        </w:tc>
        <w:tc>
          <w:tcPr>
            <w:tcW w:w="880"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b/>
                <w:sz w:val="20"/>
                <w:szCs w:val="20"/>
              </w:rPr>
              <w:t>X</w:t>
            </w:r>
          </w:p>
        </w:tc>
      </w:tr>
      <w:tr w:rsidR="007C4C0C" w:rsidTr="00D0081C">
        <w:trPr>
          <w:trHeight w:val="300"/>
        </w:trPr>
        <w:tc>
          <w:tcPr>
            <w:tcW w:w="4957" w:type="dxa"/>
            <w:shd w:val="clear" w:color="auto" w:fill="auto"/>
            <w:tcMar>
              <w:top w:w="0" w:type="dxa"/>
              <w:left w:w="40" w:type="dxa"/>
              <w:bottom w:w="0" w:type="dxa"/>
              <w:right w:w="40" w:type="dxa"/>
            </w:tcMar>
            <w:vAlign w:val="bottom"/>
          </w:tcPr>
          <w:p w:rsidR="007C4C0C" w:rsidRDefault="007C4C0C" w:rsidP="00D0081C">
            <w:pPr>
              <w:widowControl w:val="0"/>
              <w:rPr>
                <w:sz w:val="20"/>
                <w:szCs w:val="20"/>
              </w:rPr>
            </w:pPr>
            <w:r>
              <w:rPr>
                <w:sz w:val="20"/>
                <w:szCs w:val="20"/>
              </w:rPr>
              <w:t>H</w:t>
            </w:r>
            <w:proofErr w:type="gramStart"/>
            <w:r>
              <w:rPr>
                <w:sz w:val="20"/>
                <w:szCs w:val="20"/>
              </w:rPr>
              <w:t>2 :</w:t>
            </w:r>
            <w:proofErr w:type="gramEnd"/>
            <w:r>
              <w:rPr>
                <w:sz w:val="20"/>
                <w:szCs w:val="20"/>
              </w:rPr>
              <w:t xml:space="preserve"> Testing-Status Reciprocity</w:t>
            </w:r>
          </w:p>
        </w:tc>
        <w:tc>
          <w:tcPr>
            <w:tcW w:w="2465" w:type="dxa"/>
            <w:tcMar>
              <w:top w:w="0" w:type="dxa"/>
              <w:left w:w="40" w:type="dxa"/>
              <w:bottom w:w="0" w:type="dxa"/>
              <w:right w:w="40" w:type="dxa"/>
            </w:tcMar>
            <w:vAlign w:val="bottom"/>
          </w:tcPr>
          <w:p w:rsidR="007C4C0C" w:rsidRDefault="007C4C0C" w:rsidP="00D0081C">
            <w:pPr>
              <w:widowControl w:val="0"/>
              <w:rPr>
                <w:sz w:val="20"/>
                <w:szCs w:val="20"/>
              </w:rPr>
            </w:pPr>
            <w:proofErr w:type="spellStart"/>
            <w:r>
              <w:rPr>
                <w:sz w:val="20"/>
                <w:szCs w:val="20"/>
              </w:rPr>
              <w:t>Homophilous</w:t>
            </w:r>
            <w:proofErr w:type="spellEnd"/>
            <w:r>
              <w:rPr>
                <w:sz w:val="20"/>
                <w:szCs w:val="20"/>
              </w:rPr>
              <w:t xml:space="preserve"> Reciprocity</w:t>
            </w:r>
          </w:p>
        </w:tc>
        <w:tc>
          <w:tcPr>
            <w:tcW w:w="1056"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sz w:val="20"/>
                <w:szCs w:val="20"/>
              </w:rPr>
              <w:t>"+"</w:t>
            </w:r>
          </w:p>
        </w:tc>
        <w:tc>
          <w:tcPr>
            <w:tcW w:w="880"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b/>
                <w:sz w:val="20"/>
                <w:szCs w:val="20"/>
              </w:rPr>
              <w:t>X</w:t>
            </w:r>
          </w:p>
        </w:tc>
      </w:tr>
      <w:tr w:rsidR="007C4C0C" w:rsidTr="00D0081C">
        <w:trPr>
          <w:trHeight w:val="300"/>
        </w:trPr>
        <w:tc>
          <w:tcPr>
            <w:tcW w:w="4957" w:type="dxa"/>
            <w:tcMar>
              <w:top w:w="0" w:type="dxa"/>
              <w:left w:w="40" w:type="dxa"/>
              <w:bottom w:w="0" w:type="dxa"/>
              <w:right w:w="40" w:type="dxa"/>
            </w:tcMar>
            <w:vAlign w:val="bottom"/>
          </w:tcPr>
          <w:p w:rsidR="007C4C0C" w:rsidRDefault="007C4C0C" w:rsidP="00D0081C">
            <w:pPr>
              <w:widowControl w:val="0"/>
              <w:rPr>
                <w:sz w:val="20"/>
                <w:szCs w:val="20"/>
              </w:rPr>
            </w:pPr>
            <w:r>
              <w:rPr>
                <w:sz w:val="20"/>
                <w:szCs w:val="20"/>
              </w:rPr>
              <w:t>H3</w:t>
            </w:r>
            <w:proofErr w:type="gramStart"/>
            <w:r>
              <w:rPr>
                <w:sz w:val="20"/>
                <w:szCs w:val="20"/>
              </w:rPr>
              <w:t>a :</w:t>
            </w:r>
            <w:proofErr w:type="gramEnd"/>
            <w:r>
              <w:rPr>
                <w:sz w:val="20"/>
                <w:szCs w:val="20"/>
              </w:rPr>
              <w:t xml:space="preserve"> Shared Exogenous Support Increases Tie Formation</w:t>
            </w:r>
          </w:p>
        </w:tc>
        <w:tc>
          <w:tcPr>
            <w:tcW w:w="2465" w:type="dxa"/>
            <w:tcMar>
              <w:top w:w="0" w:type="dxa"/>
              <w:left w:w="40" w:type="dxa"/>
              <w:bottom w:w="0" w:type="dxa"/>
              <w:right w:w="40" w:type="dxa"/>
            </w:tcMar>
            <w:vAlign w:val="bottom"/>
          </w:tcPr>
          <w:p w:rsidR="007C4C0C" w:rsidRDefault="007C4C0C" w:rsidP="00D0081C">
            <w:pPr>
              <w:widowControl w:val="0"/>
              <w:rPr>
                <w:sz w:val="20"/>
                <w:szCs w:val="20"/>
              </w:rPr>
            </w:pPr>
            <w:r>
              <w:rPr>
                <w:sz w:val="20"/>
                <w:szCs w:val="20"/>
              </w:rPr>
              <w:t>Edgewise Exogenous Shared Partners</w:t>
            </w:r>
          </w:p>
        </w:tc>
        <w:tc>
          <w:tcPr>
            <w:tcW w:w="1056"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sz w:val="20"/>
                <w:szCs w:val="20"/>
              </w:rPr>
              <w:t>"+"</w:t>
            </w:r>
          </w:p>
        </w:tc>
        <w:tc>
          <w:tcPr>
            <w:tcW w:w="880"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rFonts w:ascii="Arial Unicode MS" w:eastAsia="Arial Unicode MS" w:hAnsi="Arial Unicode MS" w:cs="Arial Unicode MS"/>
                <w:sz w:val="20"/>
                <w:szCs w:val="20"/>
              </w:rPr>
              <w:t>✔</w:t>
            </w:r>
          </w:p>
        </w:tc>
      </w:tr>
      <w:tr w:rsidR="007C4C0C" w:rsidTr="00D0081C">
        <w:trPr>
          <w:trHeight w:val="300"/>
        </w:trPr>
        <w:tc>
          <w:tcPr>
            <w:tcW w:w="4957" w:type="dxa"/>
            <w:tcMar>
              <w:top w:w="0" w:type="dxa"/>
              <w:left w:w="40" w:type="dxa"/>
              <w:bottom w:w="0" w:type="dxa"/>
              <w:right w:w="40" w:type="dxa"/>
            </w:tcMar>
            <w:vAlign w:val="bottom"/>
          </w:tcPr>
          <w:p w:rsidR="007C4C0C" w:rsidRDefault="007C4C0C" w:rsidP="00D0081C">
            <w:pPr>
              <w:widowControl w:val="0"/>
              <w:rPr>
                <w:sz w:val="20"/>
                <w:szCs w:val="20"/>
              </w:rPr>
            </w:pPr>
            <w:r>
              <w:rPr>
                <w:sz w:val="20"/>
                <w:szCs w:val="20"/>
              </w:rPr>
              <w:t>H3</w:t>
            </w:r>
            <w:proofErr w:type="gramStart"/>
            <w:r>
              <w:rPr>
                <w:sz w:val="20"/>
                <w:szCs w:val="20"/>
              </w:rPr>
              <w:t>b :</w:t>
            </w:r>
            <w:proofErr w:type="gramEnd"/>
            <w:r>
              <w:rPr>
                <w:sz w:val="20"/>
                <w:szCs w:val="20"/>
              </w:rPr>
              <w:t xml:space="preserve"> Shared Endogenous Support Increases Tie Formation</w:t>
            </w:r>
          </w:p>
        </w:tc>
        <w:tc>
          <w:tcPr>
            <w:tcW w:w="2465" w:type="dxa"/>
            <w:tcMar>
              <w:top w:w="0" w:type="dxa"/>
              <w:left w:w="40" w:type="dxa"/>
              <w:bottom w:w="0" w:type="dxa"/>
              <w:right w:w="40" w:type="dxa"/>
            </w:tcMar>
            <w:vAlign w:val="bottom"/>
          </w:tcPr>
          <w:p w:rsidR="007C4C0C" w:rsidRDefault="007C4C0C" w:rsidP="00D0081C">
            <w:pPr>
              <w:widowControl w:val="0"/>
              <w:rPr>
                <w:sz w:val="20"/>
                <w:szCs w:val="20"/>
              </w:rPr>
            </w:pPr>
            <w:r>
              <w:rPr>
                <w:sz w:val="20"/>
                <w:szCs w:val="20"/>
              </w:rPr>
              <w:t>GW Edgewise Shared-Partner Distribution</w:t>
            </w:r>
          </w:p>
        </w:tc>
        <w:tc>
          <w:tcPr>
            <w:tcW w:w="1056"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sz w:val="20"/>
                <w:szCs w:val="20"/>
              </w:rPr>
              <w:t>"+"</w:t>
            </w:r>
          </w:p>
        </w:tc>
        <w:tc>
          <w:tcPr>
            <w:tcW w:w="880"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rFonts w:ascii="Arial Unicode MS" w:eastAsia="Arial Unicode MS" w:hAnsi="Arial Unicode MS" w:cs="Arial Unicode MS"/>
                <w:sz w:val="20"/>
                <w:szCs w:val="20"/>
              </w:rPr>
              <w:t>✔</w:t>
            </w:r>
          </w:p>
        </w:tc>
      </w:tr>
      <w:tr w:rsidR="007C4C0C" w:rsidTr="00D0081C">
        <w:trPr>
          <w:trHeight w:val="300"/>
        </w:trPr>
        <w:tc>
          <w:tcPr>
            <w:tcW w:w="4957" w:type="dxa"/>
            <w:tcMar>
              <w:top w:w="0" w:type="dxa"/>
              <w:left w:w="40" w:type="dxa"/>
              <w:bottom w:w="0" w:type="dxa"/>
              <w:right w:w="40" w:type="dxa"/>
            </w:tcMar>
            <w:vAlign w:val="bottom"/>
          </w:tcPr>
          <w:p w:rsidR="007C4C0C" w:rsidRDefault="007C4C0C" w:rsidP="00D0081C">
            <w:pPr>
              <w:widowControl w:val="0"/>
              <w:rPr>
                <w:sz w:val="20"/>
                <w:szCs w:val="20"/>
              </w:rPr>
            </w:pPr>
            <w:r>
              <w:rPr>
                <w:sz w:val="20"/>
                <w:szCs w:val="20"/>
              </w:rPr>
              <w:t>H4</w:t>
            </w:r>
            <w:proofErr w:type="gramStart"/>
            <w:r>
              <w:rPr>
                <w:sz w:val="20"/>
                <w:szCs w:val="20"/>
              </w:rPr>
              <w:t>a :</w:t>
            </w:r>
            <w:proofErr w:type="gramEnd"/>
            <w:r>
              <w:rPr>
                <w:sz w:val="20"/>
                <w:szCs w:val="20"/>
              </w:rPr>
              <w:t xml:space="preserve"> Number of unique exogenous supporters decreases in-ties</w:t>
            </w:r>
          </w:p>
        </w:tc>
        <w:tc>
          <w:tcPr>
            <w:tcW w:w="2465" w:type="dxa"/>
            <w:tcMar>
              <w:top w:w="0" w:type="dxa"/>
              <w:left w:w="40" w:type="dxa"/>
              <w:bottom w:w="0" w:type="dxa"/>
              <w:right w:w="40" w:type="dxa"/>
            </w:tcMar>
            <w:vAlign w:val="bottom"/>
          </w:tcPr>
          <w:p w:rsidR="007C4C0C" w:rsidRDefault="007C4C0C" w:rsidP="00D0081C">
            <w:pPr>
              <w:widowControl w:val="0"/>
              <w:rPr>
                <w:sz w:val="20"/>
                <w:szCs w:val="20"/>
              </w:rPr>
            </w:pPr>
            <w:r>
              <w:rPr>
                <w:sz w:val="20"/>
                <w:szCs w:val="20"/>
              </w:rPr>
              <w:t>In-</w:t>
            </w:r>
            <w:proofErr w:type="spellStart"/>
            <w:r>
              <w:rPr>
                <w:sz w:val="20"/>
                <w:szCs w:val="20"/>
              </w:rPr>
              <w:t>tie</w:t>
            </w:r>
            <w:proofErr w:type="spellEnd"/>
            <w:r>
              <w:rPr>
                <w:sz w:val="20"/>
                <w:szCs w:val="20"/>
              </w:rPr>
              <w:t xml:space="preserve"> effect of NUES</w:t>
            </w:r>
          </w:p>
        </w:tc>
        <w:tc>
          <w:tcPr>
            <w:tcW w:w="1056"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sz w:val="20"/>
                <w:szCs w:val="20"/>
              </w:rPr>
              <w:t>"-"</w:t>
            </w:r>
          </w:p>
        </w:tc>
        <w:tc>
          <w:tcPr>
            <w:tcW w:w="880"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rFonts w:ascii="Arial Unicode MS" w:eastAsia="Arial Unicode MS" w:hAnsi="Arial Unicode MS" w:cs="Arial Unicode MS"/>
                <w:sz w:val="20"/>
                <w:szCs w:val="20"/>
              </w:rPr>
              <w:t>✔</w:t>
            </w:r>
          </w:p>
        </w:tc>
      </w:tr>
      <w:tr w:rsidR="007C4C0C" w:rsidTr="00D0081C">
        <w:trPr>
          <w:trHeight w:val="300"/>
        </w:trPr>
        <w:tc>
          <w:tcPr>
            <w:tcW w:w="4957" w:type="dxa"/>
            <w:tcMar>
              <w:top w:w="0" w:type="dxa"/>
              <w:left w:w="40" w:type="dxa"/>
              <w:bottom w:w="0" w:type="dxa"/>
              <w:right w:w="40" w:type="dxa"/>
            </w:tcMar>
            <w:vAlign w:val="bottom"/>
          </w:tcPr>
          <w:p w:rsidR="007C4C0C" w:rsidRDefault="007C4C0C" w:rsidP="00D0081C">
            <w:pPr>
              <w:widowControl w:val="0"/>
              <w:rPr>
                <w:sz w:val="20"/>
                <w:szCs w:val="20"/>
              </w:rPr>
            </w:pPr>
            <w:r>
              <w:rPr>
                <w:sz w:val="20"/>
                <w:szCs w:val="20"/>
              </w:rPr>
              <w:t>H4</w:t>
            </w:r>
            <w:proofErr w:type="gramStart"/>
            <w:r>
              <w:rPr>
                <w:sz w:val="20"/>
                <w:szCs w:val="20"/>
              </w:rPr>
              <w:t>b :</w:t>
            </w:r>
            <w:proofErr w:type="gramEnd"/>
            <w:r>
              <w:rPr>
                <w:sz w:val="20"/>
                <w:szCs w:val="20"/>
              </w:rPr>
              <w:t xml:space="preserve"> Number of unique exogenous supporters increases out-ties</w:t>
            </w:r>
          </w:p>
        </w:tc>
        <w:tc>
          <w:tcPr>
            <w:tcW w:w="2465" w:type="dxa"/>
            <w:tcMar>
              <w:top w:w="0" w:type="dxa"/>
              <w:left w:w="40" w:type="dxa"/>
              <w:bottom w:w="0" w:type="dxa"/>
              <w:right w:w="40" w:type="dxa"/>
            </w:tcMar>
            <w:vAlign w:val="bottom"/>
          </w:tcPr>
          <w:p w:rsidR="007C4C0C" w:rsidRDefault="007C4C0C" w:rsidP="00D0081C">
            <w:pPr>
              <w:widowControl w:val="0"/>
              <w:rPr>
                <w:sz w:val="20"/>
                <w:szCs w:val="20"/>
              </w:rPr>
            </w:pPr>
            <w:r>
              <w:rPr>
                <w:sz w:val="20"/>
                <w:szCs w:val="20"/>
              </w:rPr>
              <w:t>Out-tie effect of NUES</w:t>
            </w:r>
          </w:p>
        </w:tc>
        <w:tc>
          <w:tcPr>
            <w:tcW w:w="1056"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sz w:val="20"/>
                <w:szCs w:val="20"/>
              </w:rPr>
              <w:t>"+"</w:t>
            </w:r>
          </w:p>
        </w:tc>
        <w:tc>
          <w:tcPr>
            <w:tcW w:w="880"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rFonts w:ascii="Arial Unicode MS" w:eastAsia="Arial Unicode MS" w:hAnsi="Arial Unicode MS" w:cs="Arial Unicode MS"/>
                <w:sz w:val="20"/>
                <w:szCs w:val="20"/>
              </w:rPr>
              <w:t>✔</w:t>
            </w:r>
          </w:p>
        </w:tc>
      </w:tr>
      <w:tr w:rsidR="007C4C0C" w:rsidTr="00D0081C">
        <w:trPr>
          <w:trHeight w:val="300"/>
        </w:trPr>
        <w:tc>
          <w:tcPr>
            <w:tcW w:w="4957" w:type="dxa"/>
            <w:shd w:val="clear" w:color="auto" w:fill="auto"/>
            <w:tcMar>
              <w:top w:w="0" w:type="dxa"/>
              <w:left w:w="40" w:type="dxa"/>
              <w:bottom w:w="0" w:type="dxa"/>
              <w:right w:w="40" w:type="dxa"/>
            </w:tcMar>
            <w:vAlign w:val="bottom"/>
          </w:tcPr>
          <w:p w:rsidR="007C4C0C" w:rsidRDefault="007C4C0C" w:rsidP="00D0081C">
            <w:pPr>
              <w:widowControl w:val="0"/>
              <w:rPr>
                <w:sz w:val="20"/>
                <w:szCs w:val="20"/>
              </w:rPr>
            </w:pPr>
            <w:r>
              <w:rPr>
                <w:sz w:val="20"/>
                <w:szCs w:val="20"/>
              </w:rPr>
              <w:t>H</w:t>
            </w:r>
            <w:proofErr w:type="gramStart"/>
            <w:r>
              <w:rPr>
                <w:sz w:val="20"/>
                <w:szCs w:val="20"/>
              </w:rPr>
              <w:t>5 :</w:t>
            </w:r>
            <w:proofErr w:type="gramEnd"/>
            <w:r>
              <w:rPr>
                <w:sz w:val="20"/>
                <w:szCs w:val="20"/>
              </w:rPr>
              <w:t xml:space="preserve"> In/Out-tie effects of NUES moderates overall sociality of family members at risk of disease</w:t>
            </w:r>
          </w:p>
        </w:tc>
        <w:tc>
          <w:tcPr>
            <w:tcW w:w="2465" w:type="dxa"/>
            <w:tcMar>
              <w:top w:w="0" w:type="dxa"/>
              <w:left w:w="40" w:type="dxa"/>
              <w:bottom w:w="0" w:type="dxa"/>
              <w:right w:w="40" w:type="dxa"/>
            </w:tcMar>
            <w:vAlign w:val="bottom"/>
          </w:tcPr>
          <w:p w:rsidR="007C4C0C" w:rsidRDefault="007C4C0C" w:rsidP="00D0081C">
            <w:pPr>
              <w:widowControl w:val="0"/>
              <w:rPr>
                <w:sz w:val="20"/>
                <w:szCs w:val="20"/>
              </w:rPr>
            </w:pPr>
            <w:r>
              <w:rPr>
                <w:sz w:val="20"/>
                <w:szCs w:val="20"/>
              </w:rPr>
              <w:t>Sociality of Receivers X In-</w:t>
            </w:r>
            <w:proofErr w:type="spellStart"/>
            <w:r>
              <w:rPr>
                <w:sz w:val="20"/>
                <w:szCs w:val="20"/>
              </w:rPr>
              <w:t>tie</w:t>
            </w:r>
            <w:proofErr w:type="spellEnd"/>
            <w:r>
              <w:rPr>
                <w:sz w:val="20"/>
                <w:szCs w:val="20"/>
              </w:rPr>
              <w:t xml:space="preserve"> effect of NUES</w:t>
            </w:r>
          </w:p>
        </w:tc>
        <w:tc>
          <w:tcPr>
            <w:tcW w:w="1056"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sz w:val="20"/>
                <w:szCs w:val="20"/>
              </w:rPr>
              <w:t>"-"</w:t>
            </w:r>
          </w:p>
        </w:tc>
        <w:tc>
          <w:tcPr>
            <w:tcW w:w="880"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sz w:val="20"/>
                <w:szCs w:val="20"/>
              </w:rPr>
              <w:t>-</w:t>
            </w:r>
          </w:p>
        </w:tc>
      </w:tr>
      <w:tr w:rsidR="007C4C0C" w:rsidTr="00D0081C">
        <w:trPr>
          <w:trHeight w:val="300"/>
        </w:trPr>
        <w:tc>
          <w:tcPr>
            <w:tcW w:w="4957" w:type="dxa"/>
            <w:tcMar>
              <w:top w:w="0" w:type="dxa"/>
              <w:left w:w="40" w:type="dxa"/>
              <w:bottom w:w="0" w:type="dxa"/>
              <w:right w:w="40" w:type="dxa"/>
            </w:tcMar>
            <w:vAlign w:val="bottom"/>
          </w:tcPr>
          <w:p w:rsidR="007C4C0C" w:rsidRDefault="007C4C0C" w:rsidP="00D0081C">
            <w:pPr>
              <w:widowControl w:val="0"/>
              <w:rPr>
                <w:sz w:val="20"/>
                <w:szCs w:val="20"/>
              </w:rPr>
            </w:pPr>
          </w:p>
        </w:tc>
        <w:tc>
          <w:tcPr>
            <w:tcW w:w="2465" w:type="dxa"/>
            <w:tcMar>
              <w:top w:w="0" w:type="dxa"/>
              <w:left w:w="40" w:type="dxa"/>
              <w:bottom w:w="0" w:type="dxa"/>
              <w:right w:w="40" w:type="dxa"/>
            </w:tcMar>
            <w:vAlign w:val="bottom"/>
          </w:tcPr>
          <w:p w:rsidR="007C4C0C" w:rsidRDefault="007C4C0C" w:rsidP="00D0081C">
            <w:pPr>
              <w:widowControl w:val="0"/>
              <w:rPr>
                <w:sz w:val="20"/>
                <w:szCs w:val="20"/>
              </w:rPr>
            </w:pPr>
            <w:r>
              <w:rPr>
                <w:sz w:val="20"/>
                <w:szCs w:val="20"/>
              </w:rPr>
              <w:t>Sociality of Decliners X In-</w:t>
            </w:r>
            <w:proofErr w:type="spellStart"/>
            <w:r>
              <w:rPr>
                <w:sz w:val="20"/>
                <w:szCs w:val="20"/>
              </w:rPr>
              <w:t>tie</w:t>
            </w:r>
            <w:proofErr w:type="spellEnd"/>
            <w:r>
              <w:rPr>
                <w:sz w:val="20"/>
                <w:szCs w:val="20"/>
              </w:rPr>
              <w:t xml:space="preserve"> effect of NUES</w:t>
            </w:r>
          </w:p>
        </w:tc>
        <w:tc>
          <w:tcPr>
            <w:tcW w:w="1056"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sz w:val="20"/>
                <w:szCs w:val="20"/>
              </w:rPr>
              <w:t>"-"</w:t>
            </w:r>
          </w:p>
        </w:tc>
        <w:tc>
          <w:tcPr>
            <w:tcW w:w="880"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sz w:val="20"/>
                <w:szCs w:val="20"/>
              </w:rPr>
              <w:t>-</w:t>
            </w:r>
          </w:p>
        </w:tc>
      </w:tr>
      <w:tr w:rsidR="007C4C0C" w:rsidTr="00D0081C">
        <w:trPr>
          <w:trHeight w:val="460"/>
        </w:trPr>
        <w:tc>
          <w:tcPr>
            <w:tcW w:w="4957" w:type="dxa"/>
            <w:tcMar>
              <w:top w:w="0" w:type="dxa"/>
              <w:left w:w="40" w:type="dxa"/>
              <w:bottom w:w="0" w:type="dxa"/>
              <w:right w:w="40" w:type="dxa"/>
            </w:tcMar>
            <w:vAlign w:val="bottom"/>
          </w:tcPr>
          <w:p w:rsidR="007C4C0C" w:rsidRDefault="007C4C0C" w:rsidP="00D0081C">
            <w:pPr>
              <w:widowControl w:val="0"/>
              <w:rPr>
                <w:sz w:val="20"/>
                <w:szCs w:val="20"/>
              </w:rPr>
            </w:pPr>
          </w:p>
        </w:tc>
        <w:tc>
          <w:tcPr>
            <w:tcW w:w="2465" w:type="dxa"/>
            <w:tcMar>
              <w:top w:w="0" w:type="dxa"/>
              <w:left w:w="40" w:type="dxa"/>
              <w:bottom w:w="0" w:type="dxa"/>
              <w:right w:w="40" w:type="dxa"/>
            </w:tcMar>
            <w:vAlign w:val="bottom"/>
          </w:tcPr>
          <w:p w:rsidR="007C4C0C" w:rsidRDefault="007C4C0C" w:rsidP="00D0081C">
            <w:pPr>
              <w:widowControl w:val="0"/>
              <w:rPr>
                <w:sz w:val="20"/>
                <w:szCs w:val="20"/>
              </w:rPr>
            </w:pPr>
            <w:r>
              <w:rPr>
                <w:sz w:val="20"/>
                <w:szCs w:val="20"/>
              </w:rPr>
              <w:t>Sociality of Receivers X Out-tie effect of NUES</w:t>
            </w:r>
          </w:p>
        </w:tc>
        <w:tc>
          <w:tcPr>
            <w:tcW w:w="1056"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sz w:val="20"/>
                <w:szCs w:val="20"/>
              </w:rPr>
              <w:t>"-"</w:t>
            </w:r>
          </w:p>
        </w:tc>
        <w:tc>
          <w:tcPr>
            <w:tcW w:w="880" w:type="dxa"/>
            <w:shd w:val="clear" w:color="auto" w:fill="auto"/>
            <w:tcMar>
              <w:top w:w="0" w:type="dxa"/>
              <w:left w:w="40" w:type="dxa"/>
              <w:bottom w:w="0" w:type="dxa"/>
              <w:right w:w="40" w:type="dxa"/>
            </w:tcMar>
            <w:vAlign w:val="bottom"/>
          </w:tcPr>
          <w:p w:rsidR="007C4C0C" w:rsidRDefault="007C4C0C" w:rsidP="00D0081C">
            <w:pPr>
              <w:widowControl w:val="0"/>
              <w:jc w:val="center"/>
              <w:rPr>
                <w:sz w:val="20"/>
                <w:szCs w:val="20"/>
              </w:rPr>
            </w:pPr>
            <w:r>
              <w:rPr>
                <w:rFonts w:ascii="Arial Unicode MS" w:eastAsia="Arial Unicode MS" w:hAnsi="Arial Unicode MS" w:cs="Arial Unicode MS"/>
                <w:sz w:val="20"/>
                <w:szCs w:val="20"/>
              </w:rPr>
              <w:t>✔</w:t>
            </w:r>
          </w:p>
        </w:tc>
      </w:tr>
    </w:tbl>
    <w:p w:rsidR="007C4C0C" w:rsidRDefault="007C4C0C" w:rsidP="007C4C0C">
      <w:r>
        <w:t>Table 3</w:t>
      </w:r>
      <w:r>
        <w:rPr>
          <w:rFonts w:ascii="Arial Unicode MS" w:eastAsia="Arial Unicode MS" w:hAnsi="Arial Unicode MS" w:cs="Arial Unicode MS"/>
        </w:rPr>
        <w:t>. Summary of hypotheses, model terms, expected effects (“</w:t>
      </w:r>
      <w:proofErr w:type="gramStart"/>
      <w:r>
        <w:rPr>
          <w:rFonts w:ascii="Arial Unicode MS" w:eastAsia="Arial Unicode MS" w:hAnsi="Arial Unicode MS" w:cs="Arial Unicode MS"/>
        </w:rPr>
        <w:t>+”=</w:t>
      </w:r>
      <w:proofErr w:type="gramEnd"/>
      <w:r>
        <w:rPr>
          <w:rFonts w:ascii="Arial Unicode MS" w:eastAsia="Arial Unicode MS" w:hAnsi="Arial Unicode MS" w:cs="Arial Unicode MS"/>
        </w:rPr>
        <w:t xml:space="preserve">positive effect, “-”=negative effect), and results (✔= significant effect in expected direction, X = significant in opposite direction, ns= effect not significant). </w:t>
      </w:r>
      <w:r>
        <w:br w:type="page"/>
      </w:r>
    </w:p>
    <w:p w:rsidR="007C4C0C" w:rsidRDefault="007C4C0C" w:rsidP="007C4C0C">
      <w:pPr>
        <w:pStyle w:val="Heading1"/>
        <w:jc w:val="center"/>
      </w:pPr>
      <w:bookmarkStart w:id="2" w:name="_tswexz34a42j" w:colFirst="0" w:colLast="0"/>
      <w:bookmarkEnd w:id="2"/>
      <w:r>
        <w:lastRenderedPageBreak/>
        <w:t xml:space="preserve">Online </w:t>
      </w:r>
      <w:r>
        <w:t>Supplement</w:t>
      </w:r>
      <w:r>
        <w:t xml:space="preserve"> C: Alternative Model Results</w:t>
      </w:r>
    </w:p>
    <w:p w:rsidR="007C4C0C" w:rsidRDefault="007C4C0C" w:rsidP="007C4C0C"/>
    <w:tbl>
      <w:tblPr>
        <w:tblW w:w="8910" w:type="dxa"/>
        <w:tblInd w:w="-95" w:type="dxa"/>
        <w:tblBorders>
          <w:top w:val="nil"/>
          <w:left w:val="nil"/>
          <w:bottom w:val="nil"/>
          <w:right w:val="nil"/>
          <w:insideH w:val="nil"/>
          <w:insideV w:val="nil"/>
        </w:tblBorders>
        <w:tblLayout w:type="fixed"/>
        <w:tblLook w:val="0600" w:firstRow="0" w:lastRow="0" w:firstColumn="0" w:lastColumn="0" w:noHBand="1" w:noVBand="1"/>
      </w:tblPr>
      <w:tblGrid>
        <w:gridCol w:w="2190"/>
        <w:gridCol w:w="975"/>
        <w:gridCol w:w="345"/>
        <w:gridCol w:w="930"/>
        <w:gridCol w:w="345"/>
        <w:gridCol w:w="960"/>
        <w:gridCol w:w="420"/>
        <w:gridCol w:w="990"/>
        <w:gridCol w:w="375"/>
        <w:gridCol w:w="990"/>
        <w:gridCol w:w="390"/>
      </w:tblGrid>
      <w:tr w:rsidR="007C4C0C" w:rsidTr="00D0081C">
        <w:trPr>
          <w:trHeight w:val="300"/>
        </w:trPr>
        <w:tc>
          <w:tcPr>
            <w:tcW w:w="2190"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jc w:val="center"/>
              <w:rPr>
                <w:sz w:val="20"/>
                <w:szCs w:val="20"/>
              </w:rPr>
            </w:pPr>
            <w:r>
              <w:rPr>
                <w:b/>
                <w:sz w:val="22"/>
                <w:szCs w:val="22"/>
              </w:rPr>
              <w:t>Model Term</w:t>
            </w:r>
          </w:p>
        </w:tc>
        <w:tc>
          <w:tcPr>
            <w:tcW w:w="975"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jc w:val="center"/>
              <w:rPr>
                <w:sz w:val="20"/>
                <w:szCs w:val="20"/>
              </w:rPr>
            </w:pPr>
            <w:r>
              <w:rPr>
                <w:b/>
                <w:sz w:val="22"/>
                <w:szCs w:val="22"/>
              </w:rPr>
              <w:t>Model 1</w:t>
            </w:r>
          </w:p>
        </w:tc>
        <w:tc>
          <w:tcPr>
            <w:tcW w:w="345"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jc w:val="center"/>
              <w:rPr>
                <w:sz w:val="20"/>
                <w:szCs w:val="20"/>
              </w:rPr>
            </w:pPr>
          </w:p>
        </w:tc>
        <w:tc>
          <w:tcPr>
            <w:tcW w:w="930"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jc w:val="center"/>
              <w:rPr>
                <w:sz w:val="20"/>
                <w:szCs w:val="20"/>
              </w:rPr>
            </w:pPr>
            <w:r>
              <w:rPr>
                <w:b/>
                <w:sz w:val="22"/>
                <w:szCs w:val="22"/>
              </w:rPr>
              <w:t>Model 2</w:t>
            </w:r>
          </w:p>
        </w:tc>
        <w:tc>
          <w:tcPr>
            <w:tcW w:w="345"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jc w:val="center"/>
              <w:rPr>
                <w:sz w:val="20"/>
                <w:szCs w:val="20"/>
              </w:rPr>
            </w:pPr>
          </w:p>
        </w:tc>
        <w:tc>
          <w:tcPr>
            <w:tcW w:w="960"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jc w:val="center"/>
              <w:rPr>
                <w:sz w:val="20"/>
                <w:szCs w:val="20"/>
              </w:rPr>
            </w:pPr>
            <w:r>
              <w:rPr>
                <w:b/>
                <w:sz w:val="22"/>
                <w:szCs w:val="22"/>
              </w:rPr>
              <w:t>Model 3</w:t>
            </w:r>
          </w:p>
        </w:tc>
        <w:tc>
          <w:tcPr>
            <w:tcW w:w="420"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jc w:val="center"/>
              <w:rPr>
                <w:sz w:val="20"/>
                <w:szCs w:val="20"/>
              </w:rPr>
            </w:pPr>
          </w:p>
        </w:tc>
        <w:tc>
          <w:tcPr>
            <w:tcW w:w="990"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jc w:val="center"/>
              <w:rPr>
                <w:sz w:val="20"/>
                <w:szCs w:val="20"/>
              </w:rPr>
            </w:pPr>
            <w:r>
              <w:rPr>
                <w:b/>
                <w:sz w:val="22"/>
                <w:szCs w:val="22"/>
              </w:rPr>
              <w:t>Model 4</w:t>
            </w:r>
          </w:p>
        </w:tc>
        <w:tc>
          <w:tcPr>
            <w:tcW w:w="375"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jc w:val="center"/>
              <w:rPr>
                <w:sz w:val="20"/>
                <w:szCs w:val="20"/>
              </w:rPr>
            </w:pPr>
          </w:p>
        </w:tc>
        <w:tc>
          <w:tcPr>
            <w:tcW w:w="990"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jc w:val="center"/>
              <w:rPr>
                <w:sz w:val="20"/>
                <w:szCs w:val="20"/>
              </w:rPr>
            </w:pPr>
            <w:r>
              <w:rPr>
                <w:b/>
                <w:sz w:val="22"/>
                <w:szCs w:val="22"/>
              </w:rPr>
              <w:t>Final Model</w:t>
            </w:r>
          </w:p>
        </w:tc>
        <w:tc>
          <w:tcPr>
            <w:tcW w:w="390"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rsidR="007C4C0C" w:rsidRDefault="007C4C0C" w:rsidP="00D0081C">
            <w:pPr>
              <w:rPr>
                <w:sz w:val="20"/>
                <w:szCs w:val="20"/>
              </w:rPr>
            </w:pPr>
          </w:p>
        </w:tc>
      </w:tr>
      <w:tr w:rsidR="007C4C0C" w:rsidTr="00D0081C">
        <w:trPr>
          <w:trHeight w:val="300"/>
        </w:trPr>
        <w:tc>
          <w:tcPr>
            <w:tcW w:w="2190" w:type="dxa"/>
            <w:tcBorders>
              <w:top w:val="single" w:sz="6" w:space="0" w:color="CCCCCC"/>
              <w:left w:val="single" w:sz="6" w:space="0" w:color="A9D08E"/>
              <w:bottom w:val="single" w:sz="6" w:space="0" w:color="A9D08E"/>
              <w:right w:val="single" w:sz="6" w:space="0" w:color="000000"/>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Edges</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-2.809 (0.724)</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-3.504 (0.800)</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-3.277 (0.768)</w:t>
            </w: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-3.792 (0.788)</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-3.767 (0.810)</w:t>
            </w:r>
          </w:p>
        </w:tc>
        <w:tc>
          <w:tcPr>
            <w:tcW w:w="3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7C4C0C" w:rsidRDefault="007C4C0C" w:rsidP="00D0081C">
            <w:pPr>
              <w:rPr>
                <w:sz w:val="20"/>
                <w:szCs w:val="20"/>
              </w:rPr>
            </w:pPr>
            <w:r>
              <w:rPr>
                <w:sz w:val="20"/>
                <w:szCs w:val="20"/>
              </w:rPr>
              <w:t>***</w:t>
            </w:r>
          </w:p>
        </w:tc>
      </w:tr>
      <w:tr w:rsidR="007C4C0C" w:rsidTr="00D0081C">
        <w:trPr>
          <w:trHeight w:val="300"/>
        </w:trPr>
        <w:tc>
          <w:tcPr>
            <w:tcW w:w="219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Sociality of Receivers (ref=others)</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-1.224 (0.306)</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-0.997 (0.372)</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-1.239 (0.308)</w:t>
            </w: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-0.848 (0.373)</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-0.874 (0.379)</w:t>
            </w:r>
          </w:p>
        </w:tc>
        <w:tc>
          <w:tcPr>
            <w:tcW w:w="3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7C4C0C" w:rsidRDefault="007C4C0C" w:rsidP="00D0081C">
            <w:pPr>
              <w:rPr>
                <w:sz w:val="20"/>
                <w:szCs w:val="20"/>
              </w:rPr>
            </w:pPr>
            <w:r>
              <w:rPr>
                <w:sz w:val="20"/>
                <w:szCs w:val="20"/>
              </w:rPr>
              <w:t>*</w:t>
            </w:r>
          </w:p>
        </w:tc>
      </w:tr>
      <w:tr w:rsidR="007C4C0C" w:rsidTr="00D0081C">
        <w:trPr>
          <w:trHeight w:val="300"/>
        </w:trPr>
        <w:tc>
          <w:tcPr>
            <w:tcW w:w="2190" w:type="dxa"/>
            <w:tcBorders>
              <w:top w:val="single" w:sz="6" w:space="0" w:color="CCCCCC"/>
              <w:left w:val="single" w:sz="6" w:space="0" w:color="CCCCCC"/>
              <w:bottom w:val="single" w:sz="6" w:space="0" w:color="A9D08E"/>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Sociality of Decliners (ref=others)</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-1.361 (0.360)</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-1.474 (0.436)</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-1.433 (0.369)</w:t>
            </w: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-1.601 (0.474)</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-1.654 (0.480)</w:t>
            </w:r>
          </w:p>
        </w:tc>
        <w:tc>
          <w:tcPr>
            <w:tcW w:w="3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7C4C0C" w:rsidRDefault="007C4C0C" w:rsidP="00D0081C">
            <w:pPr>
              <w:rPr>
                <w:sz w:val="20"/>
                <w:szCs w:val="20"/>
              </w:rPr>
            </w:pPr>
            <w:r>
              <w:rPr>
                <w:sz w:val="20"/>
                <w:szCs w:val="20"/>
              </w:rPr>
              <w:t>***</w:t>
            </w:r>
          </w:p>
        </w:tc>
      </w:tr>
      <w:tr w:rsidR="007C4C0C" w:rsidTr="00D0081C">
        <w:trPr>
          <w:trHeight w:val="300"/>
        </w:trPr>
        <w:tc>
          <w:tcPr>
            <w:tcW w:w="2190" w:type="dxa"/>
            <w:tcBorders>
              <w:top w:val="single" w:sz="6" w:space="0" w:color="CCCCCC"/>
              <w:left w:val="single" w:sz="6" w:space="0" w:color="A9D08E"/>
              <w:bottom w:val="single" w:sz="6" w:space="0" w:color="A9D08E"/>
              <w:right w:val="single" w:sz="6" w:space="0" w:color="000000"/>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Edgewise Exogenous Shared Partners</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1.094 (0.175)</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1.081 (0.171)</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1.084 (0.177)</w:t>
            </w: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1.089 (0.181)</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1.070 (0.180)</w:t>
            </w:r>
          </w:p>
        </w:tc>
        <w:tc>
          <w:tcPr>
            <w:tcW w:w="3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7C4C0C" w:rsidRDefault="007C4C0C" w:rsidP="00D0081C">
            <w:pPr>
              <w:rPr>
                <w:sz w:val="20"/>
                <w:szCs w:val="20"/>
              </w:rPr>
            </w:pPr>
            <w:r>
              <w:rPr>
                <w:sz w:val="20"/>
                <w:szCs w:val="20"/>
              </w:rPr>
              <w:t>***</w:t>
            </w:r>
          </w:p>
        </w:tc>
      </w:tr>
      <w:tr w:rsidR="007C4C0C" w:rsidTr="00D0081C">
        <w:trPr>
          <w:trHeight w:val="300"/>
        </w:trPr>
        <w:tc>
          <w:tcPr>
            <w:tcW w:w="2190" w:type="dxa"/>
            <w:tcBorders>
              <w:top w:val="single" w:sz="6" w:space="0" w:color="CCCCCC"/>
              <w:left w:val="single" w:sz="6" w:space="0" w:color="CCCCCC"/>
              <w:bottom w:val="single" w:sz="6" w:space="0" w:color="A9D08E"/>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Sociality of Males (ref=females)</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-0.278 (0.161)</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-0.274 (0.164)</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-0.227 (0.162)</w:t>
            </w: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-0.260 (0.168)</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-0.273 (0.171)</w:t>
            </w:r>
          </w:p>
        </w:tc>
        <w:tc>
          <w:tcPr>
            <w:tcW w:w="3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7C4C0C" w:rsidRDefault="007C4C0C" w:rsidP="00D0081C">
            <w:pPr>
              <w:rPr>
                <w:sz w:val="20"/>
                <w:szCs w:val="20"/>
              </w:rPr>
            </w:pPr>
          </w:p>
        </w:tc>
      </w:tr>
      <w:tr w:rsidR="007C4C0C" w:rsidTr="00D0081C">
        <w:trPr>
          <w:trHeight w:val="300"/>
        </w:trPr>
        <w:tc>
          <w:tcPr>
            <w:tcW w:w="2190" w:type="dxa"/>
            <w:tcBorders>
              <w:top w:val="single" w:sz="6" w:space="0" w:color="CCCCCC"/>
              <w:left w:val="single" w:sz="6" w:space="0" w:color="A9D08E"/>
              <w:bottom w:val="single" w:sz="6" w:space="0" w:color="A9D08E"/>
              <w:right w:val="single" w:sz="6" w:space="0" w:color="000000"/>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Absolute Difference in Age</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-0.001 (0.006)</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-0.000 (0.006)</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-0.002 (0.006)</w:t>
            </w: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-0.001 (0.006)</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-0.001 (0.007)</w:t>
            </w:r>
          </w:p>
        </w:tc>
        <w:tc>
          <w:tcPr>
            <w:tcW w:w="3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7C4C0C" w:rsidRDefault="007C4C0C" w:rsidP="00D0081C">
            <w:pPr>
              <w:rPr>
                <w:sz w:val="20"/>
                <w:szCs w:val="20"/>
              </w:rPr>
            </w:pPr>
          </w:p>
        </w:tc>
      </w:tr>
      <w:tr w:rsidR="007C4C0C" w:rsidTr="00D0081C">
        <w:trPr>
          <w:trHeight w:val="300"/>
        </w:trPr>
        <w:tc>
          <w:tcPr>
            <w:tcW w:w="2190" w:type="dxa"/>
            <w:tcBorders>
              <w:top w:val="single" w:sz="6" w:space="0" w:color="CCCCCC"/>
              <w:left w:val="single" w:sz="6" w:space="0" w:color="A9D08E"/>
              <w:bottom w:val="single" w:sz="6" w:space="0" w:color="A9D08E"/>
              <w:right w:val="single" w:sz="6" w:space="0" w:color="000000"/>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Gender Homophily (ref=heterophily)</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-0.339 (0.225)</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-0.378 (0.232)</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-0.345 (0.226)</w:t>
            </w: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-0.416 (0.237)</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-0.431 (0.241)</w:t>
            </w:r>
          </w:p>
        </w:tc>
        <w:tc>
          <w:tcPr>
            <w:tcW w:w="390" w:type="dxa"/>
            <w:tcBorders>
              <w:top w:val="single" w:sz="6" w:space="0" w:color="CCCCCC"/>
              <w:left w:val="single" w:sz="6" w:space="0" w:color="CCCCCC"/>
              <w:bottom w:val="single" w:sz="6" w:space="0" w:color="A9D08E"/>
              <w:right w:val="single" w:sz="6" w:space="0" w:color="CCCCCC"/>
            </w:tcBorders>
            <w:tcMar>
              <w:top w:w="0" w:type="dxa"/>
              <w:left w:w="40" w:type="dxa"/>
              <w:bottom w:w="0" w:type="dxa"/>
              <w:right w:w="40" w:type="dxa"/>
            </w:tcMar>
            <w:vAlign w:val="bottom"/>
          </w:tcPr>
          <w:p w:rsidR="007C4C0C" w:rsidRDefault="007C4C0C" w:rsidP="00D0081C">
            <w:pPr>
              <w:rPr>
                <w:sz w:val="20"/>
                <w:szCs w:val="20"/>
              </w:rPr>
            </w:pPr>
          </w:p>
        </w:tc>
      </w:tr>
      <w:tr w:rsidR="007C4C0C" w:rsidTr="00D0081C">
        <w:trPr>
          <w:trHeight w:val="300"/>
        </w:trPr>
        <w:tc>
          <w:tcPr>
            <w:tcW w:w="219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Receiver –&gt; Receiver Mixing (ref=other mixing)</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1.831 (0.601)</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1.718 (0.665)</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1.767 (0.608)</w:t>
            </w: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1.639 (0.661)</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1.661 (0.665)</w:t>
            </w:r>
          </w:p>
        </w:tc>
        <w:tc>
          <w:tcPr>
            <w:tcW w:w="3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r>
      <w:tr w:rsidR="007C4C0C" w:rsidTr="00D0081C">
        <w:trPr>
          <w:trHeight w:val="300"/>
        </w:trPr>
        <w:tc>
          <w:tcPr>
            <w:tcW w:w="219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Decliner –&gt; Receiver Mixing (ref=other mixing)</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1.700 (0.627)</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1.694 (0.635)</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1.637 (0.637)</w:t>
            </w: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1.748 (0.643)</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1.753 (0.646)</w:t>
            </w:r>
          </w:p>
        </w:tc>
        <w:tc>
          <w:tcPr>
            <w:tcW w:w="3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r>
      <w:tr w:rsidR="007C4C0C" w:rsidTr="00D0081C">
        <w:trPr>
          <w:trHeight w:val="300"/>
        </w:trPr>
        <w:tc>
          <w:tcPr>
            <w:tcW w:w="219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Receiver –&gt; Decliner Mixing (ref=other mixing)</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0.228 (0.630)</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0.230 (0.618)</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0.389 (0.634)</w:t>
            </w: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0.501 (0.670)</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0.501 (0.679)</w:t>
            </w:r>
          </w:p>
        </w:tc>
        <w:tc>
          <w:tcPr>
            <w:tcW w:w="3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r>
      <w:tr w:rsidR="007C4C0C" w:rsidTr="00D0081C">
        <w:trPr>
          <w:trHeight w:val="300"/>
        </w:trPr>
        <w:tc>
          <w:tcPr>
            <w:tcW w:w="219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Decliner –&gt; Decliner Mixing (ref=other mixing)</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2.267 (0.790)</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2.160 (0.842)</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2.451 (0.798)</w:t>
            </w: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2.607 (0.872)</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2.529 (0.887)</w:t>
            </w:r>
          </w:p>
        </w:tc>
        <w:tc>
          <w:tcPr>
            <w:tcW w:w="3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r>
      <w:tr w:rsidR="007C4C0C" w:rsidTr="00D0081C">
        <w:trPr>
          <w:trHeight w:val="300"/>
        </w:trPr>
        <w:tc>
          <w:tcPr>
            <w:tcW w:w="219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7C4C0C" w:rsidRDefault="007C4C0C" w:rsidP="00D0081C">
            <w:pPr>
              <w:rPr>
                <w:sz w:val="20"/>
                <w:szCs w:val="20"/>
              </w:rPr>
            </w:pPr>
            <w:proofErr w:type="spellStart"/>
            <w:r>
              <w:rPr>
                <w:sz w:val="20"/>
                <w:szCs w:val="20"/>
              </w:rPr>
              <w:t>Homophilous</w:t>
            </w:r>
            <w:proofErr w:type="spellEnd"/>
            <w:r>
              <w:rPr>
                <w:sz w:val="20"/>
                <w:szCs w:val="20"/>
              </w:rPr>
              <w:t xml:space="preserve"> Reciprocity</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-2.324 (0.665)</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-2.292 (0.709)</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-2.340 (0.658)</w:t>
            </w: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-2.251 (0.703)</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-2.279 (0.698)</w:t>
            </w:r>
          </w:p>
        </w:tc>
        <w:tc>
          <w:tcPr>
            <w:tcW w:w="3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r>
      <w:tr w:rsidR="007C4C0C" w:rsidTr="00D0081C">
        <w:trPr>
          <w:trHeight w:val="300"/>
        </w:trPr>
        <w:tc>
          <w:tcPr>
            <w:tcW w:w="219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Baseline Reciprocity</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2.278 (0.561)</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2.429 (0.588)</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2.486 (0.561)</w:t>
            </w: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2.531 (0.596)</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2.584 (0.594)</w:t>
            </w:r>
          </w:p>
        </w:tc>
        <w:tc>
          <w:tcPr>
            <w:tcW w:w="3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r>
      <w:tr w:rsidR="007C4C0C" w:rsidTr="00D0081C">
        <w:trPr>
          <w:trHeight w:val="300"/>
        </w:trPr>
        <w:tc>
          <w:tcPr>
            <w:tcW w:w="219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GW Edgewise Shared Partners Distribution (alpha=0.85)</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1.416 (0.155)</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1.425 (0.156)</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1.421 (0.155)</w:t>
            </w: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1.430 (0.160)</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1.427 (0.162)</w:t>
            </w:r>
          </w:p>
        </w:tc>
        <w:tc>
          <w:tcPr>
            <w:tcW w:w="3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r>
      <w:tr w:rsidR="007C4C0C" w:rsidTr="00D0081C">
        <w:trPr>
          <w:trHeight w:val="300"/>
        </w:trPr>
        <w:tc>
          <w:tcPr>
            <w:tcW w:w="219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GW Indegree Distribution (alpha=0.97)</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2.134 (0.704)</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2.400 (0.740)</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2.235 (0.717)</w:t>
            </w: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2.232 (0.736)</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2.211 (0.737)</w:t>
            </w:r>
          </w:p>
        </w:tc>
        <w:tc>
          <w:tcPr>
            <w:tcW w:w="3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r>
      <w:tr w:rsidR="007C4C0C" w:rsidTr="00D0081C">
        <w:trPr>
          <w:trHeight w:val="300"/>
        </w:trPr>
        <w:tc>
          <w:tcPr>
            <w:tcW w:w="2190" w:type="dxa"/>
            <w:tcBorders>
              <w:top w:val="single" w:sz="6" w:space="0" w:color="CCCCCC"/>
              <w:left w:val="single" w:sz="6" w:space="0" w:color="CCCCCC"/>
              <w:bottom w:val="single" w:sz="6" w:space="0" w:color="A9D08E"/>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GW Outdegree Distribution (alpha=0.42)</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0.637 (0.515)</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0.945 (0.531)</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1.054 (0.550)</w:t>
            </w: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1.359 (0.562)</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1.356 (0.579)</w:t>
            </w:r>
          </w:p>
        </w:tc>
        <w:tc>
          <w:tcPr>
            <w:tcW w:w="3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r>
      <w:tr w:rsidR="007C4C0C" w:rsidTr="00D0081C">
        <w:trPr>
          <w:trHeight w:val="300"/>
        </w:trPr>
        <w:tc>
          <w:tcPr>
            <w:tcW w:w="2190" w:type="dxa"/>
            <w:tcBorders>
              <w:top w:val="single" w:sz="6" w:space="0" w:color="CCCCCC"/>
              <w:left w:val="single" w:sz="6" w:space="0" w:color="A9D08E"/>
              <w:bottom w:val="single" w:sz="6" w:space="0" w:color="A9D08E"/>
              <w:right w:val="single" w:sz="6" w:space="0" w:color="000000"/>
            </w:tcBorders>
            <w:shd w:val="clear" w:color="auto" w:fill="FFFFFF"/>
            <w:tcMar>
              <w:top w:w="0" w:type="dxa"/>
              <w:left w:w="40" w:type="dxa"/>
              <w:bottom w:w="0" w:type="dxa"/>
              <w:right w:w="40" w:type="dxa"/>
            </w:tcMar>
            <w:vAlign w:val="bottom"/>
          </w:tcPr>
          <w:p w:rsidR="007C4C0C" w:rsidRDefault="007C4C0C" w:rsidP="00D0081C">
            <w:pPr>
              <w:rPr>
                <w:sz w:val="20"/>
                <w:szCs w:val="20"/>
              </w:rPr>
            </w:pPr>
            <w:proofErr w:type="spellStart"/>
            <w:r>
              <w:rPr>
                <w:sz w:val="20"/>
                <w:szCs w:val="20"/>
              </w:rPr>
              <w:t>Twopath</w:t>
            </w:r>
            <w:proofErr w:type="spellEnd"/>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-0.215 (0.079)</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-0.155 (0.083)</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-0.181 (0.080)</w:t>
            </w: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-0.145 (0.081)</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-0.146 (0.083)</w:t>
            </w:r>
          </w:p>
        </w:tc>
        <w:tc>
          <w:tcPr>
            <w:tcW w:w="3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7C4C0C" w:rsidRDefault="007C4C0C" w:rsidP="00D0081C">
            <w:pPr>
              <w:rPr>
                <w:sz w:val="20"/>
                <w:szCs w:val="20"/>
              </w:rPr>
            </w:pPr>
          </w:p>
        </w:tc>
      </w:tr>
      <w:tr w:rsidR="007C4C0C" w:rsidTr="00D0081C">
        <w:trPr>
          <w:trHeight w:val="300"/>
        </w:trPr>
        <w:tc>
          <w:tcPr>
            <w:tcW w:w="219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lastRenderedPageBreak/>
              <w:t>In-</w:t>
            </w:r>
            <w:proofErr w:type="spellStart"/>
            <w:r>
              <w:rPr>
                <w:sz w:val="20"/>
                <w:szCs w:val="20"/>
              </w:rPr>
              <w:t>tie</w:t>
            </w:r>
            <w:proofErr w:type="spellEnd"/>
            <w:r>
              <w:rPr>
                <w:sz w:val="20"/>
                <w:szCs w:val="20"/>
              </w:rPr>
              <w:t xml:space="preserve"> effect of All NUES</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-0.276 (0.069)</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-0.388 (0.118)</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7C4C0C" w:rsidRDefault="007C4C0C" w:rsidP="00D0081C">
            <w:pPr>
              <w:rPr>
                <w:sz w:val="20"/>
                <w:szCs w:val="20"/>
              </w:rPr>
            </w:pPr>
          </w:p>
        </w:tc>
      </w:tr>
      <w:tr w:rsidR="007C4C0C" w:rsidTr="00D0081C">
        <w:trPr>
          <w:trHeight w:val="300"/>
        </w:trPr>
        <w:tc>
          <w:tcPr>
            <w:tcW w:w="2190" w:type="dxa"/>
            <w:tcBorders>
              <w:top w:val="single" w:sz="6" w:space="0" w:color="CCCCCC"/>
              <w:left w:val="single" w:sz="6" w:space="0" w:color="CCCCCC"/>
              <w:bottom w:val="single" w:sz="6" w:space="0" w:color="A9D08E"/>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Out-tie effect of All NUES</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0.051 (0.029)</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0.176 (0.064)</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7C4C0C" w:rsidRDefault="007C4C0C" w:rsidP="00D0081C">
            <w:pPr>
              <w:rPr>
                <w:sz w:val="20"/>
                <w:szCs w:val="20"/>
              </w:rPr>
            </w:pPr>
          </w:p>
        </w:tc>
      </w:tr>
      <w:tr w:rsidR="007C4C0C" w:rsidTr="00D0081C">
        <w:trPr>
          <w:trHeight w:val="300"/>
        </w:trPr>
        <w:tc>
          <w:tcPr>
            <w:tcW w:w="219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Sociality of Receivers X In-</w:t>
            </w:r>
            <w:proofErr w:type="spellStart"/>
            <w:r>
              <w:rPr>
                <w:sz w:val="20"/>
                <w:szCs w:val="20"/>
              </w:rPr>
              <w:t>tie</w:t>
            </w:r>
            <w:proofErr w:type="spellEnd"/>
            <w:r>
              <w:rPr>
                <w:sz w:val="20"/>
                <w:szCs w:val="20"/>
              </w:rPr>
              <w:t xml:space="preserve"> effect of All NUES</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0.085 (0.090)</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7C4C0C" w:rsidRDefault="007C4C0C" w:rsidP="00D0081C">
            <w:pPr>
              <w:rPr>
                <w:sz w:val="20"/>
                <w:szCs w:val="20"/>
              </w:rPr>
            </w:pPr>
          </w:p>
        </w:tc>
      </w:tr>
      <w:tr w:rsidR="007C4C0C" w:rsidTr="00D0081C">
        <w:trPr>
          <w:trHeight w:val="300"/>
        </w:trPr>
        <w:tc>
          <w:tcPr>
            <w:tcW w:w="219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Sociality of Decliners X In-</w:t>
            </w:r>
            <w:proofErr w:type="spellStart"/>
            <w:r>
              <w:rPr>
                <w:sz w:val="20"/>
                <w:szCs w:val="20"/>
              </w:rPr>
              <w:t>tie</w:t>
            </w:r>
            <w:proofErr w:type="spellEnd"/>
            <w:r>
              <w:rPr>
                <w:sz w:val="20"/>
                <w:szCs w:val="20"/>
              </w:rPr>
              <w:t xml:space="preserve"> effect of All NUES</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-0.000 (0.125)</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7C4C0C" w:rsidRDefault="007C4C0C" w:rsidP="00D0081C">
            <w:pPr>
              <w:rPr>
                <w:sz w:val="20"/>
                <w:szCs w:val="20"/>
              </w:rPr>
            </w:pPr>
          </w:p>
        </w:tc>
      </w:tr>
      <w:tr w:rsidR="007C4C0C" w:rsidTr="00D0081C">
        <w:trPr>
          <w:trHeight w:val="300"/>
        </w:trPr>
        <w:tc>
          <w:tcPr>
            <w:tcW w:w="219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Sociality of Receivers X Out-tie effect of All NUES</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-0.137 (0.058)</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7C4C0C" w:rsidRDefault="007C4C0C" w:rsidP="00D0081C">
            <w:pPr>
              <w:rPr>
                <w:sz w:val="20"/>
                <w:szCs w:val="20"/>
              </w:rPr>
            </w:pPr>
          </w:p>
        </w:tc>
      </w:tr>
      <w:tr w:rsidR="007C4C0C" w:rsidTr="00D0081C">
        <w:trPr>
          <w:trHeight w:val="300"/>
        </w:trPr>
        <w:tc>
          <w:tcPr>
            <w:tcW w:w="219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Sociality of Decliners X Out-tie effect of All NUES</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0.103 (0.080)</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90" w:type="dxa"/>
            <w:tcBorders>
              <w:top w:val="single" w:sz="6" w:space="0" w:color="CCCCCC"/>
              <w:left w:val="single" w:sz="6" w:space="0" w:color="CCCCCC"/>
              <w:bottom w:val="single" w:sz="6" w:space="0" w:color="A9D08E"/>
              <w:right w:val="single" w:sz="6" w:space="0" w:color="CCCCCC"/>
            </w:tcBorders>
            <w:tcMar>
              <w:top w:w="0" w:type="dxa"/>
              <w:left w:w="40" w:type="dxa"/>
              <w:bottom w:w="0" w:type="dxa"/>
              <w:right w:w="40" w:type="dxa"/>
            </w:tcMar>
            <w:vAlign w:val="bottom"/>
          </w:tcPr>
          <w:p w:rsidR="007C4C0C" w:rsidRDefault="007C4C0C" w:rsidP="00D0081C">
            <w:pPr>
              <w:rPr>
                <w:sz w:val="20"/>
                <w:szCs w:val="20"/>
              </w:rPr>
            </w:pPr>
          </w:p>
        </w:tc>
      </w:tr>
      <w:tr w:rsidR="007C4C0C" w:rsidTr="00D0081C">
        <w:trPr>
          <w:trHeight w:val="300"/>
        </w:trPr>
        <w:tc>
          <w:tcPr>
            <w:tcW w:w="219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In-</w:t>
            </w:r>
            <w:proofErr w:type="spellStart"/>
            <w:r>
              <w:rPr>
                <w:sz w:val="20"/>
                <w:szCs w:val="20"/>
              </w:rPr>
              <w:t>tie</w:t>
            </w:r>
            <w:proofErr w:type="spellEnd"/>
            <w:r>
              <w:rPr>
                <w:sz w:val="20"/>
                <w:szCs w:val="20"/>
              </w:rPr>
              <w:t xml:space="preserve"> effect of Socially Related NUES</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-0.338 (0.100)</w:t>
            </w: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-0.411 (0.176)</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-0.400 (0.175)</w:t>
            </w:r>
          </w:p>
        </w:tc>
        <w:tc>
          <w:tcPr>
            <w:tcW w:w="3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r>
      <w:tr w:rsidR="007C4C0C" w:rsidTr="00D0081C">
        <w:trPr>
          <w:trHeight w:val="300"/>
        </w:trPr>
        <w:tc>
          <w:tcPr>
            <w:tcW w:w="219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Out-tie effect of Socially Related NUES</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0.275 (0.072)</w:t>
            </w: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0.474 (0.118)</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0.493 (0.123)</w:t>
            </w:r>
          </w:p>
        </w:tc>
        <w:tc>
          <w:tcPr>
            <w:tcW w:w="3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r>
      <w:tr w:rsidR="007C4C0C" w:rsidTr="00D0081C">
        <w:trPr>
          <w:trHeight w:val="300"/>
        </w:trPr>
        <w:tc>
          <w:tcPr>
            <w:tcW w:w="219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In-</w:t>
            </w:r>
            <w:proofErr w:type="spellStart"/>
            <w:r>
              <w:rPr>
                <w:sz w:val="20"/>
                <w:szCs w:val="20"/>
              </w:rPr>
              <w:t>tie</w:t>
            </w:r>
            <w:proofErr w:type="spellEnd"/>
            <w:r>
              <w:rPr>
                <w:sz w:val="20"/>
                <w:szCs w:val="20"/>
              </w:rPr>
              <w:t xml:space="preserve"> effect of Biologically Related NUES</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-0.314 (0.107)</w:t>
            </w: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-0.356 (0.110)</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-0.477 (0.181)</w:t>
            </w:r>
          </w:p>
        </w:tc>
        <w:tc>
          <w:tcPr>
            <w:tcW w:w="3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r>
      <w:tr w:rsidR="007C4C0C" w:rsidTr="00D0081C">
        <w:trPr>
          <w:trHeight w:val="300"/>
        </w:trPr>
        <w:tc>
          <w:tcPr>
            <w:tcW w:w="219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Out-tie effect of Biologically Related NUES</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-0.066 (0.051)</w:t>
            </w: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-0.017 (0.060)</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-0.010 (0.090)</w:t>
            </w:r>
          </w:p>
        </w:tc>
        <w:tc>
          <w:tcPr>
            <w:tcW w:w="3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r>
      <w:tr w:rsidR="007C4C0C" w:rsidTr="00D0081C">
        <w:trPr>
          <w:trHeight w:val="300"/>
        </w:trPr>
        <w:tc>
          <w:tcPr>
            <w:tcW w:w="219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Sociality of Receivers X In-</w:t>
            </w:r>
            <w:proofErr w:type="spellStart"/>
            <w:r>
              <w:rPr>
                <w:sz w:val="20"/>
                <w:szCs w:val="20"/>
              </w:rPr>
              <w:t>tie</w:t>
            </w:r>
            <w:proofErr w:type="spellEnd"/>
            <w:r>
              <w:rPr>
                <w:sz w:val="20"/>
                <w:szCs w:val="20"/>
              </w:rPr>
              <w:t xml:space="preserve"> effect of Socially Related NUES</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0.101 (0.138)</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0.076 (0.139)</w:t>
            </w:r>
          </w:p>
        </w:tc>
        <w:tc>
          <w:tcPr>
            <w:tcW w:w="3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r>
      <w:tr w:rsidR="007C4C0C" w:rsidTr="00D0081C">
        <w:trPr>
          <w:trHeight w:val="300"/>
        </w:trPr>
        <w:tc>
          <w:tcPr>
            <w:tcW w:w="219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Sociality of Decliners X In-</w:t>
            </w:r>
            <w:proofErr w:type="spellStart"/>
            <w:r>
              <w:rPr>
                <w:sz w:val="20"/>
                <w:szCs w:val="20"/>
              </w:rPr>
              <w:t>tie</w:t>
            </w:r>
            <w:proofErr w:type="spellEnd"/>
            <w:r>
              <w:rPr>
                <w:sz w:val="20"/>
                <w:szCs w:val="20"/>
              </w:rPr>
              <w:t xml:space="preserve"> effect of Socially Related NUES</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-0.029 (0.180)</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-0.033 (0.179)</w:t>
            </w:r>
          </w:p>
        </w:tc>
        <w:tc>
          <w:tcPr>
            <w:tcW w:w="3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r>
      <w:tr w:rsidR="007C4C0C" w:rsidTr="00D0081C">
        <w:trPr>
          <w:trHeight w:val="300"/>
        </w:trPr>
        <w:tc>
          <w:tcPr>
            <w:tcW w:w="219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Sociality of Receivers X Out-tie effect of Socially Related NUES</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-0.312 (0.103)</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-0.304 (0.112)</w:t>
            </w:r>
          </w:p>
        </w:tc>
        <w:tc>
          <w:tcPr>
            <w:tcW w:w="3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w:t>
            </w:r>
          </w:p>
        </w:tc>
      </w:tr>
      <w:tr w:rsidR="007C4C0C" w:rsidTr="00D0081C">
        <w:trPr>
          <w:trHeight w:val="300"/>
        </w:trPr>
        <w:tc>
          <w:tcPr>
            <w:tcW w:w="219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Sociality of Decliners X Out-tie effect of Socially Related NUES</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0.101 (0.128)</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0.091 (0.127)</w:t>
            </w:r>
          </w:p>
        </w:tc>
        <w:tc>
          <w:tcPr>
            <w:tcW w:w="3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7C4C0C" w:rsidRDefault="007C4C0C" w:rsidP="00D0081C">
            <w:pPr>
              <w:rPr>
                <w:sz w:val="20"/>
                <w:szCs w:val="20"/>
              </w:rPr>
            </w:pPr>
          </w:p>
        </w:tc>
      </w:tr>
      <w:tr w:rsidR="007C4C0C" w:rsidTr="00D0081C">
        <w:trPr>
          <w:trHeight w:val="300"/>
        </w:trPr>
        <w:tc>
          <w:tcPr>
            <w:tcW w:w="219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Sociality of Receivers X In-</w:t>
            </w:r>
            <w:proofErr w:type="spellStart"/>
            <w:r>
              <w:rPr>
                <w:sz w:val="20"/>
                <w:szCs w:val="20"/>
              </w:rPr>
              <w:t>tie</w:t>
            </w:r>
            <w:proofErr w:type="spellEnd"/>
            <w:r>
              <w:rPr>
                <w:sz w:val="20"/>
                <w:szCs w:val="20"/>
              </w:rPr>
              <w:t xml:space="preserve"> effect of Biologically Related NUES</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0.143 (0.157)</w:t>
            </w:r>
          </w:p>
        </w:tc>
        <w:tc>
          <w:tcPr>
            <w:tcW w:w="3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7C4C0C" w:rsidRDefault="007C4C0C" w:rsidP="00D0081C">
            <w:pPr>
              <w:rPr>
                <w:sz w:val="20"/>
                <w:szCs w:val="20"/>
              </w:rPr>
            </w:pPr>
          </w:p>
        </w:tc>
      </w:tr>
      <w:tr w:rsidR="007C4C0C" w:rsidTr="00D0081C">
        <w:trPr>
          <w:trHeight w:val="300"/>
        </w:trPr>
        <w:tc>
          <w:tcPr>
            <w:tcW w:w="219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Sociality of Decliners X In-</w:t>
            </w:r>
            <w:proofErr w:type="spellStart"/>
            <w:r>
              <w:rPr>
                <w:sz w:val="20"/>
                <w:szCs w:val="20"/>
              </w:rPr>
              <w:t>tie</w:t>
            </w:r>
            <w:proofErr w:type="spellEnd"/>
            <w:r>
              <w:rPr>
                <w:sz w:val="20"/>
                <w:szCs w:val="20"/>
              </w:rPr>
              <w:t xml:space="preserve"> effect of Biologically Related NUES</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0.087 (0.167)</w:t>
            </w:r>
          </w:p>
        </w:tc>
        <w:tc>
          <w:tcPr>
            <w:tcW w:w="3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7C4C0C" w:rsidRDefault="007C4C0C" w:rsidP="00D0081C">
            <w:pPr>
              <w:rPr>
                <w:sz w:val="20"/>
                <w:szCs w:val="20"/>
              </w:rPr>
            </w:pPr>
          </w:p>
        </w:tc>
      </w:tr>
      <w:tr w:rsidR="007C4C0C" w:rsidTr="00D0081C">
        <w:trPr>
          <w:trHeight w:val="480"/>
        </w:trPr>
        <w:tc>
          <w:tcPr>
            <w:tcW w:w="219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 xml:space="preserve">Sociality of Receivers X Out-tie effect of </w:t>
            </w:r>
            <w:r>
              <w:rPr>
                <w:sz w:val="20"/>
                <w:szCs w:val="20"/>
              </w:rPr>
              <w:lastRenderedPageBreak/>
              <w:t>Biologically Related NUES</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-0.035 (0.096)</w:t>
            </w:r>
          </w:p>
        </w:tc>
        <w:tc>
          <w:tcPr>
            <w:tcW w:w="3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7C4C0C" w:rsidRDefault="007C4C0C" w:rsidP="00D0081C">
            <w:pPr>
              <w:rPr>
                <w:sz w:val="20"/>
                <w:szCs w:val="20"/>
              </w:rPr>
            </w:pPr>
          </w:p>
        </w:tc>
      </w:tr>
      <w:tr w:rsidR="007C4C0C" w:rsidTr="00D0081C">
        <w:trPr>
          <w:trHeight w:val="300"/>
        </w:trPr>
        <w:tc>
          <w:tcPr>
            <w:tcW w:w="21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7C4C0C" w:rsidRDefault="007C4C0C" w:rsidP="00D0081C">
            <w:pPr>
              <w:rPr>
                <w:sz w:val="20"/>
                <w:szCs w:val="20"/>
              </w:rPr>
            </w:pPr>
            <w:r>
              <w:rPr>
                <w:sz w:val="20"/>
                <w:szCs w:val="20"/>
              </w:rPr>
              <w:t>Sociality of Decliners X Out-tie effect of Biologically Related NUES</w:t>
            </w:r>
          </w:p>
        </w:tc>
        <w:tc>
          <w:tcPr>
            <w:tcW w:w="975"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30"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45"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60"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420"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375"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0.062 (0.129)</w:t>
            </w:r>
          </w:p>
        </w:tc>
        <w:tc>
          <w:tcPr>
            <w:tcW w:w="3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7C4C0C" w:rsidRDefault="007C4C0C" w:rsidP="00D0081C">
            <w:pPr>
              <w:rPr>
                <w:sz w:val="20"/>
                <w:szCs w:val="20"/>
              </w:rPr>
            </w:pPr>
          </w:p>
        </w:tc>
      </w:tr>
      <w:tr w:rsidR="007C4C0C" w:rsidTr="00D0081C">
        <w:trPr>
          <w:trHeight w:val="300"/>
        </w:trPr>
        <w:tc>
          <w:tcPr>
            <w:tcW w:w="2190" w:type="dxa"/>
            <w:tcBorders>
              <w:top w:val="single" w:sz="6" w:space="0" w:color="CCCCCC"/>
              <w:left w:val="single" w:sz="6" w:space="0" w:color="A9D08E"/>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AIC</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jc w:val="right"/>
              <w:rPr>
                <w:sz w:val="20"/>
                <w:szCs w:val="20"/>
              </w:rPr>
            </w:pPr>
            <w:r>
              <w:rPr>
                <w:sz w:val="20"/>
                <w:szCs w:val="20"/>
              </w:rPr>
              <w:t>522.289</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jc w:val="right"/>
              <w:rPr>
                <w:sz w:val="20"/>
                <w:szCs w:val="20"/>
              </w:rPr>
            </w:pPr>
            <w:r>
              <w:rPr>
                <w:sz w:val="20"/>
                <w:szCs w:val="20"/>
              </w:rPr>
              <w:t>519.081</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jc w:val="right"/>
              <w:rPr>
                <w:sz w:val="20"/>
                <w:szCs w:val="20"/>
              </w:rPr>
            </w:pPr>
            <w:r>
              <w:rPr>
                <w:sz w:val="20"/>
                <w:szCs w:val="20"/>
              </w:rPr>
              <w:t>511.098</w:t>
            </w: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jc w:val="right"/>
              <w:rPr>
                <w:sz w:val="20"/>
                <w:szCs w:val="20"/>
              </w:rPr>
            </w:pPr>
            <w:r>
              <w:rPr>
                <w:sz w:val="20"/>
                <w:szCs w:val="20"/>
              </w:rPr>
              <w:t>505.524</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jc w:val="right"/>
              <w:rPr>
                <w:sz w:val="20"/>
                <w:szCs w:val="20"/>
              </w:rPr>
            </w:pPr>
            <w:r>
              <w:rPr>
                <w:sz w:val="20"/>
                <w:szCs w:val="20"/>
              </w:rPr>
              <w:t>511.878</w:t>
            </w:r>
          </w:p>
        </w:tc>
        <w:tc>
          <w:tcPr>
            <w:tcW w:w="3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7C4C0C" w:rsidRDefault="007C4C0C" w:rsidP="00D0081C">
            <w:pPr>
              <w:rPr>
                <w:sz w:val="20"/>
                <w:szCs w:val="20"/>
              </w:rPr>
            </w:pPr>
          </w:p>
        </w:tc>
      </w:tr>
      <w:tr w:rsidR="007C4C0C" w:rsidTr="00D0081C">
        <w:trPr>
          <w:trHeight w:val="300"/>
        </w:trPr>
        <w:tc>
          <w:tcPr>
            <w:tcW w:w="2190" w:type="dxa"/>
            <w:tcBorders>
              <w:top w:val="single" w:sz="6" w:space="0" w:color="CCCCCC"/>
              <w:left w:val="single" w:sz="6" w:space="0" w:color="A9D08E"/>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BIC</w:t>
            </w:r>
          </w:p>
        </w:tc>
        <w:tc>
          <w:tcPr>
            <w:tcW w:w="9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jc w:val="right"/>
              <w:rPr>
                <w:sz w:val="20"/>
                <w:szCs w:val="20"/>
              </w:rPr>
            </w:pPr>
            <w:r>
              <w:rPr>
                <w:sz w:val="20"/>
                <w:szCs w:val="20"/>
              </w:rPr>
              <w:t>614.681</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3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jc w:val="right"/>
              <w:rPr>
                <w:sz w:val="20"/>
                <w:szCs w:val="20"/>
              </w:rPr>
            </w:pPr>
            <w:r>
              <w:rPr>
                <w:sz w:val="20"/>
                <w:szCs w:val="20"/>
              </w:rPr>
              <w:t>630.924</w:t>
            </w:r>
          </w:p>
        </w:tc>
        <w:tc>
          <w:tcPr>
            <w:tcW w:w="34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6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jc w:val="right"/>
              <w:rPr>
                <w:sz w:val="20"/>
                <w:szCs w:val="20"/>
              </w:rPr>
            </w:pPr>
            <w:r>
              <w:rPr>
                <w:sz w:val="20"/>
                <w:szCs w:val="20"/>
              </w:rPr>
              <w:t>613.216</w:t>
            </w:r>
          </w:p>
        </w:tc>
        <w:tc>
          <w:tcPr>
            <w:tcW w:w="42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jc w:val="right"/>
              <w:rPr>
                <w:sz w:val="20"/>
                <w:szCs w:val="20"/>
              </w:rPr>
            </w:pPr>
            <w:r>
              <w:rPr>
                <w:sz w:val="20"/>
                <w:szCs w:val="20"/>
              </w:rPr>
              <w:t>627.093</w:t>
            </w:r>
          </w:p>
        </w:tc>
        <w:tc>
          <w:tcPr>
            <w:tcW w:w="375"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A9D08E"/>
              <w:right w:val="single" w:sz="6" w:space="0" w:color="CCCCCC"/>
            </w:tcBorders>
            <w:shd w:val="clear" w:color="auto" w:fill="FFFFFF"/>
            <w:tcMar>
              <w:top w:w="0" w:type="dxa"/>
              <w:left w:w="40" w:type="dxa"/>
              <w:bottom w:w="0" w:type="dxa"/>
              <w:right w:w="40" w:type="dxa"/>
            </w:tcMar>
            <w:vAlign w:val="bottom"/>
          </w:tcPr>
          <w:p w:rsidR="007C4C0C" w:rsidRDefault="007C4C0C" w:rsidP="00D0081C">
            <w:pPr>
              <w:jc w:val="right"/>
              <w:rPr>
                <w:sz w:val="20"/>
                <w:szCs w:val="20"/>
              </w:rPr>
            </w:pPr>
            <w:r>
              <w:rPr>
                <w:sz w:val="20"/>
                <w:szCs w:val="20"/>
              </w:rPr>
              <w:t>652.898</w:t>
            </w:r>
          </w:p>
        </w:tc>
        <w:tc>
          <w:tcPr>
            <w:tcW w:w="3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7C4C0C" w:rsidRDefault="007C4C0C" w:rsidP="00D0081C">
            <w:pPr>
              <w:rPr>
                <w:sz w:val="20"/>
                <w:szCs w:val="20"/>
              </w:rPr>
            </w:pPr>
          </w:p>
        </w:tc>
      </w:tr>
      <w:tr w:rsidR="007C4C0C" w:rsidTr="00D0081C">
        <w:trPr>
          <w:trHeight w:val="300"/>
        </w:trPr>
        <w:tc>
          <w:tcPr>
            <w:tcW w:w="2190" w:type="dxa"/>
            <w:tcBorders>
              <w:top w:val="single" w:sz="6" w:space="0" w:color="CCCCCC"/>
              <w:left w:val="single" w:sz="6" w:space="0" w:color="A9D08E"/>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r>
              <w:rPr>
                <w:sz w:val="20"/>
                <w:szCs w:val="20"/>
              </w:rPr>
              <w:t>Log Likelihood</w:t>
            </w:r>
          </w:p>
        </w:tc>
        <w:tc>
          <w:tcPr>
            <w:tcW w:w="975"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jc w:val="right"/>
              <w:rPr>
                <w:sz w:val="20"/>
                <w:szCs w:val="20"/>
              </w:rPr>
            </w:pPr>
            <w:r>
              <w:rPr>
                <w:sz w:val="20"/>
                <w:szCs w:val="20"/>
              </w:rPr>
              <w:t>-242.144</w:t>
            </w:r>
          </w:p>
        </w:tc>
        <w:tc>
          <w:tcPr>
            <w:tcW w:w="345"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30"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jc w:val="right"/>
              <w:rPr>
                <w:sz w:val="20"/>
                <w:szCs w:val="20"/>
              </w:rPr>
            </w:pPr>
            <w:r>
              <w:rPr>
                <w:sz w:val="20"/>
                <w:szCs w:val="20"/>
              </w:rPr>
              <w:t>-236.54</w:t>
            </w:r>
          </w:p>
        </w:tc>
        <w:tc>
          <w:tcPr>
            <w:tcW w:w="345"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60"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jc w:val="right"/>
              <w:rPr>
                <w:sz w:val="20"/>
                <w:szCs w:val="20"/>
              </w:rPr>
            </w:pPr>
            <w:r>
              <w:rPr>
                <w:sz w:val="20"/>
                <w:szCs w:val="20"/>
              </w:rPr>
              <w:t>-234.549</w:t>
            </w:r>
          </w:p>
        </w:tc>
        <w:tc>
          <w:tcPr>
            <w:tcW w:w="420"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jc w:val="right"/>
              <w:rPr>
                <w:sz w:val="20"/>
                <w:szCs w:val="20"/>
              </w:rPr>
            </w:pPr>
            <w:r>
              <w:rPr>
                <w:sz w:val="20"/>
                <w:szCs w:val="20"/>
              </w:rPr>
              <w:t>-227.762</w:t>
            </w:r>
          </w:p>
        </w:tc>
        <w:tc>
          <w:tcPr>
            <w:tcW w:w="375"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rPr>
                <w:sz w:val="20"/>
                <w:szCs w:val="20"/>
              </w:rPr>
            </w:pPr>
          </w:p>
        </w:tc>
        <w:tc>
          <w:tcPr>
            <w:tcW w:w="990" w:type="dxa"/>
            <w:tcBorders>
              <w:top w:val="single" w:sz="6" w:space="0" w:color="CCCCCC"/>
              <w:left w:val="single" w:sz="6" w:space="0" w:color="CCCCCC"/>
              <w:bottom w:val="single" w:sz="6" w:space="0" w:color="000000"/>
              <w:right w:val="single" w:sz="6" w:space="0" w:color="CCCCCC"/>
            </w:tcBorders>
            <w:shd w:val="clear" w:color="auto" w:fill="FFFFFF"/>
            <w:tcMar>
              <w:top w:w="0" w:type="dxa"/>
              <w:left w:w="40" w:type="dxa"/>
              <w:bottom w:w="0" w:type="dxa"/>
              <w:right w:w="40" w:type="dxa"/>
            </w:tcMar>
            <w:vAlign w:val="bottom"/>
          </w:tcPr>
          <w:p w:rsidR="007C4C0C" w:rsidRDefault="007C4C0C" w:rsidP="00D0081C">
            <w:pPr>
              <w:jc w:val="right"/>
              <w:rPr>
                <w:sz w:val="20"/>
                <w:szCs w:val="20"/>
              </w:rPr>
            </w:pPr>
            <w:r>
              <w:rPr>
                <w:sz w:val="20"/>
                <w:szCs w:val="20"/>
              </w:rPr>
              <w:t>-226.939</w:t>
            </w:r>
          </w:p>
        </w:tc>
        <w:tc>
          <w:tcPr>
            <w:tcW w:w="3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7C4C0C" w:rsidRDefault="007C4C0C" w:rsidP="00D0081C">
            <w:pPr>
              <w:rPr>
                <w:sz w:val="20"/>
                <w:szCs w:val="20"/>
              </w:rPr>
            </w:pPr>
          </w:p>
        </w:tc>
      </w:tr>
      <w:tr w:rsidR="007C4C0C" w:rsidTr="00D0081C">
        <w:trPr>
          <w:trHeight w:val="300"/>
        </w:trPr>
        <w:tc>
          <w:tcPr>
            <w:tcW w:w="8520" w:type="dxa"/>
            <w:gridSpan w:val="10"/>
            <w:tcBorders>
              <w:top w:val="single" w:sz="6" w:space="0" w:color="CCCCCC"/>
              <w:left w:val="single" w:sz="6" w:space="0" w:color="CCCCCC"/>
              <w:bottom w:val="single" w:sz="6" w:space="0" w:color="A9D08E"/>
              <w:right w:val="single" w:sz="6" w:space="0" w:color="CCCCCC"/>
            </w:tcBorders>
            <w:tcMar>
              <w:top w:w="0" w:type="dxa"/>
              <w:left w:w="40" w:type="dxa"/>
              <w:bottom w:w="0" w:type="dxa"/>
              <w:right w:w="40" w:type="dxa"/>
            </w:tcMar>
            <w:vAlign w:val="bottom"/>
          </w:tcPr>
          <w:p w:rsidR="007C4C0C" w:rsidRDefault="007C4C0C" w:rsidP="00D0081C">
            <w:pPr>
              <w:rPr>
                <w:sz w:val="20"/>
                <w:szCs w:val="20"/>
              </w:rPr>
            </w:pPr>
            <w:r>
              <w:rPr>
                <w:sz w:val="20"/>
                <w:szCs w:val="20"/>
              </w:rPr>
              <w:t xml:space="preserve">Notes: </w:t>
            </w:r>
            <w:proofErr w:type="spellStart"/>
            <w:r>
              <w:rPr>
                <w:sz w:val="20"/>
                <w:szCs w:val="20"/>
              </w:rPr>
              <w:t>Signif</w:t>
            </w:r>
            <w:proofErr w:type="spellEnd"/>
            <w:r>
              <w:rPr>
                <w:sz w:val="20"/>
                <w:szCs w:val="20"/>
              </w:rPr>
              <w:t>. codes: 0 ‘***’ 0.001 ‘**’ 0.01 ‘*’ 0.05 ‘.’ 0.1; NUES=Number of Unique Exogenous Supporters; GW=Geometrically weighted</w:t>
            </w:r>
          </w:p>
        </w:tc>
        <w:tc>
          <w:tcPr>
            <w:tcW w:w="390" w:type="dxa"/>
            <w:tcBorders>
              <w:top w:val="single" w:sz="6" w:space="0" w:color="CCCCCC"/>
              <w:left w:val="single" w:sz="6" w:space="0" w:color="CCCCCC"/>
              <w:bottom w:val="single" w:sz="6" w:space="0" w:color="CCCCCC"/>
              <w:right w:val="single" w:sz="6" w:space="0" w:color="CCCCCC"/>
            </w:tcBorders>
            <w:shd w:val="clear" w:color="auto" w:fill="auto"/>
            <w:tcMar>
              <w:top w:w="0" w:type="dxa"/>
              <w:left w:w="40" w:type="dxa"/>
              <w:bottom w:w="0" w:type="dxa"/>
              <w:right w:w="40" w:type="dxa"/>
            </w:tcMar>
            <w:vAlign w:val="bottom"/>
          </w:tcPr>
          <w:p w:rsidR="007C4C0C" w:rsidRDefault="007C4C0C" w:rsidP="00D0081C">
            <w:pPr>
              <w:rPr>
                <w:sz w:val="20"/>
                <w:szCs w:val="20"/>
              </w:rPr>
            </w:pPr>
          </w:p>
        </w:tc>
      </w:tr>
    </w:tbl>
    <w:p w:rsidR="007C4C0C" w:rsidRDefault="007C4C0C" w:rsidP="007C4C0C">
      <w:r>
        <w:t>Table 4. Results of Alternative Family-Block Diagonal Constrained Exponential Random Graph Models</w:t>
      </w:r>
    </w:p>
    <w:p w:rsidR="007C4C0C" w:rsidRDefault="007C4C0C" w:rsidP="007C4C0C"/>
    <w:p w:rsidR="000A3A24" w:rsidRPr="007C4C0C" w:rsidRDefault="000A3A24">
      <w:pPr>
        <w:rPr>
          <w:b/>
        </w:rPr>
      </w:pPr>
    </w:p>
    <w:sectPr w:rsidR="000A3A24" w:rsidRPr="007C4C0C">
      <w:headerReference w:type="default" r:id="rId4"/>
      <w:footerReference w:type="default" r:id="rId5"/>
      <w:headerReference w:type="first" r:id="rId6"/>
      <w:footerReference w:type="first" r:id="rId7"/>
      <w:pgSz w:w="12240" w:h="15840"/>
      <w:pgMar w:top="1440" w:right="1440" w:bottom="1440" w:left="1440" w:header="0" w:footer="720"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E76" w:rsidRDefault="007C4C0C">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E76" w:rsidRDefault="007C4C0C">
    <w:pPr>
      <w:jc w:val="right"/>
    </w:pPr>
    <w:r>
      <w:fldChar w:fldCharType="begin"/>
    </w:r>
    <w:r>
      <w:instrText>PAGE</w:instrText>
    </w:r>
    <w:r>
      <w:fldChar w:fldCharType="separate"/>
    </w:r>
    <w:r>
      <w:rPr>
        <w:noProof/>
      </w:rPr>
      <w:t>0</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E76" w:rsidRDefault="007C4C0C"/>
  <w:p w:rsidR="00577E76" w:rsidRDefault="007C4C0C">
    <w:pPr>
      <w:jc w:val="right"/>
    </w:pPr>
    <w:r>
      <w:t>Communal Coping in Lynch Syndrome Families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E76" w:rsidRDefault="007C4C0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0C"/>
    <w:rsid w:val="000A3A24"/>
    <w:rsid w:val="007C4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D47A3-5C9C-4E0E-AA61-761A29C8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C0C"/>
    <w:pPr>
      <w:spacing w:after="0" w:line="276" w:lineRule="auto"/>
    </w:pPr>
    <w:rPr>
      <w:rFonts w:ascii="Arial" w:eastAsia="Arial" w:hAnsi="Arial" w:cs="Arial"/>
      <w:sz w:val="24"/>
      <w:szCs w:val="24"/>
      <w:lang w:val="en"/>
    </w:rPr>
  </w:style>
  <w:style w:type="paragraph" w:styleId="Heading1">
    <w:name w:val="heading 1"/>
    <w:basedOn w:val="Normal"/>
    <w:next w:val="Normal"/>
    <w:link w:val="Heading1Char"/>
    <w:uiPriority w:val="9"/>
    <w:qFormat/>
    <w:rsid w:val="007C4C0C"/>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C0C"/>
    <w:rPr>
      <w:rFonts w:ascii="Arial" w:eastAsia="Arial" w:hAnsi="Arial" w:cs="Arial"/>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1786</Words>
  <Characters>10184</Characters>
  <Application>Microsoft Office Word</Application>
  <DocSecurity>0</DocSecurity>
  <Lines>84</Lines>
  <Paragraphs>23</Paragraphs>
  <ScaleCrop>false</ScaleCrop>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Marcum, Chris (NIH/NHGRI) [E]</dc:creator>
  <cp:keywords/>
  <dc:description/>
  <cp:lastModifiedBy>Marcum, Chris (NIH/NHGRI) [E]</cp:lastModifiedBy>
  <cp:revision>1</cp:revision>
  <dcterms:created xsi:type="dcterms:W3CDTF">2019-12-30T19:59:00Z</dcterms:created>
  <dcterms:modified xsi:type="dcterms:W3CDTF">2019-12-30T20:00:00Z</dcterms:modified>
</cp:coreProperties>
</file>