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62A1" w14:textId="77777777" w:rsidR="00320525" w:rsidRDefault="001D2F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Supplemental Tables:</w:t>
      </w:r>
    </w:p>
    <w:p w14:paraId="0E79A258" w14:textId="77777777" w:rsidR="00320525" w:rsidRDefault="00320525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6B55B400" w14:textId="77777777" w:rsidR="00320525" w:rsidRDefault="001D2F2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Table 1: Mental Health-Related Keyword Search Terms and Results.</w:t>
      </w:r>
    </w:p>
    <w:p w14:paraId="51E76061" w14:textId="77777777" w:rsidR="00320525" w:rsidRDefault="00320525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2215"/>
        <w:gridCol w:w="3458"/>
        <w:gridCol w:w="3687"/>
      </w:tblGrid>
      <w:tr w:rsidR="00320525" w14:paraId="46032155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572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Keyword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854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Source / New Term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D64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Results (No. Projects containing this term)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*from initial keyword search (before assessing mental health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relevance)*</w:t>
            </w:r>
            <w:proofErr w:type="gramEnd"/>
          </w:p>
        </w:tc>
      </w:tr>
      <w:tr w:rsidR="00320525" w14:paraId="74AEECF0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94E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Addiction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C97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FE9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20525" w14:paraId="4BB77746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A201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F315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New terminology added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23B3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29B50D83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8BD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Affective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FDD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C37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08CE60AF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224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Alcohol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90E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D3B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320525" w14:paraId="7CB4F509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FC73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Antidepressant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077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E19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53AB5CC4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52A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Antipsychotic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B32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C61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6379505A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AC4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Anxiety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3C2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60F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320525" w14:paraId="4E3CE4C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7E5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Anxiolytic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7E5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BCA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682A4B98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AB0A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Attention Deficit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59D4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New terminology added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E086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39151CE4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FB0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Autism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429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744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54021BB2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20C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Behavior therapy/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therapy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7D36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517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20525" w14:paraId="297442A0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50D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Bipolar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CF8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46F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0822D600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BB0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Cognitive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0F2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F88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320525" w14:paraId="3194A908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67E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Coping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378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C5A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</w:tr>
      <w:tr w:rsidR="00320525" w14:paraId="24FFAC42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5A1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Counseling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26E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296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  <w:tr w:rsidR="00320525" w14:paraId="1548BF3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2C06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Delirium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F06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233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66F57DE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8116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Delusion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EB0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602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0B28BDE0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115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Dementia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AA1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4DF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7BF445FB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017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Dependency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B3F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9E6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320525" w14:paraId="0C635A09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9E5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Depressi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B96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EAD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20525" w14:paraId="07FA3B24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C9C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Developmental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040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21C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320525" w14:paraId="60F20FC5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8CE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Downs syndrome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3B1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2F9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27801399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D6D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Drug use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49D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F01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320525" w14:paraId="3FAD7259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907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Eating disorder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6AA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C78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5CB170FB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848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Electroconvulsive therapy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110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2FE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3D393E26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32A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Emotion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6EC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BBA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20525" w14:paraId="0563EDFC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FAC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Epilep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000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0FC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320525" w14:paraId="78B08564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81D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Hallucination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C04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E23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409EE7AD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4CE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Hyperactivity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2D2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6566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063E8913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A7B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Hypochondriasis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2FD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FC9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1D6D8A47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4B6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Insomnia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D24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F7C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750EBF83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785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Learning disability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9F4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BE5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4826B9E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FA9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Mania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C31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CE0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1F3A19AC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CB7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Mental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C50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9DF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</w:tr>
      <w:tr w:rsidR="00320525" w14:paraId="5E1C0B8C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A88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78F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76B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320525" w14:paraId="2A41083C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E05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MHPSS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15D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terminology. Abbreviation for mental health and psychosocial services.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D30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320525" w14:paraId="0A84330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C01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MH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E11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terminology. Abbreviation for mental health. 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D63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38CA405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63F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Mental wellbeing/mental well-being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A45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B01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320525" w14:paraId="1775D6D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34B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Mood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7A1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B3B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7F5C2EBF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C726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Neuro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D1A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B24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20525" w14:paraId="07B92DE8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573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Personally disorder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90C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34E6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33506842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C24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PFA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AD1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terminology. Abbreviation for psychological first aid.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DA4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5565CD29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6CD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Phobia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3FA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2D6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1ACEB729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7F7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PSS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4BA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terminology. Abbreviation for psychosocial services.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F63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320525" w14:paraId="7B6796E7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5A3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Psych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C96A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C98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316</w:t>
            </w:r>
          </w:p>
        </w:tc>
      </w:tr>
      <w:tr w:rsidR="00320525" w14:paraId="3A49A0FC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26D6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PTSD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B097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New terminology added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6A51" w14:textId="77777777" w:rsidR="00320525" w:rsidRDefault="001D2F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5D10758A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AB4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Schizophrenia / schizophrenic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AFE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3D1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3945A381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0A1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Self harm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/self-harm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283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A1B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4722E2AE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6F8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self-help/self help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0B1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7AE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320525" w14:paraId="0A568E1A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F7F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Sleep disorder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96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8B0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0119FEEF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322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Social isolation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7FD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697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7A6302DF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BE4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Socioemotional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D25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term added based on data terminology 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194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43CC2BCE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20D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Somatoform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C83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424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031D16BE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567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Stress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5B9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7E7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</w:tr>
      <w:tr w:rsidR="00320525" w14:paraId="42FAE994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1F1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Substance abuse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55D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A2F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703AB9DE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9D8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Substance use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C1F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5D8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5B511FAB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7D26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Suicide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C4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3E1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20525" w14:paraId="0A143B44" w14:textId="77777777"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D43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Trauma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12F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Liese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et. al. 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C22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320525" w14:paraId="758415A3" w14:textId="77777777">
        <w:trPr>
          <w:trHeight w:val="420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59E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Please note: To avoid duplication, once a project was found to contain a keyword it was excluded from further keyword searches.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if a project contains both the terms “mental health” then “psych” it will only be counted once as a result for “mental hea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lth”). </w:t>
            </w:r>
          </w:p>
          <w:p w14:paraId="37B091B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Depressi was used to capture both ‘depression’ and ‘depressive’</w:t>
            </w:r>
          </w:p>
          <w:p w14:paraId="0BD40C2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Epilep was used to capture both ‘epilepsy’ and ‘epileptic’</w:t>
            </w:r>
          </w:p>
          <w:p w14:paraId="60E2FDB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Neuro was used to capture both ‘neurologic’ and ‘neurological’</w:t>
            </w:r>
          </w:p>
          <w:p w14:paraId="7F2D7075" w14:textId="77777777" w:rsidR="00320525" w:rsidRDefault="001D2F24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Psych was used to capture ‘psychiatry’, ‘psychiatric’, ‘psychological’, ‘psychotic’, ‘psychosis’, ‘psychoses’, and ‘psychosocial’.</w:t>
            </w:r>
          </w:p>
          <w:p w14:paraId="0D40442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Trauma was used to capture ‘trauma’ and ‘traumatic’ (this wo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uld include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post traumatic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stress disorder)</w:t>
            </w:r>
          </w:p>
        </w:tc>
      </w:tr>
    </w:tbl>
    <w:p w14:paraId="6E2448E5" w14:textId="4316054A" w:rsidR="00320525" w:rsidRDefault="001D2F2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Table 2: Example Activity Classifications for Mental Health Relevance, Target Population, and COVID-19 re</w:t>
      </w:r>
      <w:r>
        <w:rPr>
          <w:rFonts w:ascii="Times New Roman" w:eastAsia="Times New Roman" w:hAnsi="Times New Roman" w:cs="Times New Roman"/>
          <w:sz w:val="22"/>
          <w:szCs w:val="22"/>
        </w:rPr>
        <w:t>sponse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  </w:t>
      </w:r>
    </w:p>
    <w:p w14:paraId="010D774D" w14:textId="77777777" w:rsidR="00320525" w:rsidRDefault="00320525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3420"/>
        <w:gridCol w:w="2521"/>
        <w:gridCol w:w="1614"/>
      </w:tblGrid>
      <w:tr w:rsidR="00320525" w14:paraId="3E743253" w14:textId="77777777">
        <w:trPr>
          <w:trHeight w:val="490"/>
        </w:trPr>
        <w:tc>
          <w:tcPr>
            <w:tcW w:w="1795" w:type="dxa"/>
            <w:shd w:val="clear" w:color="auto" w:fill="E7E6E6"/>
            <w:vAlign w:val="center"/>
          </w:tcPr>
          <w:p w14:paraId="7CA66D0E" w14:textId="77777777" w:rsidR="00320525" w:rsidRDefault="001D2F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7555" w:type="dxa"/>
            <w:gridSpan w:val="3"/>
            <w:shd w:val="clear" w:color="auto" w:fill="E7E6E6"/>
            <w:vAlign w:val="center"/>
          </w:tcPr>
          <w:p w14:paraId="17B2B91C" w14:textId="77777777" w:rsidR="00320525" w:rsidRDefault="001D2F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Example from data</w:t>
            </w:r>
          </w:p>
        </w:tc>
      </w:tr>
      <w:tr w:rsidR="00320525" w14:paraId="144870EB" w14:textId="77777777">
        <w:trPr>
          <w:trHeight w:val="1241"/>
        </w:trPr>
        <w:tc>
          <w:tcPr>
            <w:tcW w:w="1795" w:type="dxa"/>
            <w:vAlign w:val="center"/>
          </w:tcPr>
          <w:p w14:paraId="0ABB7B1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Eliminated: use of keyword not applicable to mental health</w:t>
            </w:r>
          </w:p>
        </w:tc>
        <w:tc>
          <w:tcPr>
            <w:tcW w:w="7555" w:type="dxa"/>
            <w:gridSpan w:val="3"/>
            <w:vAlign w:val="center"/>
          </w:tcPr>
          <w:p w14:paraId="556EBCA9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white"/>
              </w:rPr>
              <w:t xml:space="preserve">In October 2020, torrential rain caused by a tropical convergence zone combined with cold air mass (05 Oct), tropical storms no. 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white"/>
              </w:rPr>
              <w:t>Linfa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white"/>
              </w:rPr>
              <w:t xml:space="preserve"> and no. 7 Nangka, additional tropical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highlight w:val="white"/>
              </w:rPr>
              <w:t>depression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white"/>
              </w:rPr>
              <w:t xml:space="preserve"> resulted 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highlight w:val="white"/>
              </w:rPr>
              <w:t>n severe floods in all the 16 main river systems in the Central coastal area of Vietnam…”</w:t>
            </w:r>
          </w:p>
        </w:tc>
      </w:tr>
      <w:tr w:rsidR="00320525" w14:paraId="1BED3EF0" w14:textId="77777777">
        <w:tc>
          <w:tcPr>
            <w:tcW w:w="1795" w:type="dxa"/>
            <w:shd w:val="clear" w:color="auto" w:fill="E7E6E6"/>
            <w:vAlign w:val="center"/>
          </w:tcPr>
          <w:p w14:paraId="3A20B2D3" w14:textId="77777777" w:rsidR="00320525" w:rsidRDefault="001D2F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3420" w:type="dxa"/>
            <w:shd w:val="clear" w:color="auto" w:fill="E7E6E6"/>
            <w:vAlign w:val="center"/>
          </w:tcPr>
          <w:p w14:paraId="13791F1F" w14:textId="77777777" w:rsidR="00320525" w:rsidRDefault="001D2F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Example from data</w:t>
            </w:r>
          </w:p>
        </w:tc>
        <w:tc>
          <w:tcPr>
            <w:tcW w:w="2521" w:type="dxa"/>
            <w:shd w:val="clear" w:color="auto" w:fill="E7E6E6"/>
            <w:vAlign w:val="center"/>
          </w:tcPr>
          <w:p w14:paraId="28ABB344" w14:textId="77777777" w:rsidR="00320525" w:rsidRDefault="001D2F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Target population(s)</w:t>
            </w:r>
          </w:p>
        </w:tc>
        <w:tc>
          <w:tcPr>
            <w:tcW w:w="1614" w:type="dxa"/>
            <w:shd w:val="clear" w:color="auto" w:fill="E7E6E6"/>
            <w:vAlign w:val="center"/>
          </w:tcPr>
          <w:p w14:paraId="5E090AB9" w14:textId="77777777" w:rsidR="00320525" w:rsidRDefault="001D2F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COVID-19 response</w:t>
            </w:r>
          </w:p>
        </w:tc>
      </w:tr>
      <w:tr w:rsidR="00320525" w14:paraId="3A525B02" w14:textId="77777777">
        <w:trPr>
          <w:trHeight w:val="1385"/>
        </w:trPr>
        <w:tc>
          <w:tcPr>
            <w:tcW w:w="1795" w:type="dxa"/>
          </w:tcPr>
          <w:p w14:paraId="77944DF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Retained: mental health relevant</w:t>
            </w:r>
          </w:p>
        </w:tc>
        <w:tc>
          <w:tcPr>
            <w:tcW w:w="3420" w:type="dxa"/>
          </w:tcPr>
          <w:p w14:paraId="0F7FA8DE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“…Improved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mental health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psycho socia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well being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of caregivers and children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Ghor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province in response to conflict, disaster and COVID-19…”</w:t>
            </w:r>
          </w:p>
        </w:tc>
        <w:tc>
          <w:tcPr>
            <w:tcW w:w="2521" w:type="dxa"/>
          </w:tcPr>
          <w:p w14:paraId="2F7DFFA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Primary: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Children</w:t>
            </w:r>
          </w:p>
          <w:p w14:paraId="0FC65E13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Secondary: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Humanitarian</w:t>
            </w:r>
          </w:p>
        </w:tc>
        <w:tc>
          <w:tcPr>
            <w:tcW w:w="1614" w:type="dxa"/>
          </w:tcPr>
          <w:p w14:paraId="4813CAA8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Combined</w:t>
            </w:r>
          </w:p>
        </w:tc>
      </w:tr>
      <w:tr w:rsidR="00320525" w14:paraId="10F09974" w14:textId="77777777">
        <w:trPr>
          <w:trHeight w:val="1601"/>
        </w:trPr>
        <w:tc>
          <w:tcPr>
            <w:tcW w:w="1795" w:type="dxa"/>
          </w:tcPr>
          <w:p w14:paraId="047A3C9D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Retained: mental health relevant</w:t>
            </w:r>
          </w:p>
        </w:tc>
        <w:tc>
          <w:tcPr>
            <w:tcW w:w="3420" w:type="dxa"/>
          </w:tcPr>
          <w:p w14:paraId="60740130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“…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Mental health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psycho-social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support to children and families and provision of water and sanitation facilities for the most in need schools as part of the Save the Children's COVID response...”</w:t>
            </w:r>
          </w:p>
        </w:tc>
        <w:tc>
          <w:tcPr>
            <w:tcW w:w="2521" w:type="dxa"/>
          </w:tcPr>
          <w:p w14:paraId="5D5E8A71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Primary: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Children</w:t>
            </w:r>
          </w:p>
          <w:p w14:paraId="0EF2027F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Secondary: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614" w:type="dxa"/>
          </w:tcPr>
          <w:p w14:paraId="755675C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Direct response</w:t>
            </w:r>
          </w:p>
        </w:tc>
      </w:tr>
      <w:tr w:rsidR="00320525" w14:paraId="26D48A4D" w14:textId="77777777">
        <w:tc>
          <w:tcPr>
            <w:tcW w:w="1795" w:type="dxa"/>
          </w:tcPr>
          <w:p w14:paraId="793BA1E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Retained: mental health relevant</w:t>
            </w:r>
          </w:p>
        </w:tc>
        <w:tc>
          <w:tcPr>
            <w:tcW w:w="3420" w:type="dxa"/>
          </w:tcPr>
          <w:p w14:paraId="7FBFD01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“…Cordaid targets beneficiaries who survives through GBV, child protection, Provision of proper and safe places through rehabilitation of educational, health facilities including WASH facilities, the  Activities including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HPSS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social and life skills to promote non-violent communication, conflict resolution,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self reliance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and respect and activities such as games sports etc., Cordaid will continue as the member of the consortium for the Syria Joint Response 2020,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organis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will provide activities in the sectors of WASH, heath rehabilitation ,and protection (incl use of cash vouchers) through partners. The focus areas will be Aleppo and rural Damascus…”</w:t>
            </w:r>
          </w:p>
        </w:tc>
        <w:tc>
          <w:tcPr>
            <w:tcW w:w="2521" w:type="dxa"/>
          </w:tcPr>
          <w:p w14:paraId="7C9E2DC2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Primary: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Children</w:t>
            </w:r>
          </w:p>
          <w:p w14:paraId="5B4E68F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Secondary: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Humanitarian</w:t>
            </w:r>
          </w:p>
        </w:tc>
        <w:tc>
          <w:tcPr>
            <w:tcW w:w="1614" w:type="dxa"/>
          </w:tcPr>
          <w:p w14:paraId="6A1E489C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None</w:t>
            </w:r>
          </w:p>
        </w:tc>
      </w:tr>
      <w:tr w:rsidR="00320525" w14:paraId="2C7A239B" w14:textId="77777777">
        <w:tc>
          <w:tcPr>
            <w:tcW w:w="1795" w:type="dxa"/>
          </w:tcPr>
          <w:p w14:paraId="42CA6897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Retained: mental he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alth relevant</w:t>
            </w:r>
          </w:p>
        </w:tc>
        <w:tc>
          <w:tcPr>
            <w:tcW w:w="3420" w:type="dxa"/>
          </w:tcPr>
          <w:p w14:paraId="6A1B40AB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“…The project aims at enhancing the relocation services provided by Tbilisi and Batumi Shelter Cities and Telavi art-residence to the human rights defenders from Central Asia, Russia, Ukraine, Armenia, Belarus, Poland,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Hungary, Serbia, Bosnia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and Herzegovina and Greece. The Shelter provides HRDs with safe space for work and recovery, offering conditions for physical and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psychological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rehabilitation, helping to strengthen capacity of human rights defenders and developing the support network for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HRDs through organization of seminars, workshops, and meetings. This project is aimed at improving and widening capacity building program for relocated HRDs, strengthening services related to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psychological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support (collective workshops and individual work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with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psychologist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) and improving overall conditions in the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all shelter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facilities and adapting it to the COVID pandemic. The project also contributes to the international advocacy effort for better protection of HRDs. In particular, the project suggests 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ocusing on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mental health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and freedom of movement of HRDs…”</w:t>
            </w:r>
          </w:p>
        </w:tc>
        <w:tc>
          <w:tcPr>
            <w:tcW w:w="2521" w:type="dxa"/>
          </w:tcPr>
          <w:p w14:paraId="328CDBD4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 xml:space="preserve">Primary: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614" w:type="dxa"/>
          </w:tcPr>
          <w:p w14:paraId="60DA2995" w14:textId="77777777" w:rsidR="00320525" w:rsidRDefault="001D2F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Aid delivery in the time of COVID-19</w:t>
            </w:r>
          </w:p>
        </w:tc>
      </w:tr>
    </w:tbl>
    <w:p w14:paraId="64B4A90E" w14:textId="77777777" w:rsidR="00320525" w:rsidRDefault="00320525">
      <w:pPr>
        <w:rPr>
          <w:rFonts w:ascii="Times New Roman" w:eastAsia="Times New Roman" w:hAnsi="Times New Roman" w:cs="Times New Roman"/>
        </w:rPr>
      </w:pPr>
    </w:p>
    <w:p w14:paraId="01C65D53" w14:textId="77777777" w:rsidR="00320525" w:rsidRDefault="00320525">
      <w:pPr>
        <w:rPr>
          <w:rFonts w:ascii="Times New Roman" w:eastAsia="Times New Roman" w:hAnsi="Times New Roman" w:cs="Times New Roman"/>
        </w:rPr>
      </w:pPr>
    </w:p>
    <w:p w14:paraId="31F6E776" w14:textId="77777777" w:rsidR="00320525" w:rsidRDefault="00320525"/>
    <w:sectPr w:rsidR="003205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25"/>
    <w:rsid w:val="001D2F24"/>
    <w:rsid w:val="00320525"/>
    <w:rsid w:val="007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BC0D5"/>
  <w15:docId w15:val="{5BEABD11-0EB9-4747-AE5F-7213E52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47C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B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43M887+jtfOiZf6O831FcsZVA==">AMUW2mXJODULK8tQlvLOE4klBKeHqolbkbol2ZVKIBvcXiwYPIeHMlNtiMvJF/sAdknHFzXyjCmkTw9ptAHxXj6MG4A7liPUaiOMRMrlQqRvdqOlEkFtTIk=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Gribble</dc:creator>
  <cp:lastModifiedBy>Rebecca Gribble</cp:lastModifiedBy>
  <cp:revision>3</cp:revision>
  <dcterms:created xsi:type="dcterms:W3CDTF">2022-02-11T19:52:00Z</dcterms:created>
  <dcterms:modified xsi:type="dcterms:W3CDTF">2022-02-11T19:52:00Z</dcterms:modified>
</cp:coreProperties>
</file>