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1DFBA" w14:textId="77777777" w:rsidR="00274F6A" w:rsidRPr="00274F6A" w:rsidRDefault="00274F6A">
      <w:pPr>
        <w:rPr>
          <w:rFonts w:asciiTheme="majorHAnsi" w:hAnsiTheme="majorHAnsi"/>
          <w:b/>
        </w:rPr>
      </w:pPr>
      <w:bookmarkStart w:id="0" w:name="_GoBack"/>
      <w:bookmarkEnd w:id="0"/>
      <w:r w:rsidRPr="00274F6A">
        <w:rPr>
          <w:rFonts w:asciiTheme="majorHAnsi" w:hAnsiTheme="majorHAnsi"/>
          <w:b/>
        </w:rPr>
        <w:t>Appendix 1</w:t>
      </w:r>
    </w:p>
    <w:p w14:paraId="2650B73E" w14:textId="77777777" w:rsidR="00274F6A" w:rsidRDefault="00274F6A">
      <w:pPr>
        <w:rPr>
          <w:rFonts w:asciiTheme="majorHAnsi" w:hAnsiTheme="majorHAnsi"/>
        </w:rPr>
      </w:pPr>
    </w:p>
    <w:p w14:paraId="019282BE" w14:textId="77777777" w:rsidR="00274F6A" w:rsidRPr="009068DB" w:rsidRDefault="00274F6A" w:rsidP="00274F6A">
      <w:pPr>
        <w:ind w:left="-284" w:right="-421" w:firstLine="284"/>
        <w:rPr>
          <w:rFonts w:asciiTheme="majorHAnsi" w:hAnsiTheme="majorHAnsi"/>
          <w:i/>
        </w:rPr>
      </w:pPr>
      <w:r w:rsidRPr="009068DB">
        <w:rPr>
          <w:rFonts w:asciiTheme="majorHAnsi" w:hAnsiTheme="majorHAnsi"/>
          <w:i/>
        </w:rPr>
        <w:t xml:space="preserve">Sampling design </w:t>
      </w:r>
    </w:p>
    <w:p w14:paraId="6CAE75DB" w14:textId="77777777" w:rsidR="00090CEA" w:rsidRDefault="00090CEA" w:rsidP="00274F6A">
      <w:pPr>
        <w:ind w:right="-421"/>
        <w:rPr>
          <w:rFonts w:asciiTheme="majorHAnsi" w:hAnsiTheme="majorHAnsi"/>
        </w:rPr>
      </w:pPr>
      <w:r w:rsidRPr="009068DB">
        <w:rPr>
          <w:rFonts w:asciiTheme="majorHAnsi" w:hAnsiTheme="majorHAnsi"/>
        </w:rPr>
        <w:t>Given the survey is targeting such a narrow age range a quota design offers a much more practical approach to carrying out the survey than traditional pre-selected sampling, enabling fieldwork</w:t>
      </w:r>
      <w:r>
        <w:rPr>
          <w:rFonts w:asciiTheme="majorHAnsi" w:hAnsiTheme="majorHAnsi"/>
        </w:rPr>
        <w:t xml:space="preserve"> to be completed</w:t>
      </w:r>
      <w:r w:rsidRPr="009068DB">
        <w:rPr>
          <w:rFonts w:asciiTheme="majorHAnsi" w:hAnsiTheme="majorHAnsi"/>
        </w:rPr>
        <w:t xml:space="preserve"> more quickly and at a lower cost. Indeed, the costs of carrying out the survey using a random design would be prohibitive.</w:t>
      </w:r>
      <w:r w:rsidR="005F21A5">
        <w:rPr>
          <w:rFonts w:asciiTheme="majorHAnsi" w:hAnsiTheme="majorHAnsi"/>
        </w:rPr>
        <w:t xml:space="preserve"> Although historically quota sampling may have yielded a biased sample, it is now argued that the a rigorously designed quota sample is as good as a probability sampl</w:t>
      </w:r>
      <w:r w:rsidR="00A61ED8">
        <w:rPr>
          <w:rFonts w:asciiTheme="majorHAnsi" w:hAnsiTheme="majorHAnsi"/>
        </w:rPr>
        <w:t xml:space="preserve">e (Raab, 2009).  </w:t>
      </w:r>
    </w:p>
    <w:p w14:paraId="7BEC53A8" w14:textId="77777777" w:rsidR="00090CEA" w:rsidRDefault="00090CEA" w:rsidP="00274F6A">
      <w:pPr>
        <w:ind w:right="-421"/>
        <w:rPr>
          <w:rFonts w:asciiTheme="majorHAnsi" w:hAnsiTheme="majorHAnsi"/>
        </w:rPr>
      </w:pPr>
    </w:p>
    <w:p w14:paraId="34525E93" w14:textId="77777777" w:rsidR="00274F6A" w:rsidRPr="009068DB" w:rsidRDefault="00274F6A" w:rsidP="00274F6A">
      <w:pPr>
        <w:ind w:right="-421"/>
        <w:rPr>
          <w:rFonts w:asciiTheme="majorHAnsi" w:hAnsiTheme="majorHAnsi"/>
        </w:rPr>
      </w:pPr>
      <w:r w:rsidRPr="009068DB">
        <w:rPr>
          <w:rFonts w:asciiTheme="majorHAnsi" w:hAnsiTheme="majorHAnsi"/>
        </w:rPr>
        <w:t xml:space="preserve">The proposed design for the quota sample was the same as it would be for an equivalent </w:t>
      </w:r>
      <w:r w:rsidR="005F21A5">
        <w:rPr>
          <w:rFonts w:asciiTheme="majorHAnsi" w:hAnsiTheme="majorHAnsi"/>
        </w:rPr>
        <w:t>probability</w:t>
      </w:r>
      <w:r w:rsidRPr="009068DB">
        <w:rPr>
          <w:rFonts w:asciiTheme="majorHAnsi" w:hAnsiTheme="majorHAnsi"/>
        </w:rPr>
        <w:t xml:space="preserve"> sample at all stages other than the final selection and recruitment of respondents. The design was as follows: </w:t>
      </w:r>
    </w:p>
    <w:p w14:paraId="570301B2" w14:textId="77777777" w:rsidR="00274F6A" w:rsidRPr="009068DB" w:rsidRDefault="00274F6A" w:rsidP="00274F6A">
      <w:pPr>
        <w:pStyle w:val="Bullets"/>
        <w:tabs>
          <w:tab w:val="num" w:pos="284"/>
        </w:tabs>
        <w:spacing w:line="240" w:lineRule="auto"/>
        <w:ind w:left="284" w:right="-421" w:hanging="284"/>
        <w:jc w:val="left"/>
        <w:rPr>
          <w:rFonts w:asciiTheme="majorHAnsi" w:hAnsiTheme="majorHAnsi"/>
          <w:szCs w:val="24"/>
        </w:rPr>
      </w:pPr>
      <w:r w:rsidRPr="009068DB">
        <w:rPr>
          <w:rFonts w:asciiTheme="majorHAnsi" w:hAnsiTheme="majorHAnsi"/>
          <w:szCs w:val="24"/>
        </w:rPr>
        <w:t>all census datazones in Scotland were stratified by local authority, and allocated to the Scottish Household Survey analysis regions, comprised of large local authorities and combinations of smaller local authorities. The purpose of this stratification was to ensure that the sample is distributed proportionately across Scotland.</w:t>
      </w:r>
    </w:p>
    <w:p w14:paraId="2964F0C4" w14:textId="77777777" w:rsidR="00274F6A" w:rsidRPr="009068DB" w:rsidRDefault="00274F6A" w:rsidP="00274F6A">
      <w:pPr>
        <w:pStyle w:val="Bullets"/>
        <w:tabs>
          <w:tab w:val="num" w:pos="284"/>
        </w:tabs>
        <w:spacing w:line="240" w:lineRule="auto"/>
        <w:ind w:left="284" w:right="-421" w:hanging="284"/>
        <w:jc w:val="left"/>
        <w:rPr>
          <w:rFonts w:asciiTheme="majorHAnsi" w:hAnsiTheme="majorHAnsi"/>
          <w:szCs w:val="24"/>
        </w:rPr>
      </w:pPr>
      <w:r w:rsidRPr="009068DB">
        <w:rPr>
          <w:rFonts w:asciiTheme="majorHAnsi" w:hAnsiTheme="majorHAnsi"/>
          <w:szCs w:val="24"/>
        </w:rPr>
        <w:t xml:space="preserve">within each of these regions, datazones were selected with probability proportionate to the proportion of the aged 18 to 34 years household population.  This provided us with the basic sampling points for the survey.  </w:t>
      </w:r>
    </w:p>
    <w:p w14:paraId="207566A6" w14:textId="77777777" w:rsidR="00444DA2" w:rsidRDefault="00274F6A" w:rsidP="00444DA2">
      <w:pPr>
        <w:pStyle w:val="Bullets"/>
        <w:tabs>
          <w:tab w:val="clear" w:pos="720"/>
          <w:tab w:val="num" w:pos="284"/>
        </w:tabs>
        <w:spacing w:line="240" w:lineRule="auto"/>
        <w:ind w:left="284" w:right="-421" w:hanging="284"/>
        <w:jc w:val="left"/>
        <w:rPr>
          <w:rFonts w:asciiTheme="majorHAnsi" w:hAnsiTheme="majorHAnsi"/>
          <w:szCs w:val="24"/>
        </w:rPr>
      </w:pPr>
      <w:r w:rsidRPr="009068DB">
        <w:rPr>
          <w:rFonts w:asciiTheme="majorHAnsi" w:hAnsiTheme="majorHAnsi"/>
          <w:szCs w:val="24"/>
        </w:rPr>
        <w:t xml:space="preserve">each individual datazone was allocated a unique sample point number and had quotas set to </w:t>
      </w:r>
      <w:r w:rsidRPr="00444DA2">
        <w:rPr>
          <w:rFonts w:asciiTheme="majorHAnsi" w:hAnsiTheme="majorHAnsi"/>
          <w:szCs w:val="24"/>
        </w:rPr>
        <w:t xml:space="preserve">reflect the structure of the local population based on Office of National Statistics mid-year estimates. </w:t>
      </w:r>
      <w:r w:rsidR="00444DA2">
        <w:rPr>
          <w:rFonts w:asciiTheme="majorHAnsi" w:hAnsiTheme="majorHAnsi"/>
          <w:szCs w:val="24"/>
        </w:rPr>
        <w:t xml:space="preserve"> </w:t>
      </w:r>
      <w:r w:rsidR="00444DA2" w:rsidRPr="00444DA2">
        <w:rPr>
          <w:rFonts w:asciiTheme="majorHAnsi" w:hAnsiTheme="majorHAnsi"/>
          <w:szCs w:val="24"/>
        </w:rPr>
        <w:t>We selected quotas by sex, age (three quota groups – most likely 18-23; 24-29; 30-34),</w:t>
      </w:r>
      <w:r w:rsidR="00444DA2" w:rsidRPr="009068DB">
        <w:rPr>
          <w:rFonts w:asciiTheme="majorHAnsi" w:hAnsiTheme="majorHAnsi"/>
          <w:szCs w:val="24"/>
        </w:rPr>
        <w:t xml:space="preserve"> and work status (three quota groups – most likely working full time; in full time education; not working full time/unemployed). </w:t>
      </w:r>
    </w:p>
    <w:p w14:paraId="52EFA0CE" w14:textId="1F5F314C" w:rsidR="00125333" w:rsidRPr="001457F6" w:rsidRDefault="00274F6A" w:rsidP="00444DA2">
      <w:pPr>
        <w:pStyle w:val="Bullets"/>
        <w:tabs>
          <w:tab w:val="clear" w:pos="720"/>
          <w:tab w:val="num" w:pos="284"/>
        </w:tabs>
        <w:spacing w:line="240" w:lineRule="auto"/>
        <w:ind w:left="284" w:right="-421" w:hanging="284"/>
        <w:jc w:val="left"/>
        <w:rPr>
          <w:rFonts w:asciiTheme="majorHAnsi" w:hAnsiTheme="majorHAnsi"/>
          <w:szCs w:val="24"/>
        </w:rPr>
      </w:pPr>
      <w:r w:rsidRPr="00444DA2">
        <w:rPr>
          <w:rFonts w:asciiTheme="majorHAnsi" w:hAnsiTheme="majorHAnsi"/>
          <w:szCs w:val="24"/>
        </w:rPr>
        <w:t xml:space="preserve"> </w:t>
      </w:r>
      <w:r w:rsidR="00125333" w:rsidRPr="001457F6">
        <w:rPr>
          <w:rFonts w:asciiTheme="majorHAnsi" w:hAnsiTheme="majorHAnsi"/>
          <w:szCs w:val="24"/>
        </w:rPr>
        <w:t>The target profile and achieved sample is present</w:t>
      </w:r>
      <w:r w:rsidR="00444DA2" w:rsidRPr="001457F6">
        <w:rPr>
          <w:rFonts w:asciiTheme="majorHAnsi" w:hAnsiTheme="majorHAnsi"/>
          <w:szCs w:val="24"/>
        </w:rPr>
        <w:t>ed</w:t>
      </w:r>
      <w:r w:rsidR="00125333" w:rsidRPr="001457F6">
        <w:rPr>
          <w:rFonts w:asciiTheme="majorHAnsi" w:hAnsiTheme="majorHAnsi"/>
          <w:szCs w:val="24"/>
        </w:rPr>
        <w:t xml:space="preserve"> in the table below</w:t>
      </w:r>
      <w:r w:rsidR="00444DA2" w:rsidRPr="001457F6">
        <w:rPr>
          <w:rFonts w:asciiTheme="majorHAnsi" w:hAnsiTheme="majorHAnsi"/>
          <w:szCs w:val="24"/>
        </w:rPr>
        <w:t xml:space="preserve">. </w:t>
      </w:r>
      <w:hyperlink r:id="rId9" w:history="1">
        <w:r w:rsidR="00667A6D" w:rsidRPr="001457F6">
          <w:rPr>
            <w:rFonts w:ascii="Calibri" w:hAnsi="Calibri" w:cs="Calibri"/>
            <w:color w:val="0000FF"/>
            <w:szCs w:val="24"/>
            <w:u w:val="single" w:color="0000FF"/>
            <w:lang w:val="en-US"/>
          </w:rPr>
          <w:t>https://www.ons.gov.uk/peoplepopulationandcommunity/populationandmigration/populationestimates</w:t>
        </w:r>
      </w:hyperlink>
      <w:r w:rsidR="00444DA2" w:rsidRPr="001457F6">
        <w:rPr>
          <w:rFonts w:ascii="Calibri" w:hAnsi="Calibri"/>
          <w:szCs w:val="24"/>
          <w:lang w:val="en-US"/>
        </w:rPr>
        <w:t>)</w:t>
      </w:r>
      <w:r w:rsidR="00125333" w:rsidRPr="001457F6">
        <w:rPr>
          <w:rFonts w:asciiTheme="majorHAnsi" w:hAnsiTheme="majorHAnsi"/>
          <w:szCs w:val="24"/>
        </w:rPr>
        <w:t xml:space="preserve">. </w:t>
      </w:r>
    </w:p>
    <w:tbl>
      <w:tblPr>
        <w:tblW w:w="0" w:type="auto"/>
        <w:tblBorders>
          <w:top w:val="nil"/>
          <w:left w:val="nil"/>
          <w:right w:val="nil"/>
        </w:tblBorders>
        <w:tblLayout w:type="fixed"/>
        <w:tblLook w:val="0000" w:firstRow="0" w:lastRow="0" w:firstColumn="0" w:lastColumn="0" w:noHBand="0" w:noVBand="0"/>
      </w:tblPr>
      <w:tblGrid>
        <w:gridCol w:w="2512"/>
        <w:gridCol w:w="1392"/>
        <w:gridCol w:w="1052"/>
        <w:gridCol w:w="1912"/>
        <w:gridCol w:w="872"/>
      </w:tblGrid>
      <w:tr w:rsidR="00125333" w:rsidRPr="001457F6" w14:paraId="011097D7" w14:textId="77777777" w:rsidTr="00125333">
        <w:tc>
          <w:tcPr>
            <w:tcW w:w="2512" w:type="dxa"/>
            <w:tcBorders>
              <w:top w:val="single" w:sz="10" w:space="0" w:color="000000"/>
              <w:left w:val="single" w:sz="10" w:space="0" w:color="000000"/>
              <w:bottom w:val="single" w:sz="10" w:space="0" w:color="000000"/>
              <w:right w:val="single" w:sz="10" w:space="0" w:color="000000"/>
            </w:tcBorders>
            <w:tcMar>
              <w:top w:w="144" w:type="nil"/>
              <w:right w:w="144" w:type="nil"/>
            </w:tcMar>
            <w:vAlign w:val="center"/>
          </w:tcPr>
          <w:p w14:paraId="4DF8E902"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lang w:val="en-US"/>
              </w:rPr>
              <w:t>Quota Breakdown</w:t>
            </w:r>
          </w:p>
        </w:tc>
        <w:tc>
          <w:tcPr>
            <w:tcW w:w="1392" w:type="dxa"/>
            <w:tcBorders>
              <w:top w:val="single" w:sz="10" w:space="0" w:color="000000"/>
              <w:bottom w:val="single" w:sz="10" w:space="0" w:color="000000"/>
              <w:right w:val="single" w:sz="10" w:space="0" w:color="000000"/>
            </w:tcBorders>
            <w:tcMar>
              <w:top w:w="144" w:type="nil"/>
              <w:right w:w="144" w:type="nil"/>
            </w:tcMar>
            <w:vAlign w:val="center"/>
          </w:tcPr>
          <w:p w14:paraId="610FDA53"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lang w:val="en-US"/>
              </w:rPr>
              <w:t>Target</w:t>
            </w:r>
          </w:p>
          <w:p w14:paraId="383791DF"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lang w:val="en-US"/>
              </w:rPr>
              <w:t>Profile</w:t>
            </w:r>
          </w:p>
        </w:tc>
        <w:tc>
          <w:tcPr>
            <w:tcW w:w="1052" w:type="dxa"/>
            <w:tcBorders>
              <w:top w:val="single" w:sz="10" w:space="0" w:color="000000"/>
              <w:bottom w:val="single" w:sz="10" w:space="0" w:color="000000"/>
              <w:right w:val="single" w:sz="10" w:space="0" w:color="000000"/>
            </w:tcBorders>
            <w:tcMar>
              <w:top w:w="144" w:type="nil"/>
              <w:right w:w="144" w:type="nil"/>
            </w:tcMar>
            <w:vAlign w:val="bottom"/>
          </w:tcPr>
          <w:p w14:paraId="46E3EB2F"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lang w:val="en-US"/>
              </w:rPr>
              <w:t>%</w:t>
            </w:r>
          </w:p>
        </w:tc>
        <w:tc>
          <w:tcPr>
            <w:tcW w:w="1912" w:type="dxa"/>
            <w:tcBorders>
              <w:top w:val="single" w:sz="10" w:space="0" w:color="000000"/>
              <w:bottom w:val="single" w:sz="10" w:space="0" w:color="000000"/>
              <w:right w:val="single" w:sz="10" w:space="0" w:color="000000"/>
            </w:tcBorders>
            <w:tcMar>
              <w:top w:w="144" w:type="nil"/>
              <w:right w:w="144" w:type="nil"/>
            </w:tcMar>
            <w:vAlign w:val="bottom"/>
          </w:tcPr>
          <w:p w14:paraId="30C23561"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lang w:val="en-US"/>
              </w:rPr>
              <w:t>Achieved</w:t>
            </w:r>
          </w:p>
          <w:p w14:paraId="258692C5"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lang w:val="en-US"/>
              </w:rPr>
              <w:t>(unweighted)</w:t>
            </w:r>
          </w:p>
        </w:tc>
        <w:tc>
          <w:tcPr>
            <w:tcW w:w="872" w:type="dxa"/>
            <w:tcBorders>
              <w:top w:val="single" w:sz="10" w:space="0" w:color="000000"/>
              <w:bottom w:val="single" w:sz="10" w:space="0" w:color="000000"/>
              <w:right w:val="single" w:sz="10" w:space="0" w:color="000000"/>
            </w:tcBorders>
            <w:tcMar>
              <w:top w:w="144" w:type="nil"/>
              <w:right w:w="144" w:type="nil"/>
            </w:tcMar>
            <w:vAlign w:val="bottom"/>
          </w:tcPr>
          <w:p w14:paraId="36B962D0"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lang w:val="en-US"/>
              </w:rPr>
              <w:t>%</w:t>
            </w:r>
          </w:p>
        </w:tc>
      </w:tr>
      <w:tr w:rsidR="00125333" w:rsidRPr="001457F6" w14:paraId="1931B8EF"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749DB126"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Male</w:t>
            </w:r>
          </w:p>
        </w:tc>
        <w:tc>
          <w:tcPr>
            <w:tcW w:w="1392" w:type="dxa"/>
            <w:tcBorders>
              <w:bottom w:val="single" w:sz="10" w:space="0" w:color="000000"/>
              <w:right w:val="single" w:sz="10" w:space="0" w:color="000000"/>
            </w:tcBorders>
            <w:tcMar>
              <w:top w:w="144" w:type="nil"/>
              <w:right w:w="144" w:type="nil"/>
            </w:tcMar>
            <w:vAlign w:val="center"/>
          </w:tcPr>
          <w:p w14:paraId="60A1F8CA"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1,773</w:t>
            </w:r>
          </w:p>
        </w:tc>
        <w:tc>
          <w:tcPr>
            <w:tcW w:w="1052" w:type="dxa"/>
            <w:tcBorders>
              <w:bottom w:val="single" w:sz="10" w:space="0" w:color="000000"/>
              <w:right w:val="single" w:sz="10" w:space="0" w:color="000000"/>
            </w:tcBorders>
            <w:tcMar>
              <w:top w:w="144" w:type="nil"/>
              <w:right w:w="144" w:type="nil"/>
            </w:tcMar>
            <w:vAlign w:val="bottom"/>
          </w:tcPr>
          <w:p w14:paraId="40D237AC"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50.6%</w:t>
            </w:r>
          </w:p>
        </w:tc>
        <w:tc>
          <w:tcPr>
            <w:tcW w:w="1912" w:type="dxa"/>
            <w:tcBorders>
              <w:bottom w:val="single" w:sz="10" w:space="0" w:color="000000"/>
              <w:right w:val="single" w:sz="10" w:space="0" w:color="000000"/>
            </w:tcBorders>
            <w:tcMar>
              <w:top w:w="144" w:type="nil"/>
              <w:right w:w="144" w:type="nil"/>
            </w:tcMar>
            <w:vAlign w:val="bottom"/>
          </w:tcPr>
          <w:p w14:paraId="5BAE969A"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1,740</w:t>
            </w:r>
          </w:p>
        </w:tc>
        <w:tc>
          <w:tcPr>
            <w:tcW w:w="872" w:type="dxa"/>
            <w:tcBorders>
              <w:bottom w:val="single" w:sz="10" w:space="0" w:color="000000"/>
              <w:right w:val="single" w:sz="10" w:space="0" w:color="000000"/>
            </w:tcBorders>
            <w:tcMar>
              <w:top w:w="144" w:type="nil"/>
              <w:right w:w="144" w:type="nil"/>
            </w:tcMar>
            <w:vAlign w:val="bottom"/>
          </w:tcPr>
          <w:p w14:paraId="53D478F9"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49.6%</w:t>
            </w:r>
          </w:p>
        </w:tc>
      </w:tr>
      <w:tr w:rsidR="00125333" w:rsidRPr="001457F6" w14:paraId="662D5840"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23905F73"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Female</w:t>
            </w:r>
          </w:p>
        </w:tc>
        <w:tc>
          <w:tcPr>
            <w:tcW w:w="1392" w:type="dxa"/>
            <w:tcBorders>
              <w:bottom w:val="single" w:sz="10" w:space="0" w:color="000000"/>
              <w:right w:val="single" w:sz="10" w:space="0" w:color="000000"/>
            </w:tcBorders>
            <w:tcMar>
              <w:top w:w="144" w:type="nil"/>
              <w:right w:w="144" w:type="nil"/>
            </w:tcMar>
            <w:vAlign w:val="center"/>
          </w:tcPr>
          <w:p w14:paraId="74AA8236"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1,731</w:t>
            </w:r>
          </w:p>
        </w:tc>
        <w:tc>
          <w:tcPr>
            <w:tcW w:w="1052" w:type="dxa"/>
            <w:tcBorders>
              <w:bottom w:val="single" w:sz="10" w:space="0" w:color="000000"/>
              <w:right w:val="single" w:sz="10" w:space="0" w:color="000000"/>
            </w:tcBorders>
            <w:tcMar>
              <w:top w:w="144" w:type="nil"/>
              <w:right w:w="144" w:type="nil"/>
            </w:tcMar>
            <w:vAlign w:val="bottom"/>
          </w:tcPr>
          <w:p w14:paraId="4C523DBD"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49.4%</w:t>
            </w:r>
          </w:p>
        </w:tc>
        <w:tc>
          <w:tcPr>
            <w:tcW w:w="1912" w:type="dxa"/>
            <w:tcBorders>
              <w:bottom w:val="single" w:sz="10" w:space="0" w:color="000000"/>
              <w:right w:val="single" w:sz="10" w:space="0" w:color="000000"/>
            </w:tcBorders>
            <w:tcMar>
              <w:top w:w="144" w:type="nil"/>
              <w:right w:w="144" w:type="nil"/>
            </w:tcMar>
            <w:vAlign w:val="bottom"/>
          </w:tcPr>
          <w:p w14:paraId="0A1759B3"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1,768</w:t>
            </w:r>
          </w:p>
        </w:tc>
        <w:tc>
          <w:tcPr>
            <w:tcW w:w="872" w:type="dxa"/>
            <w:tcBorders>
              <w:bottom w:val="single" w:sz="10" w:space="0" w:color="000000"/>
              <w:right w:val="single" w:sz="10" w:space="0" w:color="000000"/>
            </w:tcBorders>
            <w:tcMar>
              <w:top w:w="144" w:type="nil"/>
              <w:right w:w="144" w:type="nil"/>
            </w:tcMar>
            <w:vAlign w:val="bottom"/>
          </w:tcPr>
          <w:p w14:paraId="3CD8D9EE"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50.4%</w:t>
            </w:r>
          </w:p>
        </w:tc>
      </w:tr>
      <w:tr w:rsidR="00125333" w:rsidRPr="001457F6" w14:paraId="07FA1EE2"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749F7274"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18-23</w:t>
            </w:r>
          </w:p>
        </w:tc>
        <w:tc>
          <w:tcPr>
            <w:tcW w:w="1392" w:type="dxa"/>
            <w:tcBorders>
              <w:bottom w:val="single" w:sz="10" w:space="0" w:color="000000"/>
              <w:right w:val="single" w:sz="10" w:space="0" w:color="000000"/>
            </w:tcBorders>
            <w:tcMar>
              <w:top w:w="144" w:type="nil"/>
              <w:right w:w="144" w:type="nil"/>
            </w:tcMar>
            <w:vAlign w:val="center"/>
          </w:tcPr>
          <w:p w14:paraId="23F6B8DD"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1,298</w:t>
            </w:r>
          </w:p>
        </w:tc>
        <w:tc>
          <w:tcPr>
            <w:tcW w:w="1052" w:type="dxa"/>
            <w:tcBorders>
              <w:bottom w:val="single" w:sz="10" w:space="0" w:color="000000"/>
              <w:right w:val="single" w:sz="10" w:space="0" w:color="000000"/>
            </w:tcBorders>
            <w:tcMar>
              <w:top w:w="144" w:type="nil"/>
              <w:right w:w="144" w:type="nil"/>
            </w:tcMar>
            <w:vAlign w:val="bottom"/>
          </w:tcPr>
          <w:p w14:paraId="4B1EBF57"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37.0%</w:t>
            </w:r>
          </w:p>
        </w:tc>
        <w:tc>
          <w:tcPr>
            <w:tcW w:w="1912" w:type="dxa"/>
            <w:tcBorders>
              <w:bottom w:val="single" w:sz="10" w:space="0" w:color="000000"/>
              <w:right w:val="single" w:sz="10" w:space="0" w:color="000000"/>
            </w:tcBorders>
            <w:tcMar>
              <w:top w:w="144" w:type="nil"/>
              <w:right w:w="144" w:type="nil"/>
            </w:tcMar>
            <w:vAlign w:val="bottom"/>
          </w:tcPr>
          <w:p w14:paraId="759F4A43"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1,373</w:t>
            </w:r>
          </w:p>
        </w:tc>
        <w:tc>
          <w:tcPr>
            <w:tcW w:w="872" w:type="dxa"/>
            <w:tcBorders>
              <w:bottom w:val="single" w:sz="10" w:space="0" w:color="000000"/>
              <w:right w:val="single" w:sz="10" w:space="0" w:color="000000"/>
            </w:tcBorders>
            <w:tcMar>
              <w:top w:w="144" w:type="nil"/>
              <w:right w:w="144" w:type="nil"/>
            </w:tcMar>
            <w:vAlign w:val="bottom"/>
          </w:tcPr>
          <w:p w14:paraId="7AF0EE7D"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39.1%</w:t>
            </w:r>
          </w:p>
        </w:tc>
      </w:tr>
      <w:tr w:rsidR="00125333" w:rsidRPr="001457F6" w14:paraId="344ACC9D"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217F861E"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24-29</w:t>
            </w:r>
          </w:p>
        </w:tc>
        <w:tc>
          <w:tcPr>
            <w:tcW w:w="1392" w:type="dxa"/>
            <w:tcBorders>
              <w:bottom w:val="single" w:sz="10" w:space="0" w:color="000000"/>
              <w:right w:val="single" w:sz="10" w:space="0" w:color="000000"/>
            </w:tcBorders>
            <w:tcMar>
              <w:top w:w="144" w:type="nil"/>
              <w:right w:w="144" w:type="nil"/>
            </w:tcMar>
            <w:vAlign w:val="center"/>
          </w:tcPr>
          <w:p w14:paraId="3448E159"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1,258</w:t>
            </w:r>
          </w:p>
        </w:tc>
        <w:tc>
          <w:tcPr>
            <w:tcW w:w="1052" w:type="dxa"/>
            <w:tcBorders>
              <w:bottom w:val="single" w:sz="10" w:space="0" w:color="000000"/>
              <w:right w:val="single" w:sz="10" w:space="0" w:color="000000"/>
            </w:tcBorders>
            <w:tcMar>
              <w:top w:w="144" w:type="nil"/>
              <w:right w:w="144" w:type="nil"/>
            </w:tcMar>
            <w:vAlign w:val="bottom"/>
          </w:tcPr>
          <w:p w14:paraId="6AF9F2DD"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35.9%</w:t>
            </w:r>
          </w:p>
        </w:tc>
        <w:tc>
          <w:tcPr>
            <w:tcW w:w="1912" w:type="dxa"/>
            <w:tcBorders>
              <w:bottom w:val="single" w:sz="10" w:space="0" w:color="000000"/>
              <w:right w:val="single" w:sz="10" w:space="0" w:color="000000"/>
            </w:tcBorders>
            <w:tcMar>
              <w:top w:w="144" w:type="nil"/>
              <w:right w:w="144" w:type="nil"/>
            </w:tcMar>
            <w:vAlign w:val="bottom"/>
          </w:tcPr>
          <w:p w14:paraId="11E6F8D5"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1,259</w:t>
            </w:r>
          </w:p>
        </w:tc>
        <w:tc>
          <w:tcPr>
            <w:tcW w:w="872" w:type="dxa"/>
            <w:tcBorders>
              <w:bottom w:val="single" w:sz="10" w:space="0" w:color="000000"/>
              <w:right w:val="single" w:sz="10" w:space="0" w:color="000000"/>
            </w:tcBorders>
            <w:tcMar>
              <w:top w:w="144" w:type="nil"/>
              <w:right w:w="144" w:type="nil"/>
            </w:tcMar>
            <w:vAlign w:val="bottom"/>
          </w:tcPr>
          <w:p w14:paraId="64E4B042"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35.9%</w:t>
            </w:r>
          </w:p>
        </w:tc>
      </w:tr>
      <w:tr w:rsidR="00125333" w:rsidRPr="001457F6" w14:paraId="683D5123"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34986772"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30-34</w:t>
            </w:r>
          </w:p>
        </w:tc>
        <w:tc>
          <w:tcPr>
            <w:tcW w:w="1392" w:type="dxa"/>
            <w:tcBorders>
              <w:bottom w:val="single" w:sz="10" w:space="0" w:color="000000"/>
              <w:right w:val="single" w:sz="10" w:space="0" w:color="000000"/>
            </w:tcBorders>
            <w:tcMar>
              <w:top w:w="144" w:type="nil"/>
              <w:right w:w="144" w:type="nil"/>
            </w:tcMar>
            <w:vAlign w:val="center"/>
          </w:tcPr>
          <w:p w14:paraId="55C55408"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948</w:t>
            </w:r>
          </w:p>
        </w:tc>
        <w:tc>
          <w:tcPr>
            <w:tcW w:w="1052" w:type="dxa"/>
            <w:tcBorders>
              <w:bottom w:val="single" w:sz="10" w:space="0" w:color="000000"/>
              <w:right w:val="single" w:sz="10" w:space="0" w:color="000000"/>
            </w:tcBorders>
            <w:tcMar>
              <w:top w:w="144" w:type="nil"/>
              <w:right w:w="144" w:type="nil"/>
            </w:tcMar>
            <w:vAlign w:val="bottom"/>
          </w:tcPr>
          <w:p w14:paraId="0E35AC06"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27.1%</w:t>
            </w:r>
          </w:p>
        </w:tc>
        <w:tc>
          <w:tcPr>
            <w:tcW w:w="1912" w:type="dxa"/>
            <w:tcBorders>
              <w:bottom w:val="single" w:sz="10" w:space="0" w:color="000000"/>
              <w:right w:val="single" w:sz="10" w:space="0" w:color="000000"/>
            </w:tcBorders>
            <w:tcMar>
              <w:top w:w="144" w:type="nil"/>
              <w:right w:w="144" w:type="nil"/>
            </w:tcMar>
            <w:vAlign w:val="bottom"/>
          </w:tcPr>
          <w:p w14:paraId="3C1511FC"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876</w:t>
            </w:r>
          </w:p>
        </w:tc>
        <w:tc>
          <w:tcPr>
            <w:tcW w:w="872" w:type="dxa"/>
            <w:tcBorders>
              <w:bottom w:val="single" w:sz="10" w:space="0" w:color="000000"/>
              <w:right w:val="single" w:sz="10" w:space="0" w:color="000000"/>
            </w:tcBorders>
            <w:tcMar>
              <w:top w:w="144" w:type="nil"/>
              <w:right w:w="144" w:type="nil"/>
            </w:tcMar>
            <w:vAlign w:val="bottom"/>
          </w:tcPr>
          <w:p w14:paraId="0F5FC60B"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25.0%</w:t>
            </w:r>
          </w:p>
        </w:tc>
      </w:tr>
      <w:tr w:rsidR="00125333" w:rsidRPr="001457F6" w14:paraId="373326FD"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135E8DF3"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Working FT</w:t>
            </w:r>
          </w:p>
        </w:tc>
        <w:tc>
          <w:tcPr>
            <w:tcW w:w="1392" w:type="dxa"/>
            <w:tcBorders>
              <w:bottom w:val="single" w:sz="10" w:space="0" w:color="000000"/>
              <w:right w:val="single" w:sz="10" w:space="0" w:color="000000"/>
            </w:tcBorders>
            <w:tcMar>
              <w:top w:w="144" w:type="nil"/>
              <w:right w:w="144" w:type="nil"/>
            </w:tcMar>
            <w:vAlign w:val="center"/>
          </w:tcPr>
          <w:p w14:paraId="2D785BC6"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1,808</w:t>
            </w:r>
          </w:p>
        </w:tc>
        <w:tc>
          <w:tcPr>
            <w:tcW w:w="1052" w:type="dxa"/>
            <w:tcBorders>
              <w:bottom w:val="single" w:sz="10" w:space="0" w:color="000000"/>
              <w:right w:val="single" w:sz="10" w:space="0" w:color="000000"/>
            </w:tcBorders>
            <w:tcMar>
              <w:top w:w="144" w:type="nil"/>
              <w:right w:w="144" w:type="nil"/>
            </w:tcMar>
            <w:vAlign w:val="bottom"/>
          </w:tcPr>
          <w:p w14:paraId="7D65931E"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51.6%</w:t>
            </w:r>
          </w:p>
        </w:tc>
        <w:tc>
          <w:tcPr>
            <w:tcW w:w="1912" w:type="dxa"/>
            <w:tcBorders>
              <w:bottom w:val="single" w:sz="10" w:space="0" w:color="000000"/>
              <w:right w:val="single" w:sz="10" w:space="0" w:color="000000"/>
            </w:tcBorders>
            <w:tcMar>
              <w:top w:w="144" w:type="nil"/>
              <w:right w:w="144" w:type="nil"/>
            </w:tcMar>
            <w:vAlign w:val="bottom"/>
          </w:tcPr>
          <w:p w14:paraId="3CC9DE15"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1,739</w:t>
            </w:r>
          </w:p>
        </w:tc>
        <w:tc>
          <w:tcPr>
            <w:tcW w:w="872" w:type="dxa"/>
            <w:tcBorders>
              <w:bottom w:val="single" w:sz="10" w:space="0" w:color="000000"/>
              <w:right w:val="single" w:sz="10" w:space="0" w:color="000000"/>
            </w:tcBorders>
            <w:tcMar>
              <w:top w:w="144" w:type="nil"/>
              <w:right w:w="144" w:type="nil"/>
            </w:tcMar>
            <w:vAlign w:val="bottom"/>
          </w:tcPr>
          <w:p w14:paraId="2759B2F5"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49.6%</w:t>
            </w:r>
          </w:p>
        </w:tc>
      </w:tr>
      <w:tr w:rsidR="00125333" w:rsidRPr="001457F6" w14:paraId="67A6C872"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406B846A"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Student FT</w:t>
            </w:r>
          </w:p>
        </w:tc>
        <w:tc>
          <w:tcPr>
            <w:tcW w:w="1392" w:type="dxa"/>
            <w:tcBorders>
              <w:bottom w:val="single" w:sz="10" w:space="0" w:color="000000"/>
              <w:right w:val="single" w:sz="10" w:space="0" w:color="000000"/>
            </w:tcBorders>
            <w:tcMar>
              <w:top w:w="144" w:type="nil"/>
              <w:right w:w="144" w:type="nil"/>
            </w:tcMar>
            <w:vAlign w:val="center"/>
          </w:tcPr>
          <w:p w14:paraId="77C39B70"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668</w:t>
            </w:r>
          </w:p>
        </w:tc>
        <w:tc>
          <w:tcPr>
            <w:tcW w:w="1052" w:type="dxa"/>
            <w:tcBorders>
              <w:bottom w:val="single" w:sz="10" w:space="0" w:color="000000"/>
              <w:right w:val="single" w:sz="10" w:space="0" w:color="000000"/>
            </w:tcBorders>
            <w:tcMar>
              <w:top w:w="144" w:type="nil"/>
              <w:right w:w="144" w:type="nil"/>
            </w:tcMar>
            <w:vAlign w:val="bottom"/>
          </w:tcPr>
          <w:p w14:paraId="262F1C16"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19.1%</w:t>
            </w:r>
          </w:p>
        </w:tc>
        <w:tc>
          <w:tcPr>
            <w:tcW w:w="1912" w:type="dxa"/>
            <w:tcBorders>
              <w:bottom w:val="single" w:sz="10" w:space="0" w:color="000000"/>
              <w:right w:val="single" w:sz="10" w:space="0" w:color="000000"/>
            </w:tcBorders>
            <w:tcMar>
              <w:top w:w="144" w:type="nil"/>
              <w:right w:w="144" w:type="nil"/>
            </w:tcMar>
            <w:vAlign w:val="bottom"/>
          </w:tcPr>
          <w:p w14:paraId="78555054"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609</w:t>
            </w:r>
          </w:p>
        </w:tc>
        <w:tc>
          <w:tcPr>
            <w:tcW w:w="872" w:type="dxa"/>
            <w:tcBorders>
              <w:bottom w:val="single" w:sz="10" w:space="0" w:color="000000"/>
              <w:right w:val="single" w:sz="10" w:space="0" w:color="000000"/>
            </w:tcBorders>
            <w:tcMar>
              <w:top w:w="144" w:type="nil"/>
              <w:right w:w="144" w:type="nil"/>
            </w:tcMar>
            <w:vAlign w:val="bottom"/>
          </w:tcPr>
          <w:p w14:paraId="7BF7ACA2"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17.4%</w:t>
            </w:r>
          </w:p>
        </w:tc>
      </w:tr>
      <w:tr w:rsidR="00125333" w:rsidRPr="001457F6" w14:paraId="2E19C2B7" w14:textId="77777777" w:rsidTr="00125333">
        <w:tblPrEx>
          <w:tblBorders>
            <w:top w:val="none" w:sz="0" w:space="0" w:color="auto"/>
          </w:tblBorders>
        </w:tblPrEx>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0464B886"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lang w:val="en-US"/>
              </w:rPr>
              <w:t>Not working FT</w:t>
            </w:r>
          </w:p>
        </w:tc>
        <w:tc>
          <w:tcPr>
            <w:tcW w:w="1392" w:type="dxa"/>
            <w:tcBorders>
              <w:bottom w:val="single" w:sz="10" w:space="0" w:color="000000"/>
              <w:right w:val="single" w:sz="10" w:space="0" w:color="000000"/>
            </w:tcBorders>
            <w:tcMar>
              <w:top w:w="144" w:type="nil"/>
              <w:right w:w="144" w:type="nil"/>
            </w:tcMar>
            <w:vAlign w:val="center"/>
          </w:tcPr>
          <w:p w14:paraId="2707B0DE"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1,028</w:t>
            </w:r>
          </w:p>
        </w:tc>
        <w:tc>
          <w:tcPr>
            <w:tcW w:w="1052" w:type="dxa"/>
            <w:tcBorders>
              <w:bottom w:val="single" w:sz="10" w:space="0" w:color="000000"/>
              <w:right w:val="single" w:sz="10" w:space="0" w:color="000000"/>
            </w:tcBorders>
            <w:tcMar>
              <w:top w:w="144" w:type="nil"/>
              <w:right w:w="144" w:type="nil"/>
            </w:tcMar>
            <w:vAlign w:val="bottom"/>
          </w:tcPr>
          <w:p w14:paraId="6D18F35C"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29.3%</w:t>
            </w:r>
          </w:p>
        </w:tc>
        <w:tc>
          <w:tcPr>
            <w:tcW w:w="1912" w:type="dxa"/>
            <w:tcBorders>
              <w:bottom w:val="single" w:sz="10" w:space="0" w:color="000000"/>
              <w:right w:val="single" w:sz="10" w:space="0" w:color="000000"/>
            </w:tcBorders>
            <w:tcMar>
              <w:top w:w="144" w:type="nil"/>
              <w:right w:w="144" w:type="nil"/>
            </w:tcMar>
            <w:vAlign w:val="bottom"/>
          </w:tcPr>
          <w:p w14:paraId="713D11E5"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1,160</w:t>
            </w:r>
          </w:p>
        </w:tc>
        <w:tc>
          <w:tcPr>
            <w:tcW w:w="872" w:type="dxa"/>
            <w:tcBorders>
              <w:bottom w:val="single" w:sz="10" w:space="0" w:color="000000"/>
              <w:right w:val="single" w:sz="10" w:space="0" w:color="000000"/>
            </w:tcBorders>
            <w:tcMar>
              <w:top w:w="144" w:type="nil"/>
              <w:right w:w="144" w:type="nil"/>
            </w:tcMar>
            <w:vAlign w:val="bottom"/>
          </w:tcPr>
          <w:p w14:paraId="4EE47999"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lang w:val="en-US"/>
              </w:rPr>
              <w:t>33.1%</w:t>
            </w:r>
          </w:p>
        </w:tc>
      </w:tr>
      <w:tr w:rsidR="00125333" w:rsidRPr="00A0053E" w14:paraId="6C593BC4" w14:textId="77777777" w:rsidTr="00125333">
        <w:tc>
          <w:tcPr>
            <w:tcW w:w="2512" w:type="dxa"/>
            <w:tcBorders>
              <w:left w:val="single" w:sz="10" w:space="0" w:color="000000"/>
              <w:bottom w:val="single" w:sz="10" w:space="0" w:color="000000"/>
              <w:right w:val="single" w:sz="10" w:space="0" w:color="000000"/>
            </w:tcBorders>
            <w:tcMar>
              <w:top w:w="144" w:type="nil"/>
              <w:right w:w="144" w:type="nil"/>
            </w:tcMar>
            <w:vAlign w:val="center"/>
          </w:tcPr>
          <w:p w14:paraId="2D4FC20B" w14:textId="77777777" w:rsidR="00125333" w:rsidRPr="001457F6" w:rsidRDefault="00125333" w:rsidP="00125333">
            <w:pPr>
              <w:widowControl w:val="0"/>
              <w:autoSpaceDE w:val="0"/>
              <w:autoSpaceDN w:val="0"/>
              <w:adjustRightInd w:val="0"/>
              <w:rPr>
                <w:rFonts w:ascii="Calibri" w:hAnsi="Calibri" w:cs="Calibri"/>
                <w:lang w:val="en-US"/>
              </w:rPr>
            </w:pPr>
            <w:r w:rsidRPr="001457F6">
              <w:rPr>
                <w:rFonts w:ascii="Calibri" w:hAnsi="Calibri" w:cs="Calibri"/>
                <w:b/>
                <w:bCs/>
                <w:i/>
                <w:iCs/>
                <w:lang w:val="en-US"/>
              </w:rPr>
              <w:t>Total</w:t>
            </w:r>
          </w:p>
        </w:tc>
        <w:tc>
          <w:tcPr>
            <w:tcW w:w="1392" w:type="dxa"/>
            <w:tcBorders>
              <w:bottom w:val="single" w:sz="10" w:space="0" w:color="000000"/>
              <w:right w:val="single" w:sz="10" w:space="0" w:color="000000"/>
            </w:tcBorders>
            <w:tcMar>
              <w:top w:w="144" w:type="nil"/>
              <w:right w:w="144" w:type="nil"/>
            </w:tcMar>
            <w:vAlign w:val="center"/>
          </w:tcPr>
          <w:p w14:paraId="67D3F87C"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b/>
                <w:bCs/>
                <w:i/>
                <w:iCs/>
                <w:lang w:val="en-US"/>
              </w:rPr>
              <w:t>3,504</w:t>
            </w:r>
          </w:p>
        </w:tc>
        <w:tc>
          <w:tcPr>
            <w:tcW w:w="1052" w:type="dxa"/>
            <w:tcBorders>
              <w:bottom w:val="single" w:sz="10" w:space="0" w:color="000000"/>
              <w:right w:val="single" w:sz="10" w:space="0" w:color="000000"/>
            </w:tcBorders>
            <w:tcMar>
              <w:top w:w="144" w:type="nil"/>
              <w:right w:w="144" w:type="nil"/>
            </w:tcMar>
            <w:vAlign w:val="bottom"/>
          </w:tcPr>
          <w:p w14:paraId="49F09ABE"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b/>
                <w:bCs/>
                <w:i/>
                <w:iCs/>
                <w:lang w:val="en-US"/>
              </w:rPr>
              <w:t>100%</w:t>
            </w:r>
          </w:p>
        </w:tc>
        <w:tc>
          <w:tcPr>
            <w:tcW w:w="1912" w:type="dxa"/>
            <w:tcBorders>
              <w:bottom w:val="single" w:sz="10" w:space="0" w:color="000000"/>
              <w:right w:val="single" w:sz="10" w:space="0" w:color="000000"/>
            </w:tcBorders>
            <w:tcMar>
              <w:top w:w="144" w:type="nil"/>
              <w:right w:w="144" w:type="nil"/>
            </w:tcMar>
            <w:vAlign w:val="bottom"/>
          </w:tcPr>
          <w:p w14:paraId="2E6D41DE" w14:textId="77777777" w:rsidR="00125333" w:rsidRPr="001457F6" w:rsidRDefault="00125333" w:rsidP="00125333">
            <w:pPr>
              <w:widowControl w:val="0"/>
              <w:autoSpaceDE w:val="0"/>
              <w:autoSpaceDN w:val="0"/>
              <w:adjustRightInd w:val="0"/>
              <w:jc w:val="right"/>
              <w:rPr>
                <w:rFonts w:ascii="Calibri" w:hAnsi="Calibri" w:cs="Calibri"/>
                <w:lang w:val="en-US"/>
              </w:rPr>
            </w:pPr>
            <w:r w:rsidRPr="001457F6">
              <w:rPr>
                <w:rFonts w:ascii="Calibri" w:hAnsi="Calibri" w:cs="Calibri"/>
                <w:b/>
                <w:bCs/>
                <w:i/>
                <w:iCs/>
                <w:lang w:val="en-US"/>
              </w:rPr>
              <w:t>3,508</w:t>
            </w:r>
          </w:p>
        </w:tc>
        <w:tc>
          <w:tcPr>
            <w:tcW w:w="872" w:type="dxa"/>
            <w:tcBorders>
              <w:bottom w:val="single" w:sz="10" w:space="0" w:color="000000"/>
              <w:right w:val="single" w:sz="10" w:space="0" w:color="000000"/>
            </w:tcBorders>
            <w:tcMar>
              <w:top w:w="144" w:type="nil"/>
              <w:right w:w="144" w:type="nil"/>
            </w:tcMar>
            <w:vAlign w:val="bottom"/>
          </w:tcPr>
          <w:p w14:paraId="3084A922" w14:textId="77777777" w:rsidR="00125333" w:rsidRPr="001457F6" w:rsidRDefault="00125333" w:rsidP="00125333">
            <w:pPr>
              <w:widowControl w:val="0"/>
              <w:autoSpaceDE w:val="0"/>
              <w:autoSpaceDN w:val="0"/>
              <w:adjustRightInd w:val="0"/>
              <w:jc w:val="right"/>
              <w:rPr>
                <w:rFonts w:ascii="Calibri" w:hAnsi="Calibri" w:cs="Calibri"/>
                <w:b/>
                <w:bCs/>
                <w:i/>
                <w:iCs/>
                <w:lang w:val="en-US"/>
              </w:rPr>
            </w:pPr>
            <w:r w:rsidRPr="001457F6">
              <w:rPr>
                <w:rFonts w:ascii="Calibri" w:hAnsi="Calibri" w:cs="Calibri"/>
                <w:b/>
                <w:bCs/>
                <w:i/>
                <w:iCs/>
                <w:lang w:val="en-US"/>
              </w:rPr>
              <w:t>100%</w:t>
            </w:r>
          </w:p>
        </w:tc>
      </w:tr>
    </w:tbl>
    <w:p w14:paraId="3656B3CF" w14:textId="77777777" w:rsidR="007A6B98" w:rsidRDefault="007A6B98" w:rsidP="00A0053E">
      <w:pPr>
        <w:pStyle w:val="Bullets"/>
        <w:numPr>
          <w:ilvl w:val="0"/>
          <w:numId w:val="0"/>
        </w:numPr>
        <w:spacing w:line="240" w:lineRule="auto"/>
        <w:ind w:left="720" w:right="-421" w:hanging="720"/>
        <w:jc w:val="left"/>
        <w:rPr>
          <w:rFonts w:asciiTheme="majorHAnsi" w:hAnsiTheme="majorHAnsi"/>
          <w:szCs w:val="24"/>
        </w:rPr>
      </w:pPr>
    </w:p>
    <w:p w14:paraId="373CCB5D" w14:textId="77777777" w:rsidR="00274F6A" w:rsidRPr="009068DB" w:rsidRDefault="00274F6A" w:rsidP="00274F6A">
      <w:pPr>
        <w:pStyle w:val="Bullets"/>
        <w:tabs>
          <w:tab w:val="num" w:pos="284"/>
        </w:tabs>
        <w:spacing w:line="240" w:lineRule="auto"/>
        <w:ind w:left="284" w:right="-421" w:hanging="284"/>
        <w:jc w:val="left"/>
        <w:rPr>
          <w:rFonts w:asciiTheme="majorHAnsi" w:hAnsiTheme="majorHAnsi"/>
          <w:szCs w:val="24"/>
        </w:rPr>
      </w:pPr>
      <w:r w:rsidRPr="009068DB">
        <w:rPr>
          <w:rFonts w:asciiTheme="majorHAnsi" w:hAnsiTheme="majorHAnsi"/>
          <w:szCs w:val="24"/>
        </w:rPr>
        <w:t>the position of each sample point was plotted on a map to illustrate the distribution of the sample.</w:t>
      </w:r>
    </w:p>
    <w:p w14:paraId="32528D59" w14:textId="77777777" w:rsidR="00274F6A" w:rsidRPr="009068DB" w:rsidRDefault="00274F6A" w:rsidP="00274F6A">
      <w:pPr>
        <w:pStyle w:val="Bullets"/>
        <w:tabs>
          <w:tab w:val="num" w:pos="284"/>
        </w:tabs>
        <w:spacing w:line="240" w:lineRule="auto"/>
        <w:ind w:left="284" w:right="-421" w:hanging="284"/>
        <w:jc w:val="left"/>
        <w:rPr>
          <w:rFonts w:asciiTheme="majorHAnsi" w:hAnsiTheme="majorHAnsi"/>
          <w:szCs w:val="24"/>
        </w:rPr>
      </w:pPr>
      <w:r w:rsidRPr="009068DB">
        <w:rPr>
          <w:rFonts w:asciiTheme="majorHAnsi" w:hAnsiTheme="majorHAnsi"/>
          <w:szCs w:val="24"/>
        </w:rPr>
        <w:lastRenderedPageBreak/>
        <w:t>interviewers were able to approach any household within the sampling point to achieve interviews in line with the quota controls for that datazone. They were issued with a full listing of addresses within the sampling point (as opposed to a small number of addresses in each sampling point as would be done in a random pre-selected design). Interviewers’ work was tightly controlled and they had to work in the sampling point selected – this is more robust than other approaches which allow interviewers to work in broader areas (e.g. within a particular electoral ward or constituency).</w:t>
      </w:r>
    </w:p>
    <w:p w14:paraId="24054BA7" w14:textId="77777777" w:rsidR="00274F6A" w:rsidRPr="009068DB" w:rsidRDefault="00274F6A" w:rsidP="00274F6A">
      <w:pPr>
        <w:pStyle w:val="Bullets"/>
        <w:tabs>
          <w:tab w:val="num" w:pos="284"/>
        </w:tabs>
        <w:spacing w:line="240" w:lineRule="auto"/>
        <w:ind w:left="284" w:right="-421" w:hanging="284"/>
        <w:jc w:val="left"/>
        <w:rPr>
          <w:rFonts w:asciiTheme="majorHAnsi" w:hAnsiTheme="majorHAnsi"/>
          <w:szCs w:val="24"/>
        </w:rPr>
      </w:pPr>
      <w:r w:rsidRPr="009068DB">
        <w:rPr>
          <w:rFonts w:asciiTheme="majorHAnsi" w:hAnsiTheme="majorHAnsi"/>
          <w:szCs w:val="24"/>
        </w:rPr>
        <w:t xml:space="preserve">at those addresses we instructed interviewers to achieve a target number of interviews, with individuals that fulfil specified quotas (sex, age, work status) that had been set to reflect the demographic profile of that area. In a quota survey design, interviewers can call at as many addresses as necessary at each sampling point to achieve their interviews. Interviewers are required to leave a minimum of two addresses between interviews and visit at both the weekends and evenings to give them the best chance of meeting their quotas. </w:t>
      </w:r>
    </w:p>
    <w:p w14:paraId="7A34019B" w14:textId="77777777" w:rsidR="00274F6A" w:rsidRDefault="00274F6A" w:rsidP="004319D6">
      <w:pPr>
        <w:pStyle w:val="Bullets"/>
        <w:tabs>
          <w:tab w:val="num" w:pos="-284"/>
          <w:tab w:val="num" w:pos="284"/>
        </w:tabs>
        <w:spacing w:line="240" w:lineRule="auto"/>
        <w:ind w:left="284" w:right="-421" w:hanging="284"/>
        <w:jc w:val="left"/>
        <w:rPr>
          <w:rFonts w:asciiTheme="majorHAnsi" w:hAnsiTheme="majorHAnsi"/>
          <w:szCs w:val="24"/>
        </w:rPr>
      </w:pPr>
      <w:proofErr w:type="gramStart"/>
      <w:r w:rsidRPr="009068DB">
        <w:rPr>
          <w:rFonts w:asciiTheme="majorHAnsi" w:hAnsiTheme="majorHAnsi"/>
          <w:szCs w:val="24"/>
        </w:rPr>
        <w:t>due</w:t>
      </w:r>
      <w:proofErr w:type="gramEnd"/>
      <w:r w:rsidRPr="009068DB">
        <w:rPr>
          <w:rFonts w:asciiTheme="majorHAnsi" w:hAnsiTheme="majorHAnsi"/>
          <w:szCs w:val="24"/>
        </w:rPr>
        <w:t xml:space="preserve"> to the special access permissions required, the design does not include people aged 18 to 34 years living in institutions, for example prisons or university halls of </w:t>
      </w:r>
      <w:r>
        <w:rPr>
          <w:rFonts w:asciiTheme="majorHAnsi" w:hAnsiTheme="majorHAnsi"/>
          <w:szCs w:val="24"/>
        </w:rPr>
        <w:t>residence.</w:t>
      </w:r>
    </w:p>
    <w:p w14:paraId="382EA380" w14:textId="77777777" w:rsidR="00125333" w:rsidRDefault="00125333" w:rsidP="00125333">
      <w:pPr>
        <w:pStyle w:val="Bullets"/>
        <w:numPr>
          <w:ilvl w:val="0"/>
          <w:numId w:val="0"/>
        </w:numPr>
        <w:tabs>
          <w:tab w:val="num" w:pos="720"/>
        </w:tabs>
        <w:spacing w:line="240" w:lineRule="auto"/>
        <w:ind w:right="-421"/>
        <w:jc w:val="left"/>
        <w:rPr>
          <w:rFonts w:asciiTheme="majorHAnsi" w:hAnsiTheme="majorHAnsi"/>
          <w:szCs w:val="24"/>
        </w:rPr>
      </w:pPr>
    </w:p>
    <w:p w14:paraId="704339A4" w14:textId="77777777" w:rsidR="00A61ED8" w:rsidRPr="004319D6" w:rsidRDefault="00A61ED8" w:rsidP="009B7FB5">
      <w:pPr>
        <w:pStyle w:val="Bullets"/>
        <w:numPr>
          <w:ilvl w:val="0"/>
          <w:numId w:val="0"/>
        </w:numPr>
        <w:tabs>
          <w:tab w:val="num" w:pos="720"/>
        </w:tabs>
        <w:spacing w:line="240" w:lineRule="auto"/>
        <w:ind w:right="-421"/>
        <w:jc w:val="left"/>
        <w:rPr>
          <w:rFonts w:asciiTheme="majorHAnsi" w:hAnsiTheme="majorHAnsi"/>
          <w:szCs w:val="24"/>
        </w:rPr>
      </w:pPr>
    </w:p>
    <w:sectPr w:rsidR="00A61ED8" w:rsidRPr="004319D6" w:rsidSect="00841F6D">
      <w:headerReference w:type="even" r:id="rId10"/>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2E1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2E149" w16cid:durableId="1E40FC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8AAF4" w14:textId="77777777" w:rsidR="009E5B76" w:rsidRDefault="009E5B76" w:rsidP="00841F6D">
      <w:r>
        <w:separator/>
      </w:r>
    </w:p>
  </w:endnote>
  <w:endnote w:type="continuationSeparator" w:id="0">
    <w:p w14:paraId="7D9DA504" w14:textId="77777777" w:rsidR="009E5B76" w:rsidRDefault="009E5B76" w:rsidP="0084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w:altName w:val="Times Roman"/>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C894" w14:textId="77777777" w:rsidR="00EE0810" w:rsidRDefault="00EE0810" w:rsidP="00841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4CEED" w14:textId="77777777" w:rsidR="00EE0810" w:rsidRDefault="00EE0810" w:rsidP="00841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C2DE" w14:textId="51F12F7C" w:rsidR="00EE0810" w:rsidRDefault="00EE0810" w:rsidP="00841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FB5">
      <w:rPr>
        <w:rStyle w:val="PageNumber"/>
        <w:noProof/>
      </w:rPr>
      <w:t>2</w:t>
    </w:r>
    <w:r>
      <w:rPr>
        <w:rStyle w:val="PageNumber"/>
      </w:rPr>
      <w:fldChar w:fldCharType="end"/>
    </w:r>
  </w:p>
  <w:p w14:paraId="6391B662" w14:textId="77777777" w:rsidR="00EE0810" w:rsidRDefault="00EE0810" w:rsidP="00841F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4377B" w14:textId="77777777" w:rsidR="009E5B76" w:rsidRDefault="009E5B76" w:rsidP="00841F6D">
      <w:r>
        <w:separator/>
      </w:r>
    </w:p>
  </w:footnote>
  <w:footnote w:type="continuationSeparator" w:id="0">
    <w:p w14:paraId="6DB35729" w14:textId="77777777" w:rsidR="009E5B76" w:rsidRDefault="009E5B76" w:rsidP="0084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F74D6" w14:textId="77777777" w:rsidR="00EE0810" w:rsidRDefault="00EE0810" w:rsidP="002902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2264A" w14:textId="77777777" w:rsidR="00EE0810" w:rsidRDefault="00EE0810" w:rsidP="002902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BDE7A" w14:textId="0400CA5C" w:rsidR="00EE0810" w:rsidRDefault="00EE0810" w:rsidP="002902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FB5">
      <w:rPr>
        <w:rStyle w:val="PageNumber"/>
        <w:noProof/>
      </w:rPr>
      <w:t>2</w:t>
    </w:r>
    <w:r>
      <w:rPr>
        <w:rStyle w:val="PageNumber"/>
      </w:rPr>
      <w:fldChar w:fldCharType="end"/>
    </w:r>
  </w:p>
  <w:p w14:paraId="1462C9BA" w14:textId="77777777" w:rsidR="00EE0810" w:rsidRDefault="00EE0810" w:rsidP="0029020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615"/>
    <w:multiLevelType w:val="hybridMultilevel"/>
    <w:tmpl w:val="D8F6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14B43"/>
    <w:multiLevelType w:val="multilevel"/>
    <w:tmpl w:val="A0FC7F28"/>
    <w:lvl w:ilvl="0">
      <w:start w:val="1"/>
      <w:numFmt w:val="lowerRoman"/>
      <w:pStyle w:val="Bullets"/>
      <w:lvlText w:val="%1."/>
      <w:lvlJc w:val="righ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F4421D5"/>
    <w:multiLevelType w:val="hybridMultilevel"/>
    <w:tmpl w:val="D8F6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lvlOverride w:ilvl="0">
      <w:startOverride w:val="1"/>
    </w:lvlOverride>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Parsons (Sunrise Setting)">
    <w15:presenceInfo w15:providerId="None" w15:userId="Danielle Parsons (Sunrise Set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svzwdvlp2w9wefvs3vxs20dwdr00asawd2&quot;&gt;My EndNote Library&lt;record-ids&gt;&lt;item&gt;19&lt;/item&gt;&lt;item&gt;107&lt;/item&gt;&lt;item&gt;112&lt;/item&gt;&lt;item&gt;118&lt;/item&gt;&lt;item&gt;165&lt;/item&gt;&lt;item&gt;253&lt;/item&gt;&lt;item&gt;254&lt;/item&gt;&lt;item&gt;255&lt;/item&gt;&lt;item&gt;310&lt;/item&gt;&lt;item&gt;311&lt;/item&gt;&lt;item&gt;344&lt;/item&gt;&lt;item&gt;380&lt;/item&gt;&lt;item&gt;387&lt;/item&gt;&lt;item&gt;413&lt;/item&gt;&lt;item&gt;414&lt;/item&gt;&lt;item&gt;415&lt;/item&gt;&lt;item&gt;417&lt;/item&gt;&lt;item&gt;418&lt;/item&gt;&lt;item&gt;420&lt;/item&gt;&lt;item&gt;421&lt;/item&gt;&lt;item&gt;432&lt;/item&gt;&lt;item&gt;433&lt;/item&gt;&lt;item&gt;434&lt;/item&gt;&lt;item&gt;436&lt;/item&gt;&lt;item&gt;440&lt;/item&gt;&lt;item&gt;442&lt;/item&gt;&lt;item&gt;443&lt;/item&gt;&lt;item&gt;444&lt;/item&gt;&lt;item&gt;445&lt;/item&gt;&lt;item&gt;446&lt;/item&gt;&lt;item&gt;447&lt;/item&gt;&lt;item&gt;448&lt;/item&gt;&lt;item&gt;449&lt;/item&gt;&lt;item&gt;450&lt;/item&gt;&lt;item&gt;451&lt;/item&gt;&lt;item&gt;464&lt;/item&gt;&lt;item&gt;524&lt;/item&gt;&lt;item&gt;525&lt;/item&gt;&lt;item&gt;578&lt;/item&gt;&lt;item&gt;579&lt;/item&gt;&lt;item&gt;580&lt;/item&gt;&lt;item&gt;581&lt;/item&gt;&lt;item&gt;582&lt;/item&gt;&lt;item&gt;593&lt;/item&gt;&lt;/record-ids&gt;&lt;/item&gt;&lt;/Libraries&gt;"/>
  </w:docVars>
  <w:rsids>
    <w:rsidRoot w:val="00EF2717"/>
    <w:rsid w:val="00012222"/>
    <w:rsid w:val="00012804"/>
    <w:rsid w:val="00013F01"/>
    <w:rsid w:val="0002318F"/>
    <w:rsid w:val="00024AD8"/>
    <w:rsid w:val="00031F93"/>
    <w:rsid w:val="00033527"/>
    <w:rsid w:val="000346DD"/>
    <w:rsid w:val="00034A25"/>
    <w:rsid w:val="00040495"/>
    <w:rsid w:val="00044068"/>
    <w:rsid w:val="00051C41"/>
    <w:rsid w:val="00056C4F"/>
    <w:rsid w:val="00061385"/>
    <w:rsid w:val="00063F41"/>
    <w:rsid w:val="0006742B"/>
    <w:rsid w:val="000726D8"/>
    <w:rsid w:val="00085E8E"/>
    <w:rsid w:val="00090CEA"/>
    <w:rsid w:val="000918B1"/>
    <w:rsid w:val="000954AF"/>
    <w:rsid w:val="000A2CA3"/>
    <w:rsid w:val="000A54A7"/>
    <w:rsid w:val="000A71E2"/>
    <w:rsid w:val="000C0075"/>
    <w:rsid w:val="000C1F27"/>
    <w:rsid w:val="000C3050"/>
    <w:rsid w:val="000C72F9"/>
    <w:rsid w:val="000D0CE0"/>
    <w:rsid w:val="000D1FBA"/>
    <w:rsid w:val="000D3D54"/>
    <w:rsid w:val="000D4E6D"/>
    <w:rsid w:val="000E5581"/>
    <w:rsid w:val="000E75AB"/>
    <w:rsid w:val="000E7625"/>
    <w:rsid w:val="000F0B58"/>
    <w:rsid w:val="000F23BC"/>
    <w:rsid w:val="000F3100"/>
    <w:rsid w:val="000F380F"/>
    <w:rsid w:val="000F5157"/>
    <w:rsid w:val="000F5DBD"/>
    <w:rsid w:val="00114347"/>
    <w:rsid w:val="001215FC"/>
    <w:rsid w:val="00121E69"/>
    <w:rsid w:val="00124C80"/>
    <w:rsid w:val="00125333"/>
    <w:rsid w:val="001356D3"/>
    <w:rsid w:val="00137604"/>
    <w:rsid w:val="0014520F"/>
    <w:rsid w:val="001457F6"/>
    <w:rsid w:val="001469C4"/>
    <w:rsid w:val="0015175C"/>
    <w:rsid w:val="00152BE2"/>
    <w:rsid w:val="001552FB"/>
    <w:rsid w:val="00156AC0"/>
    <w:rsid w:val="001577BE"/>
    <w:rsid w:val="00161379"/>
    <w:rsid w:val="00162716"/>
    <w:rsid w:val="001635B2"/>
    <w:rsid w:val="0017304B"/>
    <w:rsid w:val="0017461A"/>
    <w:rsid w:val="00175767"/>
    <w:rsid w:val="00175F55"/>
    <w:rsid w:val="00177D68"/>
    <w:rsid w:val="001857F9"/>
    <w:rsid w:val="001A0FF2"/>
    <w:rsid w:val="001A40D7"/>
    <w:rsid w:val="001A7D6D"/>
    <w:rsid w:val="001A7F88"/>
    <w:rsid w:val="001B0A2C"/>
    <w:rsid w:val="001C01FF"/>
    <w:rsid w:val="001C1CDB"/>
    <w:rsid w:val="001C429C"/>
    <w:rsid w:val="001C4B13"/>
    <w:rsid w:val="001D1AC5"/>
    <w:rsid w:val="001D205F"/>
    <w:rsid w:val="001E5943"/>
    <w:rsid w:val="001F68D2"/>
    <w:rsid w:val="001F7A01"/>
    <w:rsid w:val="00200EE7"/>
    <w:rsid w:val="0020620F"/>
    <w:rsid w:val="0020745C"/>
    <w:rsid w:val="002133E8"/>
    <w:rsid w:val="00224417"/>
    <w:rsid w:val="002252B0"/>
    <w:rsid w:val="00232F0B"/>
    <w:rsid w:val="00235386"/>
    <w:rsid w:val="0024303D"/>
    <w:rsid w:val="002459DC"/>
    <w:rsid w:val="00252C45"/>
    <w:rsid w:val="0025300F"/>
    <w:rsid w:val="00253DFB"/>
    <w:rsid w:val="00253E5D"/>
    <w:rsid w:val="00260345"/>
    <w:rsid w:val="00261912"/>
    <w:rsid w:val="00263881"/>
    <w:rsid w:val="0026646F"/>
    <w:rsid w:val="002675BE"/>
    <w:rsid w:val="002678D4"/>
    <w:rsid w:val="00274F6A"/>
    <w:rsid w:val="002774FF"/>
    <w:rsid w:val="00277BC6"/>
    <w:rsid w:val="00277E2A"/>
    <w:rsid w:val="00277F2C"/>
    <w:rsid w:val="002848B3"/>
    <w:rsid w:val="00287047"/>
    <w:rsid w:val="002872D1"/>
    <w:rsid w:val="00290200"/>
    <w:rsid w:val="00291C76"/>
    <w:rsid w:val="0029252B"/>
    <w:rsid w:val="002935B8"/>
    <w:rsid w:val="002A45A5"/>
    <w:rsid w:val="002A4C27"/>
    <w:rsid w:val="002A5C20"/>
    <w:rsid w:val="002B30CE"/>
    <w:rsid w:val="002B5650"/>
    <w:rsid w:val="002C4295"/>
    <w:rsid w:val="002C53C3"/>
    <w:rsid w:val="002C5551"/>
    <w:rsid w:val="002D2FF2"/>
    <w:rsid w:val="002D5055"/>
    <w:rsid w:val="002D6925"/>
    <w:rsid w:val="002E4AD1"/>
    <w:rsid w:val="002F0B15"/>
    <w:rsid w:val="002F1881"/>
    <w:rsid w:val="0030306F"/>
    <w:rsid w:val="0030349E"/>
    <w:rsid w:val="00303B2E"/>
    <w:rsid w:val="00310F28"/>
    <w:rsid w:val="003125BC"/>
    <w:rsid w:val="003205AE"/>
    <w:rsid w:val="00323660"/>
    <w:rsid w:val="00323D24"/>
    <w:rsid w:val="0032430E"/>
    <w:rsid w:val="0032746C"/>
    <w:rsid w:val="00327A3E"/>
    <w:rsid w:val="00330B6A"/>
    <w:rsid w:val="00337219"/>
    <w:rsid w:val="00350A5F"/>
    <w:rsid w:val="0035271C"/>
    <w:rsid w:val="003531F0"/>
    <w:rsid w:val="003551F6"/>
    <w:rsid w:val="00362706"/>
    <w:rsid w:val="00363FC7"/>
    <w:rsid w:val="00364323"/>
    <w:rsid w:val="00373A51"/>
    <w:rsid w:val="00375595"/>
    <w:rsid w:val="00390601"/>
    <w:rsid w:val="003919B4"/>
    <w:rsid w:val="00393703"/>
    <w:rsid w:val="003943DA"/>
    <w:rsid w:val="00397D9A"/>
    <w:rsid w:val="003A15A0"/>
    <w:rsid w:val="003A2BA0"/>
    <w:rsid w:val="003A5D6C"/>
    <w:rsid w:val="003B1C4F"/>
    <w:rsid w:val="003B251E"/>
    <w:rsid w:val="003B2871"/>
    <w:rsid w:val="003B4470"/>
    <w:rsid w:val="003B66BB"/>
    <w:rsid w:val="003C2E8D"/>
    <w:rsid w:val="003D043C"/>
    <w:rsid w:val="003D3059"/>
    <w:rsid w:val="003D58C2"/>
    <w:rsid w:val="003E3034"/>
    <w:rsid w:val="003E387D"/>
    <w:rsid w:val="003E5E0D"/>
    <w:rsid w:val="003E7165"/>
    <w:rsid w:val="003F1C2F"/>
    <w:rsid w:val="003F211D"/>
    <w:rsid w:val="003F424D"/>
    <w:rsid w:val="00403672"/>
    <w:rsid w:val="004117A6"/>
    <w:rsid w:val="00416FCE"/>
    <w:rsid w:val="00426F1C"/>
    <w:rsid w:val="00431132"/>
    <w:rsid w:val="004319D6"/>
    <w:rsid w:val="00433FFD"/>
    <w:rsid w:val="00434257"/>
    <w:rsid w:val="00435CA8"/>
    <w:rsid w:val="0043669C"/>
    <w:rsid w:val="004371B1"/>
    <w:rsid w:val="00444255"/>
    <w:rsid w:val="00444DA2"/>
    <w:rsid w:val="00452CC1"/>
    <w:rsid w:val="00455B56"/>
    <w:rsid w:val="00463CBC"/>
    <w:rsid w:val="00466BC8"/>
    <w:rsid w:val="004679CF"/>
    <w:rsid w:val="004723E0"/>
    <w:rsid w:val="0047242D"/>
    <w:rsid w:val="004806FC"/>
    <w:rsid w:val="00481407"/>
    <w:rsid w:val="00483069"/>
    <w:rsid w:val="004843DC"/>
    <w:rsid w:val="00485B24"/>
    <w:rsid w:val="00486850"/>
    <w:rsid w:val="00486A96"/>
    <w:rsid w:val="004932BF"/>
    <w:rsid w:val="004934D0"/>
    <w:rsid w:val="00493D98"/>
    <w:rsid w:val="00494DBD"/>
    <w:rsid w:val="00494F1E"/>
    <w:rsid w:val="00497AA5"/>
    <w:rsid w:val="004A0290"/>
    <w:rsid w:val="004A24F0"/>
    <w:rsid w:val="004A4170"/>
    <w:rsid w:val="004A792F"/>
    <w:rsid w:val="004B3C56"/>
    <w:rsid w:val="004B5044"/>
    <w:rsid w:val="004B68DB"/>
    <w:rsid w:val="004C1C66"/>
    <w:rsid w:val="004C5758"/>
    <w:rsid w:val="004D275A"/>
    <w:rsid w:val="004D4C3E"/>
    <w:rsid w:val="004D7AE0"/>
    <w:rsid w:val="004E07E1"/>
    <w:rsid w:val="004E0AF1"/>
    <w:rsid w:val="004E3047"/>
    <w:rsid w:val="004E5C54"/>
    <w:rsid w:val="004E6EF6"/>
    <w:rsid w:val="004F504A"/>
    <w:rsid w:val="004F7175"/>
    <w:rsid w:val="004F7B1D"/>
    <w:rsid w:val="0051313C"/>
    <w:rsid w:val="00515B2D"/>
    <w:rsid w:val="00516387"/>
    <w:rsid w:val="0052124F"/>
    <w:rsid w:val="005213A4"/>
    <w:rsid w:val="005218A4"/>
    <w:rsid w:val="00524BFC"/>
    <w:rsid w:val="00525480"/>
    <w:rsid w:val="0053181B"/>
    <w:rsid w:val="00552322"/>
    <w:rsid w:val="00552721"/>
    <w:rsid w:val="00553460"/>
    <w:rsid w:val="00554823"/>
    <w:rsid w:val="00564966"/>
    <w:rsid w:val="00566BC6"/>
    <w:rsid w:val="0056793D"/>
    <w:rsid w:val="0057668B"/>
    <w:rsid w:val="005776A2"/>
    <w:rsid w:val="00582A29"/>
    <w:rsid w:val="00586B5F"/>
    <w:rsid w:val="00597AA8"/>
    <w:rsid w:val="005A059E"/>
    <w:rsid w:val="005A308D"/>
    <w:rsid w:val="005A4F36"/>
    <w:rsid w:val="005A5FE5"/>
    <w:rsid w:val="005A7251"/>
    <w:rsid w:val="005B0FA4"/>
    <w:rsid w:val="005B1F01"/>
    <w:rsid w:val="005B3242"/>
    <w:rsid w:val="005B3586"/>
    <w:rsid w:val="005B4B2E"/>
    <w:rsid w:val="005B5357"/>
    <w:rsid w:val="005C4D48"/>
    <w:rsid w:val="005C58A2"/>
    <w:rsid w:val="005C6610"/>
    <w:rsid w:val="005C7CC2"/>
    <w:rsid w:val="005C7E8C"/>
    <w:rsid w:val="005D3263"/>
    <w:rsid w:val="005D778C"/>
    <w:rsid w:val="005E0A26"/>
    <w:rsid w:val="005E0D6F"/>
    <w:rsid w:val="005F1243"/>
    <w:rsid w:val="005F21A5"/>
    <w:rsid w:val="005F294B"/>
    <w:rsid w:val="005F64FD"/>
    <w:rsid w:val="0060302D"/>
    <w:rsid w:val="0061211D"/>
    <w:rsid w:val="0061643D"/>
    <w:rsid w:val="00616EAC"/>
    <w:rsid w:val="00620346"/>
    <w:rsid w:val="00624C6C"/>
    <w:rsid w:val="0062585F"/>
    <w:rsid w:val="006351E2"/>
    <w:rsid w:val="00636DCB"/>
    <w:rsid w:val="00637B9F"/>
    <w:rsid w:val="00641FF5"/>
    <w:rsid w:val="00644062"/>
    <w:rsid w:val="00650B16"/>
    <w:rsid w:val="00650BDD"/>
    <w:rsid w:val="00651F31"/>
    <w:rsid w:val="006568EF"/>
    <w:rsid w:val="0066074B"/>
    <w:rsid w:val="00667A6D"/>
    <w:rsid w:val="0067318B"/>
    <w:rsid w:val="006761F1"/>
    <w:rsid w:val="00676D49"/>
    <w:rsid w:val="00680866"/>
    <w:rsid w:val="0068315B"/>
    <w:rsid w:val="00683BD3"/>
    <w:rsid w:val="00685D3B"/>
    <w:rsid w:val="00686FBC"/>
    <w:rsid w:val="00694D9A"/>
    <w:rsid w:val="00695F8E"/>
    <w:rsid w:val="006A1304"/>
    <w:rsid w:val="006A770D"/>
    <w:rsid w:val="006A7ACC"/>
    <w:rsid w:val="006B09F4"/>
    <w:rsid w:val="006C4167"/>
    <w:rsid w:val="006C4E0F"/>
    <w:rsid w:val="006C603E"/>
    <w:rsid w:val="006C6F8F"/>
    <w:rsid w:val="006D2BFF"/>
    <w:rsid w:val="006D5964"/>
    <w:rsid w:val="006D7E25"/>
    <w:rsid w:val="006F77A7"/>
    <w:rsid w:val="0070068F"/>
    <w:rsid w:val="00700F6F"/>
    <w:rsid w:val="00702CA8"/>
    <w:rsid w:val="00706855"/>
    <w:rsid w:val="0071036E"/>
    <w:rsid w:val="0071037A"/>
    <w:rsid w:val="007122FC"/>
    <w:rsid w:val="00713C33"/>
    <w:rsid w:val="00716A16"/>
    <w:rsid w:val="00723A7C"/>
    <w:rsid w:val="0072756D"/>
    <w:rsid w:val="00731F81"/>
    <w:rsid w:val="00735AAA"/>
    <w:rsid w:val="00740DED"/>
    <w:rsid w:val="00742295"/>
    <w:rsid w:val="0074460A"/>
    <w:rsid w:val="00744960"/>
    <w:rsid w:val="00747596"/>
    <w:rsid w:val="00751325"/>
    <w:rsid w:val="00755017"/>
    <w:rsid w:val="00763D78"/>
    <w:rsid w:val="00764DB7"/>
    <w:rsid w:val="00767EFD"/>
    <w:rsid w:val="0077249A"/>
    <w:rsid w:val="007730DB"/>
    <w:rsid w:val="0079558C"/>
    <w:rsid w:val="007A30D3"/>
    <w:rsid w:val="007A6B98"/>
    <w:rsid w:val="007B04B4"/>
    <w:rsid w:val="007B1191"/>
    <w:rsid w:val="007B11AE"/>
    <w:rsid w:val="007C61A4"/>
    <w:rsid w:val="007D6EB7"/>
    <w:rsid w:val="007E20C1"/>
    <w:rsid w:val="007E3CFA"/>
    <w:rsid w:val="007E7320"/>
    <w:rsid w:val="007F1EEA"/>
    <w:rsid w:val="007F2F08"/>
    <w:rsid w:val="007F7A30"/>
    <w:rsid w:val="008052CE"/>
    <w:rsid w:val="00812E62"/>
    <w:rsid w:val="00816125"/>
    <w:rsid w:val="00821E40"/>
    <w:rsid w:val="00840955"/>
    <w:rsid w:val="00841F6D"/>
    <w:rsid w:val="00844B28"/>
    <w:rsid w:val="00855614"/>
    <w:rsid w:val="00855BE8"/>
    <w:rsid w:val="00855E20"/>
    <w:rsid w:val="0085694D"/>
    <w:rsid w:val="00866FAC"/>
    <w:rsid w:val="00882719"/>
    <w:rsid w:val="008842A0"/>
    <w:rsid w:val="00884EDA"/>
    <w:rsid w:val="00890D92"/>
    <w:rsid w:val="008921FE"/>
    <w:rsid w:val="00894EF7"/>
    <w:rsid w:val="0089614D"/>
    <w:rsid w:val="00896F11"/>
    <w:rsid w:val="008A25CE"/>
    <w:rsid w:val="008A26F6"/>
    <w:rsid w:val="008A2E3A"/>
    <w:rsid w:val="008B03CF"/>
    <w:rsid w:val="008B1002"/>
    <w:rsid w:val="008B5EC2"/>
    <w:rsid w:val="008B648A"/>
    <w:rsid w:val="008C3B75"/>
    <w:rsid w:val="008C440B"/>
    <w:rsid w:val="008C6DF9"/>
    <w:rsid w:val="008D23D2"/>
    <w:rsid w:val="008E11DB"/>
    <w:rsid w:val="008E122C"/>
    <w:rsid w:val="008E41ED"/>
    <w:rsid w:val="008E7F62"/>
    <w:rsid w:val="008F7F64"/>
    <w:rsid w:val="009050DF"/>
    <w:rsid w:val="009068DB"/>
    <w:rsid w:val="0091057A"/>
    <w:rsid w:val="009112E1"/>
    <w:rsid w:val="009131A7"/>
    <w:rsid w:val="00916986"/>
    <w:rsid w:val="009221CA"/>
    <w:rsid w:val="00922C4B"/>
    <w:rsid w:val="00924B91"/>
    <w:rsid w:val="0093343B"/>
    <w:rsid w:val="00936EE0"/>
    <w:rsid w:val="00943960"/>
    <w:rsid w:val="00943A8B"/>
    <w:rsid w:val="00945AA7"/>
    <w:rsid w:val="009462AF"/>
    <w:rsid w:val="00946FCA"/>
    <w:rsid w:val="00947F07"/>
    <w:rsid w:val="009517D9"/>
    <w:rsid w:val="00951A82"/>
    <w:rsid w:val="00957BE0"/>
    <w:rsid w:val="00960430"/>
    <w:rsid w:val="009606D9"/>
    <w:rsid w:val="00963931"/>
    <w:rsid w:val="00965540"/>
    <w:rsid w:val="009671B2"/>
    <w:rsid w:val="00967CCF"/>
    <w:rsid w:val="00976386"/>
    <w:rsid w:val="009767DC"/>
    <w:rsid w:val="00976F54"/>
    <w:rsid w:val="00980687"/>
    <w:rsid w:val="0098330D"/>
    <w:rsid w:val="009839D5"/>
    <w:rsid w:val="009914D7"/>
    <w:rsid w:val="00993F62"/>
    <w:rsid w:val="009976EB"/>
    <w:rsid w:val="009B14A4"/>
    <w:rsid w:val="009B7FB5"/>
    <w:rsid w:val="009C0B1C"/>
    <w:rsid w:val="009C0EAE"/>
    <w:rsid w:val="009C1BC5"/>
    <w:rsid w:val="009C3EAF"/>
    <w:rsid w:val="009D1C2F"/>
    <w:rsid w:val="009E19DF"/>
    <w:rsid w:val="009E2A15"/>
    <w:rsid w:val="009E5B76"/>
    <w:rsid w:val="009E69A5"/>
    <w:rsid w:val="009F01E9"/>
    <w:rsid w:val="009F070A"/>
    <w:rsid w:val="009F2CFD"/>
    <w:rsid w:val="009F6D91"/>
    <w:rsid w:val="00A0053E"/>
    <w:rsid w:val="00A0186A"/>
    <w:rsid w:val="00A0295B"/>
    <w:rsid w:val="00A07645"/>
    <w:rsid w:val="00A135B7"/>
    <w:rsid w:val="00A13DA8"/>
    <w:rsid w:val="00A16399"/>
    <w:rsid w:val="00A16734"/>
    <w:rsid w:val="00A22D7B"/>
    <w:rsid w:val="00A250C8"/>
    <w:rsid w:val="00A25585"/>
    <w:rsid w:val="00A27202"/>
    <w:rsid w:val="00A31ED6"/>
    <w:rsid w:val="00A34E2A"/>
    <w:rsid w:val="00A3585C"/>
    <w:rsid w:val="00A41DA3"/>
    <w:rsid w:val="00A42D7A"/>
    <w:rsid w:val="00A452FC"/>
    <w:rsid w:val="00A61ED8"/>
    <w:rsid w:val="00A6400A"/>
    <w:rsid w:val="00A67334"/>
    <w:rsid w:val="00A67BD6"/>
    <w:rsid w:val="00A7249B"/>
    <w:rsid w:val="00A735F4"/>
    <w:rsid w:val="00A74B3E"/>
    <w:rsid w:val="00A76A96"/>
    <w:rsid w:val="00A80AF8"/>
    <w:rsid w:val="00A90459"/>
    <w:rsid w:val="00A92344"/>
    <w:rsid w:val="00A94081"/>
    <w:rsid w:val="00AA4348"/>
    <w:rsid w:val="00AA571D"/>
    <w:rsid w:val="00AB2325"/>
    <w:rsid w:val="00AB438A"/>
    <w:rsid w:val="00AB4BF2"/>
    <w:rsid w:val="00AC1DE4"/>
    <w:rsid w:val="00AC20E7"/>
    <w:rsid w:val="00AC4146"/>
    <w:rsid w:val="00AC73B8"/>
    <w:rsid w:val="00AD13D1"/>
    <w:rsid w:val="00AD45A5"/>
    <w:rsid w:val="00AE0CAF"/>
    <w:rsid w:val="00AE2E82"/>
    <w:rsid w:val="00AE3FC3"/>
    <w:rsid w:val="00AE4722"/>
    <w:rsid w:val="00AE5AA1"/>
    <w:rsid w:val="00AF1F74"/>
    <w:rsid w:val="00AF23C3"/>
    <w:rsid w:val="00AF6B72"/>
    <w:rsid w:val="00AF7338"/>
    <w:rsid w:val="00B0581E"/>
    <w:rsid w:val="00B129AF"/>
    <w:rsid w:val="00B16F32"/>
    <w:rsid w:val="00B175F0"/>
    <w:rsid w:val="00B30648"/>
    <w:rsid w:val="00B368D4"/>
    <w:rsid w:val="00B36C66"/>
    <w:rsid w:val="00B3731D"/>
    <w:rsid w:val="00B37DC9"/>
    <w:rsid w:val="00B451E2"/>
    <w:rsid w:val="00B50DCD"/>
    <w:rsid w:val="00B51C07"/>
    <w:rsid w:val="00B5407D"/>
    <w:rsid w:val="00B54DA3"/>
    <w:rsid w:val="00B563CB"/>
    <w:rsid w:val="00B6364F"/>
    <w:rsid w:val="00B71EA5"/>
    <w:rsid w:val="00B7215D"/>
    <w:rsid w:val="00B75D34"/>
    <w:rsid w:val="00B76036"/>
    <w:rsid w:val="00B81A97"/>
    <w:rsid w:val="00B839CE"/>
    <w:rsid w:val="00B85521"/>
    <w:rsid w:val="00B87A58"/>
    <w:rsid w:val="00B92DAD"/>
    <w:rsid w:val="00B94061"/>
    <w:rsid w:val="00B9706E"/>
    <w:rsid w:val="00BA2F34"/>
    <w:rsid w:val="00BA301D"/>
    <w:rsid w:val="00BA32AB"/>
    <w:rsid w:val="00BA37E7"/>
    <w:rsid w:val="00BA75A4"/>
    <w:rsid w:val="00BB2120"/>
    <w:rsid w:val="00BB3834"/>
    <w:rsid w:val="00BB6FBD"/>
    <w:rsid w:val="00BC02F2"/>
    <w:rsid w:val="00BC332D"/>
    <w:rsid w:val="00BC3F73"/>
    <w:rsid w:val="00BC4092"/>
    <w:rsid w:val="00BD0B97"/>
    <w:rsid w:val="00BD472B"/>
    <w:rsid w:val="00BE06BB"/>
    <w:rsid w:val="00BF5117"/>
    <w:rsid w:val="00C006C7"/>
    <w:rsid w:val="00C01E47"/>
    <w:rsid w:val="00C03ECF"/>
    <w:rsid w:val="00C046EA"/>
    <w:rsid w:val="00C046F5"/>
    <w:rsid w:val="00C10882"/>
    <w:rsid w:val="00C1137C"/>
    <w:rsid w:val="00C13DA6"/>
    <w:rsid w:val="00C16556"/>
    <w:rsid w:val="00C37BB0"/>
    <w:rsid w:val="00C42365"/>
    <w:rsid w:val="00C47ED7"/>
    <w:rsid w:val="00C50038"/>
    <w:rsid w:val="00C529DC"/>
    <w:rsid w:val="00C52C91"/>
    <w:rsid w:val="00C60A4A"/>
    <w:rsid w:val="00C611F9"/>
    <w:rsid w:val="00C6207A"/>
    <w:rsid w:val="00C62251"/>
    <w:rsid w:val="00C64B09"/>
    <w:rsid w:val="00C653C0"/>
    <w:rsid w:val="00C70694"/>
    <w:rsid w:val="00C706AD"/>
    <w:rsid w:val="00C7222E"/>
    <w:rsid w:val="00C95987"/>
    <w:rsid w:val="00C97D29"/>
    <w:rsid w:val="00C97E2A"/>
    <w:rsid w:val="00CA02E7"/>
    <w:rsid w:val="00CA26B0"/>
    <w:rsid w:val="00CA4B36"/>
    <w:rsid w:val="00CA6F01"/>
    <w:rsid w:val="00CB1D1C"/>
    <w:rsid w:val="00CB3E37"/>
    <w:rsid w:val="00CB438B"/>
    <w:rsid w:val="00CB7CFE"/>
    <w:rsid w:val="00CD0940"/>
    <w:rsid w:val="00CD1D27"/>
    <w:rsid w:val="00CD68B0"/>
    <w:rsid w:val="00CD6DF2"/>
    <w:rsid w:val="00CD7FB3"/>
    <w:rsid w:val="00CE3C5C"/>
    <w:rsid w:val="00CF6196"/>
    <w:rsid w:val="00D10829"/>
    <w:rsid w:val="00D23E19"/>
    <w:rsid w:val="00D27D0D"/>
    <w:rsid w:val="00D32BEC"/>
    <w:rsid w:val="00D41B76"/>
    <w:rsid w:val="00D52572"/>
    <w:rsid w:val="00D54930"/>
    <w:rsid w:val="00D54DD8"/>
    <w:rsid w:val="00D56CC5"/>
    <w:rsid w:val="00D60E3F"/>
    <w:rsid w:val="00D7000B"/>
    <w:rsid w:val="00D82130"/>
    <w:rsid w:val="00D83611"/>
    <w:rsid w:val="00D839EF"/>
    <w:rsid w:val="00D8571F"/>
    <w:rsid w:val="00D8577C"/>
    <w:rsid w:val="00D871B3"/>
    <w:rsid w:val="00D90ED9"/>
    <w:rsid w:val="00D91614"/>
    <w:rsid w:val="00D923CE"/>
    <w:rsid w:val="00D96109"/>
    <w:rsid w:val="00DA6146"/>
    <w:rsid w:val="00DA770D"/>
    <w:rsid w:val="00DB4FAF"/>
    <w:rsid w:val="00DB6BFB"/>
    <w:rsid w:val="00DC69B8"/>
    <w:rsid w:val="00DD2974"/>
    <w:rsid w:val="00DD2C0F"/>
    <w:rsid w:val="00DD575A"/>
    <w:rsid w:val="00DD71A3"/>
    <w:rsid w:val="00DE0484"/>
    <w:rsid w:val="00DE09FE"/>
    <w:rsid w:val="00DE3445"/>
    <w:rsid w:val="00DF04AC"/>
    <w:rsid w:val="00DF330B"/>
    <w:rsid w:val="00DF757E"/>
    <w:rsid w:val="00E02CE3"/>
    <w:rsid w:val="00E037B9"/>
    <w:rsid w:val="00E06DB3"/>
    <w:rsid w:val="00E10AD2"/>
    <w:rsid w:val="00E21E08"/>
    <w:rsid w:val="00E23FA0"/>
    <w:rsid w:val="00E31A06"/>
    <w:rsid w:val="00E33AD0"/>
    <w:rsid w:val="00E40CC8"/>
    <w:rsid w:val="00E40D2D"/>
    <w:rsid w:val="00E51009"/>
    <w:rsid w:val="00E551C7"/>
    <w:rsid w:val="00E6220D"/>
    <w:rsid w:val="00E70C01"/>
    <w:rsid w:val="00E757DF"/>
    <w:rsid w:val="00E77811"/>
    <w:rsid w:val="00E87D7E"/>
    <w:rsid w:val="00E90647"/>
    <w:rsid w:val="00E91E60"/>
    <w:rsid w:val="00E9496D"/>
    <w:rsid w:val="00E95D97"/>
    <w:rsid w:val="00E979B8"/>
    <w:rsid w:val="00EA355B"/>
    <w:rsid w:val="00EB1416"/>
    <w:rsid w:val="00EB4647"/>
    <w:rsid w:val="00EB5D51"/>
    <w:rsid w:val="00EC20CF"/>
    <w:rsid w:val="00EC68FC"/>
    <w:rsid w:val="00EC6C30"/>
    <w:rsid w:val="00EE0810"/>
    <w:rsid w:val="00EE2512"/>
    <w:rsid w:val="00EE41D2"/>
    <w:rsid w:val="00EE5A04"/>
    <w:rsid w:val="00EF2717"/>
    <w:rsid w:val="00EF28AA"/>
    <w:rsid w:val="00EF31BE"/>
    <w:rsid w:val="00EF4F26"/>
    <w:rsid w:val="00F02605"/>
    <w:rsid w:val="00F05871"/>
    <w:rsid w:val="00F12710"/>
    <w:rsid w:val="00F21B34"/>
    <w:rsid w:val="00F21F24"/>
    <w:rsid w:val="00F25770"/>
    <w:rsid w:val="00F27DA0"/>
    <w:rsid w:val="00F32B32"/>
    <w:rsid w:val="00F336E3"/>
    <w:rsid w:val="00F409EC"/>
    <w:rsid w:val="00F41632"/>
    <w:rsid w:val="00F543C4"/>
    <w:rsid w:val="00F57249"/>
    <w:rsid w:val="00F6168D"/>
    <w:rsid w:val="00F6643D"/>
    <w:rsid w:val="00F670E4"/>
    <w:rsid w:val="00F73E2E"/>
    <w:rsid w:val="00F76E2B"/>
    <w:rsid w:val="00F803B9"/>
    <w:rsid w:val="00F87FC1"/>
    <w:rsid w:val="00F91F62"/>
    <w:rsid w:val="00F939D3"/>
    <w:rsid w:val="00FA0EEC"/>
    <w:rsid w:val="00FA56D5"/>
    <w:rsid w:val="00FB03AD"/>
    <w:rsid w:val="00FB1F35"/>
    <w:rsid w:val="00FB7291"/>
    <w:rsid w:val="00FC716E"/>
    <w:rsid w:val="00FC7D07"/>
    <w:rsid w:val="00FD001B"/>
    <w:rsid w:val="00FD24DB"/>
    <w:rsid w:val="00FD628E"/>
    <w:rsid w:val="00FE2109"/>
    <w:rsid w:val="00FE5D65"/>
    <w:rsid w:val="00FE74CB"/>
    <w:rsid w:val="00FF11EA"/>
    <w:rsid w:val="00FF207A"/>
    <w:rsid w:val="00FF39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B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717"/>
    <w:pPr>
      <w:ind w:left="720"/>
      <w:contextualSpacing/>
    </w:pPr>
    <w:rPr>
      <w:rFonts w:ascii="Times New Roman" w:eastAsia="Calibri" w:hAnsi="Times New Roman" w:cs="Times New Roman"/>
      <w:szCs w:val="22"/>
      <w:lang w:val="en-US"/>
    </w:rPr>
  </w:style>
  <w:style w:type="paragraph" w:customStyle="1" w:styleId="Bullets">
    <w:name w:val="Bullets"/>
    <w:basedOn w:val="BodyText"/>
    <w:rsid w:val="00EF2717"/>
    <w:pPr>
      <w:numPr>
        <w:numId w:val="2"/>
      </w:numPr>
      <w:tabs>
        <w:tab w:val="num" w:pos="720"/>
      </w:tabs>
      <w:spacing w:line="300" w:lineRule="auto"/>
      <w:ind w:left="720" w:hanging="720"/>
      <w:jc w:val="both"/>
    </w:pPr>
    <w:rPr>
      <w:rFonts w:ascii="Garamond" w:eastAsia="Times New Roman" w:hAnsi="Garamond" w:cs="Times New Roman"/>
      <w:szCs w:val="20"/>
      <w:lang w:eastAsia="en-GB"/>
    </w:rPr>
  </w:style>
  <w:style w:type="paragraph" w:styleId="BodyText">
    <w:name w:val="Body Text"/>
    <w:basedOn w:val="Normal"/>
    <w:link w:val="BodyTextChar"/>
    <w:uiPriority w:val="99"/>
    <w:semiHidden/>
    <w:unhideWhenUsed/>
    <w:rsid w:val="00EF2717"/>
    <w:pPr>
      <w:spacing w:after="120"/>
    </w:pPr>
  </w:style>
  <w:style w:type="character" w:customStyle="1" w:styleId="BodyTextChar">
    <w:name w:val="Body Text Char"/>
    <w:basedOn w:val="DefaultParagraphFont"/>
    <w:link w:val="BodyText"/>
    <w:uiPriority w:val="99"/>
    <w:semiHidden/>
    <w:rsid w:val="00EF2717"/>
  </w:style>
  <w:style w:type="table" w:styleId="TableGrid">
    <w:name w:val="Table Grid"/>
    <w:basedOn w:val="TableNormal"/>
    <w:uiPriority w:val="59"/>
    <w:rsid w:val="0027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175F55"/>
    <w:pPr>
      <w:jc w:val="center"/>
    </w:pPr>
    <w:rPr>
      <w:rFonts w:ascii="Cambria" w:hAnsi="Cambria"/>
      <w:lang w:val="en-US"/>
    </w:rPr>
  </w:style>
  <w:style w:type="paragraph" w:customStyle="1" w:styleId="EndNoteBibliography">
    <w:name w:val="EndNote Bibliography"/>
    <w:basedOn w:val="Normal"/>
    <w:rsid w:val="00175F55"/>
    <w:rPr>
      <w:rFonts w:ascii="Cambria" w:hAnsi="Cambria"/>
      <w:lang w:val="en-US"/>
    </w:rPr>
  </w:style>
  <w:style w:type="paragraph" w:styleId="NormalWeb">
    <w:name w:val="Normal (Web)"/>
    <w:basedOn w:val="Normal"/>
    <w:uiPriority w:val="99"/>
    <w:unhideWhenUsed/>
    <w:rsid w:val="00C1137C"/>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41F6D"/>
    <w:pPr>
      <w:tabs>
        <w:tab w:val="center" w:pos="4320"/>
        <w:tab w:val="right" w:pos="8640"/>
      </w:tabs>
    </w:pPr>
  </w:style>
  <w:style w:type="character" w:customStyle="1" w:styleId="FooterChar">
    <w:name w:val="Footer Char"/>
    <w:basedOn w:val="DefaultParagraphFont"/>
    <w:link w:val="Footer"/>
    <w:uiPriority w:val="99"/>
    <w:rsid w:val="00841F6D"/>
  </w:style>
  <w:style w:type="character" w:styleId="PageNumber">
    <w:name w:val="page number"/>
    <w:basedOn w:val="DefaultParagraphFont"/>
    <w:uiPriority w:val="99"/>
    <w:semiHidden/>
    <w:unhideWhenUsed/>
    <w:rsid w:val="00841F6D"/>
  </w:style>
  <w:style w:type="table" w:customStyle="1" w:styleId="LightShading1">
    <w:name w:val="Light Shading1"/>
    <w:basedOn w:val="TableNormal"/>
    <w:uiPriority w:val="60"/>
    <w:rsid w:val="009068DB"/>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162716"/>
    <w:rPr>
      <w:sz w:val="16"/>
      <w:szCs w:val="16"/>
    </w:rPr>
  </w:style>
  <w:style w:type="paragraph" w:styleId="CommentText">
    <w:name w:val="annotation text"/>
    <w:basedOn w:val="Normal"/>
    <w:link w:val="CommentTextChar"/>
    <w:uiPriority w:val="99"/>
    <w:semiHidden/>
    <w:unhideWhenUsed/>
    <w:rsid w:val="00162716"/>
    <w:rPr>
      <w:sz w:val="20"/>
      <w:szCs w:val="20"/>
    </w:rPr>
  </w:style>
  <w:style w:type="character" w:customStyle="1" w:styleId="CommentTextChar">
    <w:name w:val="Comment Text Char"/>
    <w:basedOn w:val="DefaultParagraphFont"/>
    <w:link w:val="CommentText"/>
    <w:uiPriority w:val="99"/>
    <w:semiHidden/>
    <w:rsid w:val="00162716"/>
    <w:rPr>
      <w:sz w:val="20"/>
      <w:szCs w:val="20"/>
    </w:rPr>
  </w:style>
  <w:style w:type="paragraph" w:styleId="BalloonText">
    <w:name w:val="Balloon Text"/>
    <w:basedOn w:val="Normal"/>
    <w:link w:val="BalloonTextChar"/>
    <w:uiPriority w:val="99"/>
    <w:semiHidden/>
    <w:unhideWhenUsed/>
    <w:rsid w:val="00162716"/>
    <w:rPr>
      <w:rFonts w:ascii="Lucida Grande" w:hAnsi="Lucida Grande"/>
      <w:sz w:val="18"/>
      <w:szCs w:val="18"/>
    </w:rPr>
  </w:style>
  <w:style w:type="character" w:customStyle="1" w:styleId="BalloonTextChar">
    <w:name w:val="Balloon Text Char"/>
    <w:basedOn w:val="DefaultParagraphFont"/>
    <w:link w:val="BalloonText"/>
    <w:uiPriority w:val="99"/>
    <w:semiHidden/>
    <w:rsid w:val="00162716"/>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CB1D1C"/>
    <w:rPr>
      <w:b/>
      <w:bCs/>
    </w:rPr>
  </w:style>
  <w:style w:type="character" w:customStyle="1" w:styleId="CommentSubjectChar">
    <w:name w:val="Comment Subject Char"/>
    <w:basedOn w:val="CommentTextChar"/>
    <w:link w:val="CommentSubject"/>
    <w:uiPriority w:val="99"/>
    <w:semiHidden/>
    <w:rsid w:val="00CB1D1C"/>
    <w:rPr>
      <w:b/>
      <w:bCs/>
      <w:sz w:val="20"/>
      <w:szCs w:val="20"/>
    </w:rPr>
  </w:style>
  <w:style w:type="paragraph" w:styleId="Revision">
    <w:name w:val="Revision"/>
    <w:hidden/>
    <w:uiPriority w:val="99"/>
    <w:semiHidden/>
    <w:rsid w:val="00651F31"/>
  </w:style>
  <w:style w:type="paragraph" w:styleId="Header">
    <w:name w:val="header"/>
    <w:basedOn w:val="Normal"/>
    <w:link w:val="HeaderChar"/>
    <w:uiPriority w:val="99"/>
    <w:unhideWhenUsed/>
    <w:rsid w:val="00290200"/>
    <w:pPr>
      <w:tabs>
        <w:tab w:val="center" w:pos="4320"/>
        <w:tab w:val="right" w:pos="8640"/>
      </w:tabs>
    </w:pPr>
  </w:style>
  <w:style w:type="character" w:customStyle="1" w:styleId="HeaderChar">
    <w:name w:val="Header Char"/>
    <w:basedOn w:val="DefaultParagraphFont"/>
    <w:link w:val="Header"/>
    <w:uiPriority w:val="99"/>
    <w:rsid w:val="00290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6310">
      <w:bodyDiv w:val="1"/>
      <w:marLeft w:val="0"/>
      <w:marRight w:val="0"/>
      <w:marTop w:val="0"/>
      <w:marBottom w:val="0"/>
      <w:divBdr>
        <w:top w:val="none" w:sz="0" w:space="0" w:color="auto"/>
        <w:left w:val="none" w:sz="0" w:space="0" w:color="auto"/>
        <w:bottom w:val="none" w:sz="0" w:space="0" w:color="auto"/>
        <w:right w:val="none" w:sz="0" w:space="0" w:color="auto"/>
      </w:divBdr>
      <w:divsChild>
        <w:div w:id="18548023">
          <w:marLeft w:val="0"/>
          <w:marRight w:val="0"/>
          <w:marTop w:val="0"/>
          <w:marBottom w:val="0"/>
          <w:divBdr>
            <w:top w:val="none" w:sz="0" w:space="0" w:color="auto"/>
            <w:left w:val="none" w:sz="0" w:space="0" w:color="auto"/>
            <w:bottom w:val="none" w:sz="0" w:space="0" w:color="auto"/>
            <w:right w:val="none" w:sz="0" w:space="0" w:color="auto"/>
          </w:divBdr>
          <w:divsChild>
            <w:div w:id="1565721100">
              <w:marLeft w:val="0"/>
              <w:marRight w:val="0"/>
              <w:marTop w:val="0"/>
              <w:marBottom w:val="0"/>
              <w:divBdr>
                <w:top w:val="none" w:sz="0" w:space="0" w:color="auto"/>
                <w:left w:val="none" w:sz="0" w:space="0" w:color="auto"/>
                <w:bottom w:val="none" w:sz="0" w:space="0" w:color="auto"/>
                <w:right w:val="none" w:sz="0" w:space="0" w:color="auto"/>
              </w:divBdr>
              <w:divsChild>
                <w:div w:id="10407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8554">
      <w:bodyDiv w:val="1"/>
      <w:marLeft w:val="0"/>
      <w:marRight w:val="0"/>
      <w:marTop w:val="0"/>
      <w:marBottom w:val="0"/>
      <w:divBdr>
        <w:top w:val="none" w:sz="0" w:space="0" w:color="auto"/>
        <w:left w:val="none" w:sz="0" w:space="0" w:color="auto"/>
        <w:bottom w:val="none" w:sz="0" w:space="0" w:color="auto"/>
        <w:right w:val="none" w:sz="0" w:space="0" w:color="auto"/>
      </w:divBdr>
      <w:divsChild>
        <w:div w:id="977416503">
          <w:marLeft w:val="0"/>
          <w:marRight w:val="0"/>
          <w:marTop w:val="0"/>
          <w:marBottom w:val="0"/>
          <w:divBdr>
            <w:top w:val="none" w:sz="0" w:space="0" w:color="auto"/>
            <w:left w:val="none" w:sz="0" w:space="0" w:color="auto"/>
            <w:bottom w:val="none" w:sz="0" w:space="0" w:color="auto"/>
            <w:right w:val="none" w:sz="0" w:space="0" w:color="auto"/>
          </w:divBdr>
          <w:divsChild>
            <w:div w:id="79058865">
              <w:marLeft w:val="0"/>
              <w:marRight w:val="0"/>
              <w:marTop w:val="0"/>
              <w:marBottom w:val="0"/>
              <w:divBdr>
                <w:top w:val="none" w:sz="0" w:space="0" w:color="auto"/>
                <w:left w:val="none" w:sz="0" w:space="0" w:color="auto"/>
                <w:bottom w:val="none" w:sz="0" w:space="0" w:color="auto"/>
                <w:right w:val="none" w:sz="0" w:space="0" w:color="auto"/>
              </w:divBdr>
              <w:divsChild>
                <w:div w:id="9095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8940">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6">
          <w:marLeft w:val="0"/>
          <w:marRight w:val="0"/>
          <w:marTop w:val="0"/>
          <w:marBottom w:val="0"/>
          <w:divBdr>
            <w:top w:val="none" w:sz="0" w:space="0" w:color="auto"/>
            <w:left w:val="none" w:sz="0" w:space="0" w:color="auto"/>
            <w:bottom w:val="none" w:sz="0" w:space="0" w:color="auto"/>
            <w:right w:val="none" w:sz="0" w:space="0" w:color="auto"/>
          </w:divBdr>
          <w:divsChild>
            <w:div w:id="402607698">
              <w:marLeft w:val="0"/>
              <w:marRight w:val="0"/>
              <w:marTop w:val="0"/>
              <w:marBottom w:val="0"/>
              <w:divBdr>
                <w:top w:val="none" w:sz="0" w:space="0" w:color="auto"/>
                <w:left w:val="none" w:sz="0" w:space="0" w:color="auto"/>
                <w:bottom w:val="none" w:sz="0" w:space="0" w:color="auto"/>
                <w:right w:val="none" w:sz="0" w:space="0" w:color="auto"/>
              </w:divBdr>
              <w:divsChild>
                <w:div w:id="20338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9994">
      <w:bodyDiv w:val="1"/>
      <w:marLeft w:val="0"/>
      <w:marRight w:val="0"/>
      <w:marTop w:val="0"/>
      <w:marBottom w:val="0"/>
      <w:divBdr>
        <w:top w:val="none" w:sz="0" w:space="0" w:color="auto"/>
        <w:left w:val="none" w:sz="0" w:space="0" w:color="auto"/>
        <w:bottom w:val="none" w:sz="0" w:space="0" w:color="auto"/>
        <w:right w:val="none" w:sz="0" w:space="0" w:color="auto"/>
      </w:divBdr>
      <w:divsChild>
        <w:div w:id="271741628">
          <w:marLeft w:val="0"/>
          <w:marRight w:val="0"/>
          <w:marTop w:val="0"/>
          <w:marBottom w:val="0"/>
          <w:divBdr>
            <w:top w:val="none" w:sz="0" w:space="0" w:color="auto"/>
            <w:left w:val="none" w:sz="0" w:space="0" w:color="auto"/>
            <w:bottom w:val="none" w:sz="0" w:space="0" w:color="auto"/>
            <w:right w:val="none" w:sz="0" w:space="0" w:color="auto"/>
          </w:divBdr>
          <w:divsChild>
            <w:div w:id="1807776797">
              <w:marLeft w:val="0"/>
              <w:marRight w:val="0"/>
              <w:marTop w:val="0"/>
              <w:marBottom w:val="0"/>
              <w:divBdr>
                <w:top w:val="none" w:sz="0" w:space="0" w:color="auto"/>
                <w:left w:val="none" w:sz="0" w:space="0" w:color="auto"/>
                <w:bottom w:val="none" w:sz="0" w:space="0" w:color="auto"/>
                <w:right w:val="none" w:sz="0" w:space="0" w:color="auto"/>
              </w:divBdr>
              <w:divsChild>
                <w:div w:id="87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4100">
      <w:bodyDiv w:val="1"/>
      <w:marLeft w:val="0"/>
      <w:marRight w:val="0"/>
      <w:marTop w:val="0"/>
      <w:marBottom w:val="0"/>
      <w:divBdr>
        <w:top w:val="none" w:sz="0" w:space="0" w:color="auto"/>
        <w:left w:val="none" w:sz="0" w:space="0" w:color="auto"/>
        <w:bottom w:val="none" w:sz="0" w:space="0" w:color="auto"/>
        <w:right w:val="none" w:sz="0" w:space="0" w:color="auto"/>
      </w:divBdr>
      <w:divsChild>
        <w:div w:id="1085103976">
          <w:marLeft w:val="0"/>
          <w:marRight w:val="0"/>
          <w:marTop w:val="0"/>
          <w:marBottom w:val="0"/>
          <w:divBdr>
            <w:top w:val="none" w:sz="0" w:space="0" w:color="auto"/>
            <w:left w:val="none" w:sz="0" w:space="0" w:color="auto"/>
            <w:bottom w:val="none" w:sz="0" w:space="0" w:color="auto"/>
            <w:right w:val="none" w:sz="0" w:space="0" w:color="auto"/>
          </w:divBdr>
          <w:divsChild>
            <w:div w:id="1667242027">
              <w:marLeft w:val="0"/>
              <w:marRight w:val="0"/>
              <w:marTop w:val="0"/>
              <w:marBottom w:val="0"/>
              <w:divBdr>
                <w:top w:val="none" w:sz="0" w:space="0" w:color="auto"/>
                <w:left w:val="none" w:sz="0" w:space="0" w:color="auto"/>
                <w:bottom w:val="none" w:sz="0" w:space="0" w:color="auto"/>
                <w:right w:val="none" w:sz="0" w:space="0" w:color="auto"/>
              </w:divBdr>
              <w:divsChild>
                <w:div w:id="14230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7792">
      <w:bodyDiv w:val="1"/>
      <w:marLeft w:val="0"/>
      <w:marRight w:val="0"/>
      <w:marTop w:val="0"/>
      <w:marBottom w:val="0"/>
      <w:divBdr>
        <w:top w:val="none" w:sz="0" w:space="0" w:color="auto"/>
        <w:left w:val="none" w:sz="0" w:space="0" w:color="auto"/>
        <w:bottom w:val="none" w:sz="0" w:space="0" w:color="auto"/>
        <w:right w:val="none" w:sz="0" w:space="0" w:color="auto"/>
      </w:divBdr>
      <w:divsChild>
        <w:div w:id="454104758">
          <w:marLeft w:val="0"/>
          <w:marRight w:val="0"/>
          <w:marTop w:val="0"/>
          <w:marBottom w:val="0"/>
          <w:divBdr>
            <w:top w:val="none" w:sz="0" w:space="0" w:color="auto"/>
            <w:left w:val="none" w:sz="0" w:space="0" w:color="auto"/>
            <w:bottom w:val="none" w:sz="0" w:space="0" w:color="auto"/>
            <w:right w:val="none" w:sz="0" w:space="0" w:color="auto"/>
          </w:divBdr>
          <w:divsChild>
            <w:div w:id="1086344992">
              <w:marLeft w:val="0"/>
              <w:marRight w:val="0"/>
              <w:marTop w:val="0"/>
              <w:marBottom w:val="0"/>
              <w:divBdr>
                <w:top w:val="none" w:sz="0" w:space="0" w:color="auto"/>
                <w:left w:val="none" w:sz="0" w:space="0" w:color="auto"/>
                <w:bottom w:val="none" w:sz="0" w:space="0" w:color="auto"/>
                <w:right w:val="none" w:sz="0" w:space="0" w:color="auto"/>
              </w:divBdr>
              <w:divsChild>
                <w:div w:id="2036729501">
                  <w:marLeft w:val="0"/>
                  <w:marRight w:val="0"/>
                  <w:marTop w:val="0"/>
                  <w:marBottom w:val="0"/>
                  <w:divBdr>
                    <w:top w:val="none" w:sz="0" w:space="0" w:color="auto"/>
                    <w:left w:val="none" w:sz="0" w:space="0" w:color="auto"/>
                    <w:bottom w:val="none" w:sz="0" w:space="0" w:color="auto"/>
                    <w:right w:val="none" w:sz="0" w:space="0" w:color="auto"/>
                  </w:divBdr>
                  <w:divsChild>
                    <w:div w:id="12479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72238">
      <w:bodyDiv w:val="1"/>
      <w:marLeft w:val="0"/>
      <w:marRight w:val="0"/>
      <w:marTop w:val="0"/>
      <w:marBottom w:val="0"/>
      <w:divBdr>
        <w:top w:val="none" w:sz="0" w:space="0" w:color="auto"/>
        <w:left w:val="none" w:sz="0" w:space="0" w:color="auto"/>
        <w:bottom w:val="none" w:sz="0" w:space="0" w:color="auto"/>
        <w:right w:val="none" w:sz="0" w:space="0" w:color="auto"/>
      </w:divBdr>
      <w:divsChild>
        <w:div w:id="665745439">
          <w:marLeft w:val="0"/>
          <w:marRight w:val="0"/>
          <w:marTop w:val="0"/>
          <w:marBottom w:val="0"/>
          <w:divBdr>
            <w:top w:val="none" w:sz="0" w:space="0" w:color="auto"/>
            <w:left w:val="none" w:sz="0" w:space="0" w:color="auto"/>
            <w:bottom w:val="none" w:sz="0" w:space="0" w:color="auto"/>
            <w:right w:val="none" w:sz="0" w:space="0" w:color="auto"/>
          </w:divBdr>
          <w:divsChild>
            <w:div w:id="975259270">
              <w:marLeft w:val="0"/>
              <w:marRight w:val="0"/>
              <w:marTop w:val="0"/>
              <w:marBottom w:val="0"/>
              <w:divBdr>
                <w:top w:val="none" w:sz="0" w:space="0" w:color="auto"/>
                <w:left w:val="none" w:sz="0" w:space="0" w:color="auto"/>
                <w:bottom w:val="none" w:sz="0" w:space="0" w:color="auto"/>
                <w:right w:val="none" w:sz="0" w:space="0" w:color="auto"/>
              </w:divBdr>
              <w:divsChild>
                <w:div w:id="1711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42479">
      <w:bodyDiv w:val="1"/>
      <w:marLeft w:val="0"/>
      <w:marRight w:val="0"/>
      <w:marTop w:val="0"/>
      <w:marBottom w:val="0"/>
      <w:divBdr>
        <w:top w:val="none" w:sz="0" w:space="0" w:color="auto"/>
        <w:left w:val="none" w:sz="0" w:space="0" w:color="auto"/>
        <w:bottom w:val="none" w:sz="0" w:space="0" w:color="auto"/>
        <w:right w:val="none" w:sz="0" w:space="0" w:color="auto"/>
      </w:divBdr>
      <w:divsChild>
        <w:div w:id="1440761584">
          <w:marLeft w:val="0"/>
          <w:marRight w:val="0"/>
          <w:marTop w:val="0"/>
          <w:marBottom w:val="0"/>
          <w:divBdr>
            <w:top w:val="none" w:sz="0" w:space="0" w:color="auto"/>
            <w:left w:val="none" w:sz="0" w:space="0" w:color="auto"/>
            <w:bottom w:val="none" w:sz="0" w:space="0" w:color="auto"/>
            <w:right w:val="none" w:sz="0" w:space="0" w:color="auto"/>
          </w:divBdr>
          <w:divsChild>
            <w:div w:id="219942685">
              <w:marLeft w:val="0"/>
              <w:marRight w:val="0"/>
              <w:marTop w:val="0"/>
              <w:marBottom w:val="0"/>
              <w:divBdr>
                <w:top w:val="none" w:sz="0" w:space="0" w:color="auto"/>
                <w:left w:val="none" w:sz="0" w:space="0" w:color="auto"/>
                <w:bottom w:val="none" w:sz="0" w:space="0" w:color="auto"/>
                <w:right w:val="none" w:sz="0" w:space="0" w:color="auto"/>
              </w:divBdr>
              <w:divsChild>
                <w:div w:id="2059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ons.gov.uk/peoplepopulationandcommunity/populationandmigration/populationestim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786EE-095E-4E4A-9C26-898FEC8D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O'Connor</dc:creator>
  <cp:lastModifiedBy>Suresh D.</cp:lastModifiedBy>
  <cp:revision>3</cp:revision>
  <cp:lastPrinted>2018-01-08T16:15:00Z</cp:lastPrinted>
  <dcterms:created xsi:type="dcterms:W3CDTF">2018-02-28T10:02:00Z</dcterms:created>
  <dcterms:modified xsi:type="dcterms:W3CDTF">2018-04-11T12:12:00Z</dcterms:modified>
</cp:coreProperties>
</file>