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5E" w:rsidRDefault="00FE1F86">
      <w:pPr>
        <w:rPr>
          <w:rFonts w:ascii="Times New Roman" w:eastAsia="Times New Roman" w:hAnsi="Times New Roman"/>
          <w:b/>
          <w:bCs/>
          <w:sz w:val="20"/>
          <w:szCs w:val="28"/>
        </w:rPr>
      </w:pPr>
      <w:r>
        <w:rPr>
          <w:rFonts w:ascii="Times New Roman" w:hAnsi="Times New Roman"/>
          <w:b/>
          <w:sz w:val="20"/>
          <w:szCs w:val="24"/>
        </w:rPr>
        <w:t xml:space="preserve">Additional file 6: </w:t>
      </w:r>
      <w:r w:rsidR="00CE4D03">
        <w:rPr>
          <w:rFonts w:ascii="Times New Roman" w:hAnsi="Times New Roman"/>
          <w:b/>
          <w:sz w:val="20"/>
          <w:szCs w:val="24"/>
        </w:rPr>
        <w:t>P</w:t>
      </w:r>
      <w:r w:rsidRPr="00FE1F86">
        <w:rPr>
          <w:rFonts w:ascii="Times New Roman" w:hAnsi="Times New Roman"/>
          <w:b/>
          <w:sz w:val="20"/>
          <w:szCs w:val="24"/>
        </w:rPr>
        <w:t xml:space="preserve">sychosocial intervention </w:t>
      </w:r>
      <w:r w:rsidRPr="00FE1F86">
        <w:rPr>
          <w:rFonts w:ascii="Times New Roman" w:eastAsia="Times New Roman" w:hAnsi="Times New Roman"/>
          <w:b/>
          <w:bCs/>
          <w:sz w:val="20"/>
          <w:szCs w:val="28"/>
        </w:rPr>
        <w:t>to reduce hospital admission</w:t>
      </w:r>
    </w:p>
    <w:p w:rsidR="00FE1F86" w:rsidRDefault="00FE1F86">
      <w:pPr>
        <w:rPr>
          <w:rFonts w:ascii="Times New Roman" w:eastAsia="Times New Roman" w:hAnsi="Times New Roman"/>
          <w:b/>
          <w:bCs/>
          <w:sz w:val="20"/>
          <w:szCs w:val="28"/>
        </w:rPr>
      </w:pPr>
    </w:p>
    <w:tbl>
      <w:tblPr>
        <w:tblpPr w:leftFromText="180" w:rightFromText="180" w:bottomFromText="200" w:vertAnchor="text" w:horzAnchor="margin" w:tblpY="456"/>
        <w:tblW w:w="10455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blBorders>
        <w:tblLayout w:type="fixed"/>
        <w:tblLook w:val="04A0"/>
      </w:tblPr>
      <w:tblGrid>
        <w:gridCol w:w="1502"/>
        <w:gridCol w:w="1214"/>
        <w:gridCol w:w="986"/>
        <w:gridCol w:w="1260"/>
        <w:gridCol w:w="1080"/>
        <w:gridCol w:w="993"/>
        <w:gridCol w:w="720"/>
        <w:gridCol w:w="990"/>
        <w:gridCol w:w="810"/>
        <w:gridCol w:w="900"/>
      </w:tblGrid>
      <w:tr w:rsidR="00FE1F86" w:rsidTr="001F1057">
        <w:trPr>
          <w:trHeight w:val="352"/>
        </w:trPr>
        <w:tc>
          <w:tcPr>
            <w:tcW w:w="10458" w:type="dxa"/>
            <w:gridSpan w:val="1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365F91"/>
          </w:tcPr>
          <w:p w:rsidR="00FE1F86" w:rsidRDefault="00CE4D03" w:rsidP="001F10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4"/>
              </w:rPr>
              <w:t>P</w:t>
            </w:r>
            <w:r w:rsidR="00FE1F86">
              <w:rPr>
                <w:rFonts w:ascii="Times New Roman" w:hAnsi="Times New Roman"/>
                <w:b/>
                <w:color w:val="FFFFFF" w:themeColor="background1"/>
                <w:sz w:val="20"/>
                <w:szCs w:val="24"/>
              </w:rPr>
              <w:t xml:space="preserve">sychosocial intervention </w:t>
            </w:r>
            <w:r w:rsidR="00FE1F86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28"/>
              </w:rPr>
              <w:t>to reduce hospital admission</w:t>
            </w: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FE1F86" w:rsidTr="001F1057">
        <w:trPr>
          <w:trHeight w:val="352"/>
        </w:trPr>
        <w:tc>
          <w:tcPr>
            <w:tcW w:w="1503" w:type="dxa"/>
            <w:vMerge w:val="restart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  <w:shd w:val="clear" w:color="auto" w:fill="CCCCFF"/>
            <w:hideMark/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4"/>
              </w:rPr>
              <w:t xml:space="preserve">Reference </w:t>
            </w:r>
          </w:p>
        </w:tc>
        <w:tc>
          <w:tcPr>
            <w:tcW w:w="1215" w:type="dxa"/>
            <w:vMerge w:val="restart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CCCCFF"/>
            <w:hideMark/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4"/>
              </w:rPr>
              <w:t xml:space="preserve">Follow-up duration after Post-intervention (month)  </w:t>
            </w:r>
          </w:p>
        </w:tc>
        <w:tc>
          <w:tcPr>
            <w:tcW w:w="987" w:type="dxa"/>
            <w:vMerge w:val="restart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CCCCFF"/>
            <w:hideMark/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4"/>
              </w:rPr>
              <w:t>Sample size during final analysis (I/C)</w:t>
            </w:r>
          </w:p>
        </w:tc>
        <w:tc>
          <w:tcPr>
            <w:tcW w:w="1260" w:type="dxa"/>
            <w:vMerge w:val="restart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CCCCFF"/>
            <w:hideMark/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4"/>
              </w:rPr>
              <w:t xml:space="preserve">Intervention </w:t>
            </w:r>
          </w:p>
        </w:tc>
        <w:tc>
          <w:tcPr>
            <w:tcW w:w="1080" w:type="dxa"/>
            <w:vMerge w:val="restart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CCCCFF"/>
            <w:hideMark/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4"/>
              </w:rPr>
              <w:t xml:space="preserve">Measurement </w:t>
            </w:r>
          </w:p>
        </w:tc>
        <w:tc>
          <w:tcPr>
            <w:tcW w:w="1713" w:type="dxa"/>
            <w:gridSpan w:val="2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CCCCFF"/>
            <w:hideMark/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4"/>
              </w:rPr>
              <w:t xml:space="preserve">No of patients admitted   </w:t>
            </w:r>
          </w:p>
        </w:tc>
        <w:tc>
          <w:tcPr>
            <w:tcW w:w="1800" w:type="dxa"/>
            <w:gridSpan w:val="2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CCCCFF"/>
            <w:hideMark/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4"/>
              </w:rPr>
              <w:t>Mean No. of hospitalization</w:t>
            </w:r>
          </w:p>
        </w:tc>
        <w:tc>
          <w:tcPr>
            <w:tcW w:w="900" w:type="dxa"/>
            <w:vMerge w:val="restart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shd w:val="clear" w:color="auto" w:fill="CCCCFF"/>
            <w:hideMark/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cs="Calibri"/>
                <w:b/>
                <w:bCs/>
                <w:sz w:val="16"/>
                <w:szCs w:val="14"/>
              </w:rPr>
              <w:t xml:space="preserve">p-value </w:t>
            </w:r>
          </w:p>
        </w:tc>
      </w:tr>
      <w:tr w:rsidR="00FE1F86" w:rsidTr="001F1057">
        <w:trPr>
          <w:trHeight w:val="224"/>
        </w:trPr>
        <w:tc>
          <w:tcPr>
            <w:tcW w:w="10458" w:type="dxa"/>
            <w:vMerge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  <w:vAlign w:val="center"/>
            <w:hideMark/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</w:p>
        </w:tc>
        <w:tc>
          <w:tcPr>
            <w:tcW w:w="1215" w:type="dxa"/>
            <w:vMerge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vAlign w:val="center"/>
            <w:hideMark/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</w:p>
        </w:tc>
        <w:tc>
          <w:tcPr>
            <w:tcW w:w="987" w:type="dxa"/>
            <w:vMerge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vAlign w:val="center"/>
            <w:hideMark/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vAlign w:val="center"/>
            <w:hideMark/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vAlign w:val="center"/>
            <w:hideMark/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CCCCFF"/>
            <w:hideMark/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4"/>
              </w:rPr>
              <w:t xml:space="preserve">Treatment </w:t>
            </w:r>
          </w:p>
        </w:tc>
        <w:tc>
          <w:tcPr>
            <w:tcW w:w="72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CCCCFF"/>
            <w:hideMark/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4"/>
              </w:rPr>
              <w:t>control</w:t>
            </w:r>
          </w:p>
        </w:tc>
        <w:tc>
          <w:tcPr>
            <w:tcW w:w="99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CCCCFF"/>
            <w:hideMark/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4"/>
              </w:rPr>
              <w:t xml:space="preserve">Treatment </w:t>
            </w:r>
          </w:p>
        </w:tc>
        <w:tc>
          <w:tcPr>
            <w:tcW w:w="81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CCCCFF"/>
            <w:hideMark/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4"/>
              </w:rPr>
              <w:t>control</w:t>
            </w:r>
          </w:p>
        </w:tc>
        <w:tc>
          <w:tcPr>
            <w:tcW w:w="900" w:type="dxa"/>
            <w:vMerge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vAlign w:val="center"/>
            <w:hideMark/>
          </w:tcPr>
          <w:p w:rsidR="00FE1F86" w:rsidRDefault="00FE1F86" w:rsidP="001F1057">
            <w:pPr>
              <w:spacing w:after="0" w:line="240" w:lineRule="auto"/>
              <w:rPr>
                <w:rFonts w:cs="Calibri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FE1F86" w:rsidTr="001F1057">
        <w:trPr>
          <w:trHeight w:val="253"/>
        </w:trPr>
        <w:tc>
          <w:tcPr>
            <w:tcW w:w="1503" w:type="dxa"/>
            <w:tcBorders>
              <w:top w:val="nil"/>
              <w:left w:val="single" w:sz="4" w:space="0" w:color="4BACC6"/>
              <w:bottom w:val="nil"/>
              <w:right w:val="nil"/>
            </w:tcBorders>
            <w:shd w:val="clear" w:color="auto" w:fill="FFFFFF"/>
          </w:tcPr>
          <w:p w:rsidR="00FE1F86" w:rsidRPr="002B7E7C" w:rsidRDefault="00FE1F86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FE1F86" w:rsidRPr="002B7E7C" w:rsidRDefault="00FE1F86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2B7E7C">
              <w:rPr>
                <w:rFonts w:ascii="Times New Roman" w:hAnsi="Times New Roman"/>
                <w:bCs/>
                <w:sz w:val="14"/>
                <w:szCs w:val="14"/>
              </w:rPr>
              <w:t>de Barros P. et al, 2012 (Brazil)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32/23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G-PE Vs Placebo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4BACC6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n&lt;5</w:t>
            </w:r>
          </w:p>
        </w:tc>
      </w:tr>
      <w:tr w:rsidR="00FE1F86" w:rsidTr="001F1057">
        <w:trPr>
          <w:trHeight w:val="253"/>
        </w:trPr>
        <w:tc>
          <w:tcPr>
            <w:tcW w:w="150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FE1F86" w:rsidRPr="002B7E7C" w:rsidRDefault="00FE1F86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FE1F86" w:rsidRPr="002B7E7C" w:rsidRDefault="00FE1F86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2B7E7C">
              <w:rPr>
                <w:rFonts w:ascii="Times New Roman" w:hAnsi="Times New Roman"/>
                <w:bCs/>
                <w:sz w:val="14"/>
                <w:szCs w:val="14"/>
              </w:rPr>
              <w:t>Gumus, F. et al, 2015 (Turkey)</w:t>
            </w:r>
          </w:p>
        </w:tc>
        <w:tc>
          <w:tcPr>
            <w:tcW w:w="121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987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41/41</w:t>
            </w:r>
          </w:p>
        </w:tc>
        <w:tc>
          <w:tcPr>
            <w:tcW w:w="126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I-PE Vs TAU</w:t>
            </w:r>
          </w:p>
        </w:tc>
        <w:tc>
          <w:tcPr>
            <w:tcW w:w="108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hospital record</w:t>
            </w:r>
          </w:p>
        </w:tc>
        <w:tc>
          <w:tcPr>
            <w:tcW w:w="993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n&lt;5 </w:t>
            </w:r>
          </w:p>
        </w:tc>
      </w:tr>
      <w:tr w:rsidR="00FE1F86" w:rsidTr="001F1057">
        <w:trPr>
          <w:trHeight w:val="377"/>
        </w:trPr>
        <w:tc>
          <w:tcPr>
            <w:tcW w:w="1503" w:type="dxa"/>
            <w:tcBorders>
              <w:top w:val="nil"/>
              <w:left w:val="single" w:sz="4" w:space="0" w:color="4BACC6"/>
              <w:bottom w:val="nil"/>
              <w:right w:val="nil"/>
            </w:tcBorders>
            <w:shd w:val="clear" w:color="auto" w:fill="FFFFFF"/>
          </w:tcPr>
          <w:p w:rsidR="00FE1F86" w:rsidRPr="002B7E7C" w:rsidRDefault="00FE1F86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FE1F86" w:rsidRPr="002B7E7C" w:rsidRDefault="00FE1F86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2B7E7C">
              <w:rPr>
                <w:rFonts w:ascii="Times New Roman" w:hAnsi="Times New Roman"/>
                <w:bCs/>
                <w:sz w:val="14"/>
                <w:szCs w:val="14"/>
              </w:rPr>
              <w:t>Faridhosseini F. et al, 2017(Iran)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13/13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G-PE Vs TAU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hospital record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4BACC6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P&lt; 0.001</w:t>
            </w:r>
          </w:p>
        </w:tc>
      </w:tr>
      <w:tr w:rsidR="00FE1F86" w:rsidTr="001F1057">
        <w:trPr>
          <w:trHeight w:val="378"/>
        </w:trPr>
        <w:tc>
          <w:tcPr>
            <w:tcW w:w="150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FE1F86" w:rsidRPr="002B7E7C" w:rsidRDefault="00FE1F86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FE1F86" w:rsidRPr="002B7E7C" w:rsidRDefault="00FE1F86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2B7E7C">
              <w:rPr>
                <w:rFonts w:ascii="Times New Roman" w:hAnsi="Times New Roman"/>
                <w:bCs/>
                <w:sz w:val="14"/>
                <w:szCs w:val="14"/>
              </w:rPr>
              <w:t>Javadpour A et al, 2013(Iran)</w:t>
            </w:r>
          </w:p>
        </w:tc>
        <w:tc>
          <w:tcPr>
            <w:tcW w:w="1215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987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45/41</w:t>
            </w:r>
          </w:p>
        </w:tc>
        <w:tc>
          <w:tcPr>
            <w:tcW w:w="126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I</w:t>
            </w:r>
            <w:r>
              <w:rPr>
                <w:rFonts w:ascii="Times New Roman" w:hAnsi="Times New Roman"/>
                <w:sz w:val="14"/>
                <w:szCs w:val="14"/>
              </w:rPr>
              <w:t>-PE Vs TAU</w:t>
            </w:r>
          </w:p>
        </w:tc>
        <w:tc>
          <w:tcPr>
            <w:tcW w:w="108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hospital record</w:t>
            </w:r>
          </w:p>
        </w:tc>
        <w:tc>
          <w:tcPr>
            <w:tcW w:w="993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0.22</w:t>
            </w:r>
          </w:p>
        </w:tc>
        <w:tc>
          <w:tcPr>
            <w:tcW w:w="810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1.41</w:t>
            </w:r>
          </w:p>
        </w:tc>
        <w:tc>
          <w:tcPr>
            <w:tcW w:w="900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 &lt; 0.001</w:t>
            </w:r>
          </w:p>
        </w:tc>
      </w:tr>
      <w:tr w:rsidR="00FE1F86" w:rsidTr="001F1057">
        <w:trPr>
          <w:trHeight w:val="408"/>
        </w:trPr>
        <w:tc>
          <w:tcPr>
            <w:tcW w:w="1503" w:type="dxa"/>
            <w:tcBorders>
              <w:top w:val="nil"/>
              <w:left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FE1F86" w:rsidRPr="002B7E7C" w:rsidRDefault="00FE1F86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FE1F86" w:rsidRPr="002B7E7C" w:rsidRDefault="00FE1F86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2B7E7C">
              <w:rPr>
                <w:rFonts w:ascii="Times New Roman" w:hAnsi="Times New Roman"/>
                <w:bCs/>
                <w:sz w:val="14"/>
                <w:szCs w:val="14"/>
              </w:rPr>
              <w:t>Bordbar MRF et al, 2009 (Iran)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29/28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G-FPE Vs TAU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hospital record and follow 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</w:tcPr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FE1F86" w:rsidRDefault="00FE1F86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 &lt;5</w:t>
            </w:r>
          </w:p>
        </w:tc>
      </w:tr>
    </w:tbl>
    <w:p w:rsidR="00FE1F86" w:rsidRPr="00FE1F86" w:rsidRDefault="00FE1F86"/>
    <w:sectPr w:rsidR="00FE1F86" w:rsidRPr="00FE1F86" w:rsidSect="005F2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E1F86"/>
    <w:rsid w:val="000059AA"/>
    <w:rsid w:val="005F2EE2"/>
    <w:rsid w:val="00647A10"/>
    <w:rsid w:val="00CE4D03"/>
    <w:rsid w:val="00D00273"/>
    <w:rsid w:val="00E74DD6"/>
    <w:rsid w:val="00E80664"/>
    <w:rsid w:val="00FE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home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2018-02-28T12:48:00Z</dcterms:created>
  <dcterms:modified xsi:type="dcterms:W3CDTF">2018-07-09T06:46:00Z</dcterms:modified>
</cp:coreProperties>
</file>