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3"/>
        <w:tblW w:w="14415" w:type="dxa"/>
        <w:tblLayout w:type="fixed"/>
        <w:tblLook w:val="04A0" w:firstRow="1" w:lastRow="0" w:firstColumn="1" w:lastColumn="0" w:noHBand="0" w:noVBand="1"/>
      </w:tblPr>
      <w:tblGrid>
        <w:gridCol w:w="2535"/>
        <w:gridCol w:w="180"/>
        <w:gridCol w:w="1170"/>
        <w:gridCol w:w="180"/>
        <w:gridCol w:w="810"/>
        <w:gridCol w:w="180"/>
        <w:gridCol w:w="1260"/>
        <w:gridCol w:w="90"/>
        <w:gridCol w:w="900"/>
        <w:gridCol w:w="90"/>
        <w:gridCol w:w="1260"/>
        <w:gridCol w:w="90"/>
        <w:gridCol w:w="900"/>
        <w:gridCol w:w="90"/>
        <w:gridCol w:w="1350"/>
        <w:gridCol w:w="810"/>
        <w:gridCol w:w="180"/>
        <w:gridCol w:w="1260"/>
        <w:gridCol w:w="90"/>
        <w:gridCol w:w="900"/>
        <w:gridCol w:w="90"/>
      </w:tblGrid>
      <w:tr w:rsidR="00C65309" w:rsidRPr="00D6747C" w:rsidTr="00C65309">
        <w:trPr>
          <w:gridAfter w:val="1"/>
          <w:wAfter w:w="90" w:type="dxa"/>
          <w:trHeight w:val="278"/>
        </w:trPr>
        <w:tc>
          <w:tcPr>
            <w:tcW w:w="14325" w:type="dxa"/>
            <w:gridSpan w:val="20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C65309" w:rsidRPr="00D6747C" w:rsidRDefault="00C65309" w:rsidP="00C65309">
            <w:pPr>
              <w:tabs>
                <w:tab w:val="center" w:pos="357"/>
              </w:tabs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bookmarkStart w:id="0" w:name="_GoBack"/>
            <w:r>
              <w:rPr>
                <w:rFonts w:ascii="Times New Roman" w:eastAsia="Times New Roman" w:hAnsi="Times New Roman"/>
                <w:sz w:val="16"/>
                <w:szCs w:val="16"/>
              </w:rPr>
              <w:t>Supplementary Table 1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. Demographic and behavioral characteristics associated with being at risk for depression</w:t>
            </w:r>
          </w:p>
        </w:tc>
      </w:tr>
      <w:bookmarkEnd w:id="0"/>
      <w:tr w:rsidR="00C65309" w:rsidRPr="00D6747C" w:rsidTr="00C65309">
        <w:trPr>
          <w:gridAfter w:val="1"/>
          <w:wAfter w:w="90" w:type="dxa"/>
          <w:trHeight w:val="59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Full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Men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Women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24 and under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25 and over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Characteristic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OR</w:t>
            </w:r>
          </w:p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(95% CI)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p-value*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OR</w:t>
            </w:r>
          </w:p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(95% CI)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p-value*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OR</w:t>
            </w:r>
          </w:p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(95% CI)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p-value*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OR</w:t>
            </w:r>
          </w:p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(95% CI)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p-value*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OR</w:t>
            </w:r>
          </w:p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(95% CI)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iCs/>
                <w:sz w:val="16"/>
                <w:szCs w:val="16"/>
              </w:rPr>
              <w:t>p-value*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Gender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Male (referent)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Female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1.70 (1.27, 2.27)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1.89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(1.28, 2.79)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(0.89, 2.13)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0.153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Age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0.97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(0.95, 0.99)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0.98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(0.95, 1.00)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0.044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0.95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(0.92, 0.99)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(0.94, 1.19)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0.317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0.96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(0.93, 0.98)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0.003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17-20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(0.72, 1.59)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0.729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(0.83, 2.23)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0.220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(0.31, 1.16)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0.129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(0.58, 1.35)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21-22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(0.88, 1.59)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0.268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(0.71, 1.45)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0.941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(0.83, 2.48)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(0.69, 1.38)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0.882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23-24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(0.91,1.77)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0.155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(0.71, 1.56)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0.804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2.02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(1.05, 3.91)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(0.78, 1.64)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25-30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(0.77, 1.34)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0.928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(0.77, 1.48)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(0.52, 1.48)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0.624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1.49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(1.03, 2.14)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0.034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31 and over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0.63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(0.46, 0.86)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(0.53, 1.07)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0.113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0.41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(0.18, 0.93)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0.67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(0.47, 0.97)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0.034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Race/ethnicity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White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(0.73, 1.24)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0.704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(0.67, 1.26)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(0.69, 1.91)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0.597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(0.69, 1.53)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0.881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(0.57, 1.19)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0.297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Black or African American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(0.84, 1.78)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0.305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0.988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(0.61, 1.59)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1.59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(0.84, 2.98)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(0.58, 1.65)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0.932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1.53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(0.89, 2.64)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0.127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Spanish/Hispanic/ Latino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1.52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(1.03, 2.24)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0.035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(0.90, 2.35)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0.124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(0.73, 2.79)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(0.78, 2.25)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1.71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(0.98, 3.02)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0.060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Other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(0.77, 1.56)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0.605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(0.84, 1.91)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0.265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(0.39, 1.46)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0.410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1.78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(1.01, 3.15)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(0.53, 1.32)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0.431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Marital status</w:t>
            </w: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Single, uncommitted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(0.97, 1.66)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sz w:val="16"/>
                <w:szCs w:val="16"/>
              </w:rPr>
              <w:t>0.076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(0.92, 1.73)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(0.78, 2.05)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0.338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(0.73, 1.46)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0.862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(0.96, 2.31)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0.0750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Single, committed relationship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(0.67, 1.25)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sz w:val="16"/>
                <w:szCs w:val="16"/>
              </w:rPr>
              <w:t>0.567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(0.66, 1.44)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0.900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(0.40, 1.18)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(0.48, 1.05)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(0.68, 2.13)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0.521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Single, living with partner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(0.68, 1.78)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sz w:val="16"/>
                <w:szCs w:val="16"/>
              </w:rPr>
              <w:t>0.700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(0.47, 1.44)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0.502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57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(0.54, 2.93)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(0.73, 2.83)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0.294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(0.42, 1.78)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0.700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Married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(0.60, 1.01)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sz w:val="16"/>
                <w:szCs w:val="16"/>
              </w:rPr>
              <w:t>0.061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(0.62, 1.14)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(0.50, 1.73)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0.813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(0.67, 1.63)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(0.53, 1.09)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0.132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Divorced, separated, or widowed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(0.71, 1.92)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0.529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(0.58, 2.00)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0.823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(0.47, 2.53)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0.840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2.88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(0.77, 10.75)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(0.56, 1.74)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0.973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In a relationship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(0.60, 0.99)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0.05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(0.59, 1.09)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0.155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(0.50, 1.25)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(0.61, 1.21)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(0.53, 1.13)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0.182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Education level completed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&lt;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 High school, GED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(0.75, 1.25)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0.811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(0.78, 1.43)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0.710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(0.48, 1.23)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(0.59, 1.21)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(0.50, 1.19)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0.235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Some college, vocational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1.30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(1.01, 1.66)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(0.97, 1.73)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0.100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(0.83, 2.15)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(0.75, 1.56)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1.76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(1.23, 2.51)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0.002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  <w:u w:val="single"/>
              </w:rPr>
              <w:t>&gt;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 Undergraduate degree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0.65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(0.45, 0.93)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0.57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(0.38, 0.85)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(0.43, 1.98)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0.841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1.88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(0.55, 6.40)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0.310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0.60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(0.40, 0.91)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0.016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Longest time away from partner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 month or less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(0.62, 1.12)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0.230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(0.56, 1.13)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0.205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(0.51, 1.83)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0.920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(0.76, 2.00)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0.392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(0.46, 1.04)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0.080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Greater than 1 month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(0.75, 1.53)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0.693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(0.78, 1.81)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(0.45, 1.67)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(0.63, 1.84)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(0.68, 1.78)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0.698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Military rank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Enlisted (referent)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W1–W5, O1–O9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0.54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(0.35, 0.97)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0.37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(0.21, 0.66)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(0.38, 2.64)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0.994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1.84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(0.47, 7.29)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0.383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0.47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(0.26, 0.83)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0.010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Number of official deployments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0.93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(0.88, 0.98)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(0.89, 1.01)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(0.83, 1.14)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(0.80, 1.12)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0.524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(0.90, 1.03)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0.247</w:t>
            </w:r>
          </w:p>
        </w:tc>
      </w:tr>
      <w:tr w:rsidR="00C65309" w:rsidRPr="00D6747C" w:rsidTr="00C65309">
        <w:trPr>
          <w:gridAfter w:val="1"/>
          <w:wAfter w:w="90" w:type="dxa"/>
          <w:trHeight w:val="386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0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(0.76, 1.52)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0.686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(0.89, 2.09)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0.149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(0.35, 1.13)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(0.74, 1.60)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0.679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(0.37, 1.63)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0.501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1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(0.88, 1.37)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0.391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(0.75, 1.28)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0.875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(0.82, 1.90)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(0.66, 1.18)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(0.86, 1.82)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0.248</w:t>
            </w:r>
          </w:p>
        </w:tc>
      </w:tr>
      <w:tr w:rsidR="00C65309" w:rsidRPr="00D6747C" w:rsidTr="00C65309">
        <w:trPr>
          <w:gridAfter w:val="1"/>
          <w:wAfter w:w="90" w:type="dxa"/>
          <w:trHeight w:val="255"/>
        </w:trPr>
        <w:tc>
          <w:tcPr>
            <w:tcW w:w="25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 xml:space="preserve">2 or more 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(0.68, 1.10)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(0.67, 1.19)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(0.63, 1.64)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0.938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(0.77, 1.63)</w:t>
            </w:r>
          </w:p>
        </w:tc>
        <w:tc>
          <w:tcPr>
            <w:tcW w:w="8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0.536</w:t>
            </w:r>
          </w:p>
        </w:tc>
        <w:tc>
          <w:tcPr>
            <w:tcW w:w="144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(0.61, 1.23)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0.412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Cs/>
                <w:sz w:val="16"/>
                <w:szCs w:val="16"/>
              </w:rPr>
              <w:t>Alcohol Use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  <w:vAlign w:val="bottom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000000" w:fill="FFFFFF"/>
          </w:tcPr>
          <w:p w:rsidR="00C65309" w:rsidRPr="00D6747C" w:rsidRDefault="00C65309" w:rsidP="00C6530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Positive CAGE screening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2.18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(1.52, 3.12)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2.76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(1.82, 4.18)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(0.57, 2.27)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0.707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2.62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(1.48, 4.64)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1.95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(1.20, 3.19)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0.007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Moderate-heavy to heavy drinker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1.37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(1.09, 1.70)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1.37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(1.05, 1.79)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0.019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1.54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(1.01, 2.34)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0.046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1.73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(1.25, 2.39)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(0.81, 1.51)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0.517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177"/>
              <w:contextualSpacing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AUDIT-C score: ≥4 women, ≥5 men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1.34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(1.04, 1.71)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0.02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1.42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(1.06, 1.89)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0.017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(0.74, 1.96)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0.446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1.43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(1.00, 2.03)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0.048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1.25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(0.87, 1.78)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0.230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Have ever passed out/blacked out from drinking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(0.89, 1.46)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0.284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1.11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(0.83, 1.47)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0.485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(0.80, 2.25)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0.266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1.54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(1.07, 2.23)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0.021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(0.62, 1.22)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0.426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Have consumed alcohol in the past year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1.77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(1.26, 2.48)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1.69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(1.12, 2.56)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0.013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1.96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(1.10, 3.48)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0.022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2.07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(1.35, 3.15)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1.50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(0.87, 2.61)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0.148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-93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Drug use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Have ever used any drugs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(0.44, 1.21)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0.220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(0.51, 1.72)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0.841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0.40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(0.15, 1.02)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0.055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(0.33, 1.44)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0.321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0.77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(0.37, 1.61)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0.493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after="0" w:line="240" w:lineRule="auto"/>
              <w:ind w:left="-93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-93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Mental Health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Ever diagnosed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with: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Depression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2.65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(1.62, 4.61)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2.79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(1.53, 5.10)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2.06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(0.88, 4.78)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0.094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2.40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(1.17, 4.93)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2.91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(1.54, 5.49)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0.001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Anxiety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3.05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(1.86, 5.02)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3.58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(1.79, 7.16)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2.04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(0.99, 4.20)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2.59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(1.32, 5.06)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3.71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(1.85, 7.42)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&lt;0.001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PTSD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1.49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(0.66, 3.36)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0.335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1.55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(0.61, 3.94)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0.355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1.34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(0.25, 7.23)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0.737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(0.28, 2.34)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2.66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(0.81, 8.73)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0.108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Any mental health condition of interest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2.04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(1.38, 3.03)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2.15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(1.31, 3.51)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0.002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1.55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(0.81, 3.00)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1.60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(0.93, 2.74)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0.091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2.54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(1.48, 4.36)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&lt;0.001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-93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Stress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65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</w:tcPr>
          <w:p w:rsidR="00C65309" w:rsidRPr="00D6747C" w:rsidRDefault="00C65309" w:rsidP="00C65309">
            <w:pPr>
              <w:tabs>
                <w:tab w:val="decimal" w:pos="57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 least one stressful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event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2.24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(1.63, 3.07)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2.15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(1.49, 3.10)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2.32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(1.22, 4.43)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0.011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2.32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(1.44, 3.73)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2.15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(1.41, 3.27)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Total number of stressful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events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1.11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(1.06, 1.17)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1.13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(1.06, 1.20)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&lt;0.001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1.05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(0.96, 1.15)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0.260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1.13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(1.04, 1.24)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1.09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(1.03, 1.16)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b/>
                <w:sz w:val="16"/>
                <w:szCs w:val="16"/>
              </w:rPr>
              <w:t>0.002</w:t>
            </w: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C65309" w:rsidRPr="00D6747C" w:rsidTr="00C65309">
        <w:trPr>
          <w:trHeight w:val="255"/>
        </w:trPr>
        <w:tc>
          <w:tcPr>
            <w:tcW w:w="2715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spacing w:line="240" w:lineRule="auto"/>
              <w:ind w:left="177"/>
              <w:contextualSpacing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Have had a combat deployment/ experienced combat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(0.53, 1.23)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0.350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  <w:tab w:val="decimal" w:pos="65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0.85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(0.52, 1.37)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0.506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0.80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(0.32, 2.00)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0.639</w:t>
            </w:r>
          </w:p>
        </w:tc>
        <w:tc>
          <w:tcPr>
            <w:tcW w:w="1350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0.57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(0.24, 1.35)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0.200</w:t>
            </w:r>
          </w:p>
        </w:tc>
        <w:tc>
          <w:tcPr>
            <w:tcW w:w="135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0.99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(0.61, 1.61)</w:t>
            </w:r>
          </w:p>
        </w:tc>
        <w:tc>
          <w:tcPr>
            <w:tcW w:w="990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  <w:shd w:val="clear" w:color="FFFFFF" w:fill="FFFFFF"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0.976</w:t>
            </w:r>
          </w:p>
        </w:tc>
      </w:tr>
      <w:tr w:rsidR="00C65309" w:rsidRPr="00D6747C" w:rsidTr="00C65309">
        <w:trPr>
          <w:trHeight w:val="255"/>
        </w:trPr>
        <w:tc>
          <w:tcPr>
            <w:tcW w:w="14415" w:type="dxa"/>
            <w:gridSpan w:val="21"/>
            <w:tcBorders>
              <w:top w:val="single" w:sz="4" w:space="0" w:color="auto"/>
            </w:tcBorders>
            <w:shd w:val="clear" w:color="FFFFFF" w:fill="FFFFFF"/>
            <w:noWrap/>
            <w:vAlign w:val="bottom"/>
          </w:tcPr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6747C">
              <w:rPr>
                <w:rFonts w:ascii="Times New Roman" w:hAnsi="Times New Roman"/>
                <w:color w:val="000000"/>
                <w:sz w:val="16"/>
                <w:szCs w:val="16"/>
              </w:rPr>
              <w:t>*</w:t>
            </w:r>
            <w:r w:rsidRPr="00D6747C">
              <w:rPr>
                <w:rFonts w:ascii="Times New Roman" w:eastAsia="Times New Roman" w:hAnsi="Times New Roman"/>
                <w:sz w:val="16"/>
                <w:szCs w:val="16"/>
              </w:rPr>
              <w:t>p&lt;0.05 considered significant; significant odds ratios are in bold</w:t>
            </w:r>
          </w:p>
          <w:p w:rsidR="00C65309" w:rsidRPr="00D6747C" w:rsidRDefault="00C65309" w:rsidP="00C65309">
            <w:pPr>
              <w:tabs>
                <w:tab w:val="decimal" w:pos="-10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D61F14" w:rsidRDefault="00D61F14" w:rsidP="00C65309">
      <w:pPr>
        <w:ind w:left="-720"/>
      </w:pPr>
    </w:p>
    <w:p w:rsidR="00C65309" w:rsidRDefault="00C65309" w:rsidP="00C65309">
      <w:pPr>
        <w:ind w:left="-720"/>
      </w:pPr>
    </w:p>
    <w:p w:rsidR="00C65309" w:rsidRDefault="00C65309" w:rsidP="00C65309">
      <w:pPr>
        <w:ind w:left="-720"/>
      </w:pPr>
    </w:p>
    <w:sectPr w:rsidR="00C65309" w:rsidSect="00C653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7F4352"/>
    <w:rsid w:val="00C65309"/>
    <w:rsid w:val="00D61F14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2019-04-02T13:01:00Z</dcterms:created>
  <dcterms:modified xsi:type="dcterms:W3CDTF">2019-04-02T13:01:00Z</dcterms:modified>
</cp:coreProperties>
</file>