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003"/>
        <w:tblW w:w="14601" w:type="dxa"/>
        <w:jc w:val="center"/>
        <w:tblLook w:val="04A0" w:firstRow="1" w:lastRow="0" w:firstColumn="1" w:lastColumn="0" w:noHBand="0" w:noVBand="1"/>
      </w:tblPr>
      <w:tblGrid>
        <w:gridCol w:w="1276"/>
        <w:gridCol w:w="2268"/>
        <w:gridCol w:w="11057"/>
      </w:tblGrid>
      <w:tr w:rsidR="00B069DB" w:rsidTr="000A67BD">
        <w:trPr>
          <w:jc w:val="center"/>
        </w:trPr>
        <w:tc>
          <w:tcPr>
            <w:tcW w:w="146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9DB" w:rsidRDefault="00B069DB" w:rsidP="000A67BD">
            <w:pPr>
              <w:pStyle w:val="NormalWeb"/>
              <w:spacing w:before="0" w:beforeAutospacing="0" w:after="0" w:afterAutospacing="0"/>
              <w:rPr>
                <w:b/>
                <w:sz w:val="21"/>
                <w:szCs w:val="21"/>
              </w:rPr>
            </w:pPr>
            <w:bookmarkStart w:id="0" w:name="_GoBack" w:colFirst="0" w:colLast="0"/>
            <w:r>
              <w:rPr>
                <w:rFonts w:asciiTheme="minorHAnsi" w:hAnsiTheme="minorHAnsi" w:cstheme="minorHAnsi"/>
                <w:b/>
              </w:rPr>
              <w:t>Supplementary table 2</w:t>
            </w:r>
            <w:r w:rsidRPr="007E5B19">
              <w:rPr>
                <w:rFonts w:asciiTheme="minorHAnsi" w:hAnsiTheme="minorHAnsi" w:cstheme="minorHAnsi"/>
                <w:b/>
              </w:rPr>
              <w:t xml:space="preserve">: </w:t>
            </w:r>
            <w:r w:rsidRPr="007E5B19">
              <w:rPr>
                <w:rFonts w:asciiTheme="minorHAnsi" w:hAnsiTheme="minorHAnsi" w:cstheme="minorHAnsi"/>
                <w:sz w:val="22"/>
                <w:szCs w:val="22"/>
              </w:rPr>
              <w:t>Description of coefficients</w:t>
            </w:r>
            <w:r w:rsidRPr="00952A1E">
              <w:rPr>
                <w:rFonts w:ascii="Calibri" w:hAnsi="Calibri" w:cs="NewBaskerville-Roman-DTC"/>
                <w:sz w:val="22"/>
                <w:szCs w:val="22"/>
              </w:rPr>
              <w:t xml:space="preserve"> – predicting hospital re-admission</w:t>
            </w:r>
            <w:r>
              <w:rPr>
                <w:rFonts w:ascii="Calibri" w:hAnsi="Calibri" w:cs="NewBaskerville-Roman-DTC"/>
                <w:sz w:val="22"/>
                <w:szCs w:val="22"/>
              </w:rPr>
              <w:t xml:space="preserve"> </w:t>
            </w:r>
          </w:p>
        </w:tc>
      </w:tr>
      <w:tr w:rsidR="00B069DB" w:rsidTr="000A67BD">
        <w:trPr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69DB" w:rsidRPr="00E57493" w:rsidRDefault="00B069DB" w:rsidP="000A67BD">
            <w:pPr>
              <w:pStyle w:val="NormalWeb"/>
              <w:spacing w:before="0" w:beforeAutospacing="0" w:after="0" w:afterAutospacing="0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69DB" w:rsidRPr="00E57493" w:rsidRDefault="00B069DB" w:rsidP="000A67BD">
            <w:pPr>
              <w:pStyle w:val="NormalWeb"/>
              <w:spacing w:before="0" w:beforeAutospacing="0" w:after="0" w:afterAutospacing="0"/>
              <w:rPr>
                <w:b/>
                <w:sz w:val="21"/>
                <w:szCs w:val="21"/>
              </w:rPr>
            </w:pP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69DB" w:rsidRDefault="00B069DB" w:rsidP="000A67BD">
            <w:pPr>
              <w:pStyle w:val="NormalWeb"/>
              <w:spacing w:before="0" w:beforeAutospacing="0" w:after="0" w:afterAutospacing="0"/>
              <w:rPr>
                <w:b/>
                <w:sz w:val="21"/>
                <w:szCs w:val="21"/>
              </w:rPr>
            </w:pPr>
          </w:p>
        </w:tc>
      </w:tr>
      <w:tr w:rsidR="00B069DB" w:rsidTr="000A67BD">
        <w:trPr>
          <w:jc w:val="center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t>Field type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t>Variable group</w:t>
            </w:r>
          </w:p>
        </w:tc>
        <w:tc>
          <w:tcPr>
            <w:tcW w:w="1105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t>Variables</w:t>
            </w:r>
          </w:p>
        </w:tc>
      </w:tr>
      <w:tr w:rsidR="00B069DB" w:rsidTr="000A67BD">
        <w:trPr>
          <w:trHeight w:val="625"/>
          <w:jc w:val="center"/>
        </w:trPr>
        <w:tc>
          <w:tcPr>
            <w:tcW w:w="1276" w:type="dxa"/>
            <w:vMerge w:val="restart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NLP derived</w:t>
            </w: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Catatonia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Catalepsy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echolalia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echopraxia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immobile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mannerism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mutism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perseverance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posturing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rigidity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stupor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waxy flexibility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</w:p>
        </w:tc>
      </w:tr>
      <w:tr w:rsidR="00B069DB" w:rsidTr="000A67BD">
        <w:trPr>
          <w:trHeight w:val="976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Disorganised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Abstract thinking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anhedonia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circumstantial speech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concentration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derailment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flight of ideas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formal thought disorder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guilt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helpless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hopeless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low mood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 psychomotor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reduced apetite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reduced coherence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lowered energy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tangential speech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, tearfulness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thought block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weight loss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worthlessness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</w:p>
        </w:tc>
      </w:tr>
      <w:tr w:rsidR="00B069DB" w:rsidTr="000A67BD">
        <w:trPr>
          <w:trHeight w:val="363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Manic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Disturbed sleep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elation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elevated mood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euphoria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grandiosity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insomnia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irritability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pressured speech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</w:p>
        </w:tc>
      </w:tr>
      <w:tr w:rsidR="00B069DB" w:rsidTr="000A67BD">
        <w:trPr>
          <w:trHeight w:val="336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Mood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Affective instability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emotional instability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mood instability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</w:p>
        </w:tc>
      </w:tr>
      <w:tr w:rsidR="00B069DB" w:rsidTr="000A67BD">
        <w:trPr>
          <w:trHeight w:val="570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Negative symptoms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Apathy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blunted/flat affect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emotional withdrawal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motivation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poor rapport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poverty of speech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poverty of thought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social withdrawal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</w:p>
        </w:tc>
      </w:tr>
      <w:tr w:rsidR="00B069DB" w:rsidTr="000A67BD">
        <w:trPr>
          <w:trHeight w:val="441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Prescribed medication</w:t>
            </w:r>
          </w:p>
        </w:tc>
        <w:tc>
          <w:tcPr>
            <w:tcW w:w="11057" w:type="dxa"/>
            <w:vAlign w:val="center"/>
          </w:tcPr>
          <w:p w:rsidR="00B069DB" w:rsidRPr="000A67BD" w:rsidRDefault="000A67BD" w:rsidP="000A67B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0A67BD">
              <w:rPr>
                <w:sz w:val="21"/>
                <w:szCs w:val="21"/>
              </w:rPr>
              <w:t>Antipsychotics</w:t>
            </w:r>
            <w:r w:rsidRPr="000A67BD">
              <w:rPr>
                <w:sz w:val="21"/>
                <w:szCs w:val="21"/>
                <w:vertAlign w:val="superscript"/>
              </w:rPr>
              <w:t>3</w:t>
            </w:r>
            <w:r w:rsidRPr="000A67BD">
              <w:rPr>
                <w:sz w:val="21"/>
                <w:szCs w:val="21"/>
              </w:rPr>
              <w:t>, clozapine</w:t>
            </w:r>
            <w:r w:rsidRPr="000A67BD">
              <w:rPr>
                <w:sz w:val="21"/>
                <w:szCs w:val="21"/>
                <w:vertAlign w:val="superscript"/>
              </w:rPr>
              <w:t>5</w:t>
            </w:r>
            <w:r w:rsidRPr="000A67BD">
              <w:rPr>
                <w:sz w:val="21"/>
                <w:szCs w:val="21"/>
              </w:rPr>
              <w:t>, medication non-compliance</w:t>
            </w:r>
            <w:r w:rsidRPr="000A67BD">
              <w:rPr>
                <w:sz w:val="21"/>
                <w:szCs w:val="21"/>
                <w:vertAlign w:val="superscript"/>
              </w:rPr>
              <w:t>3</w:t>
            </w:r>
            <w:r w:rsidRPr="000A67BD">
              <w:rPr>
                <w:sz w:val="21"/>
                <w:szCs w:val="21"/>
              </w:rPr>
              <w:t>, first generation antipsychotic (depot)</w:t>
            </w:r>
            <w:r w:rsidRPr="000A67BD">
              <w:rPr>
                <w:sz w:val="21"/>
                <w:szCs w:val="21"/>
                <w:vertAlign w:val="superscript"/>
              </w:rPr>
              <w:t>5</w:t>
            </w:r>
            <w:r w:rsidRPr="000A67BD">
              <w:rPr>
                <w:sz w:val="21"/>
                <w:szCs w:val="21"/>
              </w:rPr>
              <w:t>,  first generation antipsychotic (not depot)</w:t>
            </w:r>
            <w:r w:rsidRPr="000A67BD">
              <w:rPr>
                <w:sz w:val="21"/>
                <w:szCs w:val="21"/>
                <w:vertAlign w:val="superscript"/>
              </w:rPr>
              <w:t>3</w:t>
            </w:r>
            <w:r w:rsidRPr="000A67BD">
              <w:rPr>
                <w:sz w:val="21"/>
                <w:szCs w:val="21"/>
              </w:rPr>
              <w:t>, second generation antipsychotic (depot)</w:t>
            </w:r>
            <w:r w:rsidRPr="000A67BD">
              <w:rPr>
                <w:sz w:val="21"/>
                <w:szCs w:val="21"/>
                <w:vertAlign w:val="superscript"/>
              </w:rPr>
              <w:t>5</w:t>
            </w:r>
            <w:r w:rsidRPr="000A67BD">
              <w:rPr>
                <w:sz w:val="21"/>
                <w:szCs w:val="21"/>
              </w:rPr>
              <w:t xml:space="preserve"> and second generation antipsychotic not depot</w:t>
            </w:r>
            <w:r w:rsidRPr="000A67BD">
              <w:rPr>
                <w:sz w:val="21"/>
                <w:szCs w:val="21"/>
                <w:vertAlign w:val="superscript"/>
              </w:rPr>
              <w:t>5</w:t>
            </w:r>
          </w:p>
        </w:tc>
      </w:tr>
      <w:tr w:rsidR="00B069DB" w:rsidTr="000A67BD">
        <w:trPr>
          <w:trHeight w:val="458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Positive symptoms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Aggression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agitation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arousal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delusions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hallucinations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hostility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paranoia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persecutory ideas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</w:p>
        </w:tc>
      </w:tr>
      <w:tr w:rsidR="00B069DB" w:rsidTr="000A67BD">
        <w:trPr>
          <w:trHeight w:val="406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Recreational drug use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Cannabis use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</w:p>
        </w:tc>
      </w:tr>
      <w:tr w:rsidR="00B069DB" w:rsidTr="000A67BD">
        <w:trPr>
          <w:jc w:val="center"/>
        </w:trPr>
        <w:tc>
          <w:tcPr>
            <w:tcW w:w="1276" w:type="dxa"/>
            <w:vMerge w:val="restart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Structured</w:t>
            </w: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Index admission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Admission method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a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dmission source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admission ward service type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day of discharge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duration of hospitalisation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discharge destination</w:t>
            </w:r>
            <w:r w:rsidRPr="00D32C22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, 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discharge method</w:t>
            </w:r>
            <w:r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discharge ward service type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MHA status (admission)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Pr="00457429"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 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MHA section 17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MHA section 62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b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orough of referring team</w:t>
            </w:r>
            <w:r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rehabilitation ward flag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 xml:space="preserve">1 </w:t>
            </w:r>
            <w:r w:rsidRPr="00457429"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 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and ward stay count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</w:p>
        </w:tc>
      </w:tr>
      <w:tr w:rsidR="00B069DB" w:rsidTr="000A67BD">
        <w:trPr>
          <w:trHeight w:val="680"/>
          <w:jc w:val="center"/>
        </w:trPr>
        <w:tc>
          <w:tcPr>
            <w:tcW w:w="1276" w:type="dxa"/>
            <w:vMerge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Demographic/patient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Age at index admission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days since last diagnosis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deprivation group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diagnosis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drug and alcohol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ethnicity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gender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lives with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marital status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 xml:space="preserve">3 </w:t>
            </w:r>
          </w:p>
        </w:tc>
      </w:tr>
      <w:tr w:rsidR="00B069DB" w:rsidTr="000A67BD">
        <w:trPr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HoNOS</w:t>
            </w:r>
            <w:proofErr w:type="spellEnd"/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Days since HoNOS</w:t>
            </w:r>
            <w:r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agitated behaviour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cognitive problems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daily living problems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depressed mood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hallucinations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living conditions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occupational problems</w:t>
            </w:r>
            <w:r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other mental health problems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physical illness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problem drinking/drugs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relationship problems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self-injury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</w:p>
        </w:tc>
      </w:tr>
      <w:tr w:rsidR="00B069DB" w:rsidTr="000A67BD">
        <w:trPr>
          <w:trHeight w:val="684"/>
          <w:jc w:val="center"/>
        </w:trPr>
        <w:tc>
          <w:tcPr>
            <w:tcW w:w="1276" w:type="dxa"/>
            <w:vMerge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Service use</w:t>
            </w:r>
          </w:p>
        </w:tc>
        <w:tc>
          <w:tcPr>
            <w:tcW w:w="11057" w:type="dxa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Care co-ordinators(n)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care coordinator duration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care coordinator profession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  community contact days</w:t>
            </w:r>
            <w:r w:rsidRPr="00457429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number 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emergency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a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dmission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s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Pr="00457429"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 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inpatient admission count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  <w:vertAlign w:val="superscript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and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average duration admissions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</w:p>
        </w:tc>
      </w:tr>
      <w:tr w:rsidR="00B069DB" w:rsidTr="000A67BD">
        <w:trPr>
          <w:trHeight w:val="583"/>
          <w:jc w:val="center"/>
        </w:trPr>
        <w:tc>
          <w:tcPr>
            <w:tcW w:w="14601" w:type="dxa"/>
            <w:gridSpan w:val="3"/>
            <w:vAlign w:val="center"/>
          </w:tcPr>
          <w:p w:rsidR="00B069DB" w:rsidRPr="00457429" w:rsidRDefault="00B069DB" w:rsidP="000A67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lastRenderedPageBreak/>
              <w:t>1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removed at univariate regression, 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t>2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removed due to high correlation, 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 variables entered but not output by multivariate regression, 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4 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 xml:space="preserve">removed due to inflated standard error and </w:t>
            </w:r>
            <w:r w:rsidRPr="0045742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5 </w:t>
            </w:r>
            <w:r w:rsidRPr="00457429">
              <w:rPr>
                <w:rFonts w:asciiTheme="minorHAnsi" w:hAnsiTheme="minorHAnsi" w:cstheme="minorHAnsi"/>
                <w:sz w:val="21"/>
                <w:szCs w:val="21"/>
              </w:rPr>
              <w:t>predictors of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hospital re-admission</w:t>
            </w:r>
          </w:p>
        </w:tc>
      </w:tr>
      <w:bookmarkEnd w:id="0"/>
    </w:tbl>
    <w:p w:rsidR="00C57D63" w:rsidRDefault="00DF488C" w:rsidP="00FB5E04"/>
    <w:sectPr w:rsidR="00C57D63" w:rsidSect="00FB5E04">
      <w:headerReference w:type="default" r:id="rId7"/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88C" w:rsidRDefault="00DF488C" w:rsidP="00B069DB">
      <w:pPr>
        <w:spacing w:after="0" w:line="240" w:lineRule="auto"/>
      </w:pPr>
      <w:r>
        <w:separator/>
      </w:r>
    </w:p>
  </w:endnote>
  <w:endnote w:type="continuationSeparator" w:id="0">
    <w:p w:rsidR="00DF488C" w:rsidRDefault="00DF488C" w:rsidP="00B0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Roman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B069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67BD">
      <w:rPr>
        <w:noProof/>
      </w:rPr>
      <w:t>2</w:t>
    </w:r>
    <w:r>
      <w:rPr>
        <w:noProof/>
      </w:rPr>
      <w:fldChar w:fldCharType="end"/>
    </w:r>
  </w:p>
  <w:p w:rsidR="00B069DB" w:rsidRDefault="00B06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88C" w:rsidRDefault="00DF488C" w:rsidP="00B069DB">
      <w:pPr>
        <w:spacing w:after="0" w:line="240" w:lineRule="auto"/>
      </w:pPr>
      <w:r>
        <w:separator/>
      </w:r>
    </w:p>
  </w:footnote>
  <w:footnote w:type="continuationSeparator" w:id="0">
    <w:p w:rsidR="00DF488C" w:rsidRDefault="00DF488C" w:rsidP="00B06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DF488C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B8C"/>
    <w:multiLevelType w:val="hybridMultilevel"/>
    <w:tmpl w:val="251E3FE6"/>
    <w:lvl w:ilvl="0" w:tplc="2016434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D6B39"/>
    <w:multiLevelType w:val="multilevel"/>
    <w:tmpl w:val="4E8A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22A54"/>
    <w:multiLevelType w:val="hybridMultilevel"/>
    <w:tmpl w:val="46EEA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E7CEF"/>
    <w:multiLevelType w:val="hybridMultilevel"/>
    <w:tmpl w:val="C7B4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5F1"/>
    <w:multiLevelType w:val="hybridMultilevel"/>
    <w:tmpl w:val="ADBA2C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7ED6"/>
    <w:multiLevelType w:val="hybridMultilevel"/>
    <w:tmpl w:val="61F2183A"/>
    <w:lvl w:ilvl="0" w:tplc="F41ED2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D5C1C"/>
    <w:multiLevelType w:val="hybridMultilevel"/>
    <w:tmpl w:val="C1B6D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4E3F"/>
    <w:multiLevelType w:val="hybridMultilevel"/>
    <w:tmpl w:val="BA026E22"/>
    <w:lvl w:ilvl="0" w:tplc="244E3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DB"/>
    <w:rsid w:val="000A67BD"/>
    <w:rsid w:val="001C4B0D"/>
    <w:rsid w:val="0033071D"/>
    <w:rsid w:val="00432AE9"/>
    <w:rsid w:val="008110CE"/>
    <w:rsid w:val="008E65E9"/>
    <w:rsid w:val="00B069DB"/>
    <w:rsid w:val="00BC7858"/>
    <w:rsid w:val="00CA7A39"/>
    <w:rsid w:val="00CF3795"/>
    <w:rsid w:val="00DC2538"/>
    <w:rsid w:val="00DF488C"/>
    <w:rsid w:val="00F7459C"/>
    <w:rsid w:val="00FB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1C1AB94"/>
  <w15:chartTrackingRefBased/>
  <w15:docId w15:val="{038DB561-EB1C-4BCF-87ED-6B32E4B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9D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9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9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069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DB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B069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D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69DB"/>
    <w:rPr>
      <w:vertAlign w:val="superscript"/>
    </w:rPr>
  </w:style>
  <w:style w:type="character" w:styleId="Hyperlink">
    <w:name w:val="Hyperlink"/>
    <w:uiPriority w:val="99"/>
    <w:unhideWhenUsed/>
    <w:rsid w:val="00B069DB"/>
    <w:rPr>
      <w:color w:val="009B00"/>
      <w:u w:val="single"/>
    </w:rPr>
  </w:style>
  <w:style w:type="character" w:styleId="Strong">
    <w:name w:val="Strong"/>
    <w:uiPriority w:val="22"/>
    <w:qFormat/>
    <w:rsid w:val="00B069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9DB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B06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B"/>
    <w:rPr>
      <w:rFonts w:ascii="Calibri" w:eastAsia="Calibri" w:hAnsi="Calibri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69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B069DB"/>
    <w:rPr>
      <w:vertAlign w:val="superscript"/>
    </w:rPr>
  </w:style>
  <w:style w:type="character" w:customStyle="1" w:styleId="apple-converted-space">
    <w:name w:val="apple-converted-space"/>
    <w:rsid w:val="00B069DB"/>
  </w:style>
  <w:style w:type="paragraph" w:styleId="NoSpacing">
    <w:name w:val="No Spacing"/>
    <w:uiPriority w:val="1"/>
    <w:qFormat/>
    <w:rsid w:val="00B069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ference2">
    <w:name w:val="reference2"/>
    <w:rsid w:val="00B069DB"/>
  </w:style>
  <w:style w:type="character" w:customStyle="1" w:styleId="reftitle3">
    <w:name w:val="reftitle3"/>
    <w:rsid w:val="00B069DB"/>
    <w:rPr>
      <w:b w:val="0"/>
      <w:bCs w:val="0"/>
    </w:rPr>
  </w:style>
  <w:style w:type="character" w:customStyle="1" w:styleId="refseriestitle3">
    <w:name w:val="refseriestitle3"/>
    <w:rsid w:val="00B069DB"/>
    <w:rPr>
      <w:i/>
      <w:iCs/>
    </w:rPr>
  </w:style>
  <w:style w:type="character" w:customStyle="1" w:styleId="refseriesvolume1">
    <w:name w:val="refseriesvolume1"/>
    <w:rsid w:val="00B069DB"/>
    <w:rPr>
      <w:b/>
      <w:bCs/>
    </w:rPr>
  </w:style>
  <w:style w:type="paragraph" w:styleId="ListParagraph">
    <w:name w:val="List Paragraph"/>
    <w:basedOn w:val="Normal"/>
    <w:uiPriority w:val="34"/>
    <w:qFormat/>
    <w:rsid w:val="00B069DB"/>
    <w:pPr>
      <w:ind w:left="720"/>
      <w:contextualSpacing/>
    </w:pPr>
  </w:style>
  <w:style w:type="character" w:customStyle="1" w:styleId="title-text">
    <w:name w:val="title-text"/>
    <w:basedOn w:val="DefaultParagraphFont"/>
    <w:rsid w:val="00B069DB"/>
  </w:style>
  <w:style w:type="character" w:customStyle="1" w:styleId="text">
    <w:name w:val="text"/>
    <w:basedOn w:val="DefaultParagraphFont"/>
    <w:rsid w:val="00B069DB"/>
  </w:style>
  <w:style w:type="character" w:customStyle="1" w:styleId="author-ref">
    <w:name w:val="author-ref"/>
    <w:basedOn w:val="DefaultParagraphFont"/>
    <w:rsid w:val="00B069DB"/>
  </w:style>
  <w:style w:type="paragraph" w:customStyle="1" w:styleId="xmsonormal">
    <w:name w:val="x_msonormal"/>
    <w:basedOn w:val="Normal"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title1">
    <w:name w:val="title1"/>
    <w:basedOn w:val="DefaultParagraphFont"/>
    <w:rsid w:val="00B069DB"/>
  </w:style>
  <w:style w:type="character" w:customStyle="1" w:styleId="highwire-cite-metadata-journal">
    <w:name w:val="highwire-cite-metadata-journal"/>
    <w:basedOn w:val="DefaultParagraphFont"/>
    <w:rsid w:val="00B069DB"/>
  </w:style>
  <w:style w:type="character" w:customStyle="1" w:styleId="highwire-cite-metadata-year">
    <w:name w:val="highwire-cite-metadata-year"/>
    <w:basedOn w:val="DefaultParagraphFont"/>
    <w:rsid w:val="00B069DB"/>
  </w:style>
  <w:style w:type="character" w:customStyle="1" w:styleId="highwire-cite-metadata-volume">
    <w:name w:val="highwire-cite-metadata-volume"/>
    <w:basedOn w:val="DefaultParagraphFont"/>
    <w:rsid w:val="00B069DB"/>
  </w:style>
  <w:style w:type="character" w:customStyle="1" w:styleId="highwire-cite-metadata-pages">
    <w:name w:val="highwire-cite-metadata-pages"/>
    <w:basedOn w:val="DefaultParagraphFont"/>
    <w:rsid w:val="00B069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9D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69D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69D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4</cp:revision>
  <dcterms:created xsi:type="dcterms:W3CDTF">2019-03-20T11:11:00Z</dcterms:created>
  <dcterms:modified xsi:type="dcterms:W3CDTF">2019-03-21T10:25:00Z</dcterms:modified>
</cp:coreProperties>
</file>