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9DB" w:rsidRDefault="00B069DB" w:rsidP="00B069DB">
      <w:pPr>
        <w:autoSpaceDE w:val="0"/>
        <w:autoSpaceDN w:val="0"/>
        <w:adjustRightInd w:val="0"/>
        <w:spacing w:after="0" w:line="288" w:lineRule="auto"/>
        <w:rPr>
          <w:rFonts w:cs="FdccldAdvTT86d47313"/>
          <w:lang w:eastAsia="en-GB"/>
        </w:rPr>
      </w:pPr>
    </w:p>
    <w:p w:rsidR="00B069DB" w:rsidRDefault="00B069DB" w:rsidP="00B069DB">
      <w:pPr>
        <w:autoSpaceDE w:val="0"/>
        <w:autoSpaceDN w:val="0"/>
        <w:adjustRightInd w:val="0"/>
        <w:spacing w:after="0" w:line="288" w:lineRule="auto"/>
        <w:rPr>
          <w:rFonts w:cs="FdccldAdvTT86d47313"/>
          <w:lang w:eastAsia="en-GB"/>
        </w:rPr>
      </w:pPr>
    </w:p>
    <w:tbl>
      <w:tblPr>
        <w:tblpPr w:leftFromText="180" w:rightFromText="180" w:vertAnchor="page" w:horzAnchor="page" w:tblpX="796" w:tblpY="991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8"/>
      </w:tblGrid>
      <w:tr w:rsidR="00B069DB" w:rsidTr="006A390A">
        <w:trPr>
          <w:trHeight w:val="169"/>
        </w:trPr>
        <w:tc>
          <w:tcPr>
            <w:tcW w:w="15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9DB" w:rsidRDefault="00B069DB" w:rsidP="006A390A">
            <w:pPr>
              <w:pStyle w:val="NormalWeb"/>
              <w:spacing w:before="0" w:beforeAutospacing="0" w:after="0" w:afterAutospacing="0"/>
              <w:rPr>
                <w:b/>
                <w:sz w:val="21"/>
                <w:szCs w:val="21"/>
              </w:rPr>
            </w:pPr>
          </w:p>
        </w:tc>
      </w:tr>
    </w:tbl>
    <w:tbl>
      <w:tblPr>
        <w:tblpPr w:leftFromText="180" w:rightFromText="180" w:vertAnchor="page" w:horzAnchor="page" w:tblpX="886" w:tblpY="142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2137"/>
        <w:gridCol w:w="11873"/>
      </w:tblGrid>
      <w:tr w:rsidR="00B069DB" w:rsidRPr="00E57493" w:rsidTr="006A390A">
        <w:trPr>
          <w:trHeight w:val="147"/>
        </w:trPr>
        <w:tc>
          <w:tcPr>
            <w:tcW w:w="15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9DB" w:rsidRPr="00E57493" w:rsidRDefault="00B069DB" w:rsidP="006A390A">
            <w:pPr>
              <w:spacing w:after="120" w:line="240" w:lineRule="auto"/>
              <w:rPr>
                <w:b/>
                <w:sz w:val="21"/>
                <w:szCs w:val="21"/>
              </w:rPr>
            </w:pPr>
            <w:r>
              <w:rPr>
                <w:rFonts w:cs="NewBaskerville-Roman-DTC"/>
                <w:b/>
              </w:rPr>
              <w:t>Supplementary table 1:</w:t>
            </w:r>
            <w:r w:rsidRPr="008D0A55">
              <w:rPr>
                <w:rFonts w:cs="NewBaskerville-Roman-DTC"/>
                <w:b/>
              </w:rPr>
              <w:t xml:space="preserve"> </w:t>
            </w:r>
            <w:r w:rsidRPr="00740CD4">
              <w:rPr>
                <w:rFonts w:cs="NewBaskerville-Roman-DTC"/>
              </w:rPr>
              <w:t>Description of coefficient</w:t>
            </w:r>
            <w:r>
              <w:rPr>
                <w:rFonts w:cs="NewBaskerville-Roman-DTC"/>
              </w:rPr>
              <w:t>s – predicting extended duration of hospital admission</w:t>
            </w:r>
          </w:p>
        </w:tc>
      </w:tr>
      <w:tr w:rsidR="00B069DB" w:rsidRPr="00E57493" w:rsidTr="006A390A">
        <w:trPr>
          <w:trHeight w:val="20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69DB" w:rsidRPr="00E57493" w:rsidRDefault="00B069DB" w:rsidP="006A390A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69DB" w:rsidRPr="00E57493" w:rsidRDefault="00B069DB" w:rsidP="006A390A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69DB" w:rsidRPr="00E57493" w:rsidRDefault="00B069DB" w:rsidP="006A390A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B069DB" w:rsidRPr="00E57493" w:rsidTr="006A390A">
        <w:tc>
          <w:tcPr>
            <w:tcW w:w="1124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b/>
                <w:sz w:val="21"/>
                <w:szCs w:val="21"/>
              </w:rPr>
            </w:pPr>
            <w:r w:rsidRPr="00E57493">
              <w:rPr>
                <w:b/>
                <w:sz w:val="21"/>
                <w:szCs w:val="21"/>
              </w:rPr>
              <w:t>Field type</w:t>
            </w:r>
          </w:p>
        </w:tc>
        <w:tc>
          <w:tcPr>
            <w:tcW w:w="2137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b/>
                <w:sz w:val="21"/>
                <w:szCs w:val="21"/>
              </w:rPr>
            </w:pPr>
            <w:r w:rsidRPr="00E57493">
              <w:rPr>
                <w:b/>
                <w:sz w:val="21"/>
                <w:szCs w:val="21"/>
              </w:rPr>
              <w:t>Variable group</w:t>
            </w:r>
          </w:p>
        </w:tc>
        <w:tc>
          <w:tcPr>
            <w:tcW w:w="11873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b/>
                <w:sz w:val="21"/>
                <w:szCs w:val="21"/>
              </w:rPr>
            </w:pPr>
            <w:r w:rsidRPr="00E57493">
              <w:rPr>
                <w:b/>
                <w:sz w:val="21"/>
                <w:szCs w:val="21"/>
              </w:rPr>
              <w:t>Variables</w:t>
            </w:r>
          </w:p>
        </w:tc>
      </w:tr>
      <w:tr w:rsidR="00B069DB" w:rsidRPr="00E57493" w:rsidTr="006A390A">
        <w:tc>
          <w:tcPr>
            <w:tcW w:w="1124" w:type="dxa"/>
            <w:vMerge w:val="restart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NLP derived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Catatonia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Catalepsy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echolalia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echopraxia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immobile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mannerism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mutism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perseverance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posturing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rigidity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stupor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 xml:space="preserve"> and waxy flexibility</w:t>
            </w:r>
            <w:r>
              <w:rPr>
                <w:b/>
                <w:vertAlign w:val="superscript"/>
              </w:rPr>
              <w:t>2</w:t>
            </w:r>
          </w:p>
        </w:tc>
      </w:tr>
      <w:tr w:rsidR="00B069DB" w:rsidRPr="00E57493" w:rsidTr="006A390A">
        <w:tc>
          <w:tcPr>
            <w:tcW w:w="1124" w:type="dxa"/>
            <w:vMerge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Disorganised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Abstract thinking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anhedonia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circumstantial speech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derailment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flight of ideas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formal thought disorder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reduced coherence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tangential speech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 xml:space="preserve"> and thought block</w:t>
            </w:r>
            <w:r>
              <w:rPr>
                <w:b/>
                <w:vertAlign w:val="superscript"/>
              </w:rPr>
              <w:t>4</w:t>
            </w:r>
          </w:p>
        </w:tc>
      </w:tr>
      <w:tr w:rsidR="00B069DB" w:rsidRPr="00E57493" w:rsidTr="006A390A">
        <w:tc>
          <w:tcPr>
            <w:tcW w:w="1124" w:type="dxa"/>
            <w:vMerge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Manic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Disturbed sleep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elation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elevated mood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euphoria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grandiosity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insomnia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irritability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 xml:space="preserve"> and pressured speech</w:t>
            </w:r>
            <w:r>
              <w:rPr>
                <w:b/>
                <w:vertAlign w:val="superscript"/>
              </w:rPr>
              <w:t>1</w:t>
            </w:r>
          </w:p>
        </w:tc>
      </w:tr>
      <w:tr w:rsidR="00B069DB" w:rsidRPr="00E57493" w:rsidTr="006A390A">
        <w:tc>
          <w:tcPr>
            <w:tcW w:w="1124" w:type="dxa"/>
            <w:vMerge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Prescribed m</w:t>
            </w:r>
            <w:r w:rsidRPr="00E57493">
              <w:rPr>
                <w:sz w:val="21"/>
                <w:szCs w:val="21"/>
              </w:rPr>
              <w:t>edication</w:t>
            </w:r>
          </w:p>
        </w:tc>
        <w:tc>
          <w:tcPr>
            <w:tcW w:w="11873" w:type="dxa"/>
            <w:shd w:val="clear" w:color="auto" w:fill="auto"/>
          </w:tcPr>
          <w:p w:rsidR="00B069DB" w:rsidRPr="001E57B1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1E57B1">
              <w:rPr>
                <w:rFonts w:asciiTheme="minorHAnsi" w:hAnsiTheme="minorHAnsi" w:cstheme="minorHAnsi"/>
                <w:sz w:val="21"/>
                <w:szCs w:val="21"/>
              </w:rPr>
              <w:t>Antipsychotics</w:t>
            </w:r>
            <w:r w:rsidRPr="001E57B1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6</w:t>
            </w:r>
            <w:r w:rsidRPr="001E57B1">
              <w:rPr>
                <w:rFonts w:asciiTheme="minorHAnsi" w:hAnsiTheme="minorHAnsi" w:cstheme="minorHAnsi"/>
                <w:sz w:val="21"/>
                <w:szCs w:val="21"/>
              </w:rPr>
              <w:t>, clozapine</w:t>
            </w:r>
            <w:r w:rsidRPr="001E57B1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5</w:t>
            </w:r>
            <w:r w:rsidRPr="001E57B1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r w:rsidRPr="001E57B1">
              <w:rPr>
                <w:rStyle w:val="Strong"/>
                <w:rFonts w:asciiTheme="minorHAnsi" w:hAnsiTheme="minorHAnsi" w:cstheme="minorHAnsi"/>
                <w:b w:val="0"/>
                <w:sz w:val="21"/>
                <w:szCs w:val="21"/>
              </w:rPr>
              <w:t>medication non-compliance</w:t>
            </w:r>
            <w:r w:rsidRPr="001E57B1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 xml:space="preserve"> 4</w:t>
            </w:r>
            <w:r w:rsidRPr="001E57B1">
              <w:rPr>
                <w:rFonts w:asciiTheme="minorHAnsi" w:hAnsiTheme="minorHAnsi" w:cstheme="minorHAnsi"/>
                <w:sz w:val="21"/>
                <w:szCs w:val="21"/>
              </w:rPr>
              <w:t>, f</w:t>
            </w:r>
            <w:r w:rsidRPr="001E57B1">
              <w:rPr>
                <w:rStyle w:val="Strong"/>
                <w:rFonts w:asciiTheme="minorHAnsi" w:hAnsiTheme="minorHAnsi" w:cstheme="minorHAnsi"/>
                <w:b w:val="0"/>
                <w:sz w:val="21"/>
                <w:szCs w:val="21"/>
              </w:rPr>
              <w:t>irst generation antipsychotic (depot)</w:t>
            </w:r>
            <w:r w:rsidRPr="001E57B1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4</w:t>
            </w:r>
            <w:r w:rsidRPr="001E57B1">
              <w:rPr>
                <w:rFonts w:asciiTheme="minorHAnsi" w:hAnsiTheme="minorHAnsi" w:cstheme="minorHAnsi"/>
                <w:sz w:val="21"/>
                <w:szCs w:val="21"/>
              </w:rPr>
              <w:t xml:space="preserve">,  </w:t>
            </w:r>
            <w:r w:rsidR="001E57B1" w:rsidRPr="001E57B1">
              <w:rPr>
                <w:rStyle w:val="Strong"/>
                <w:rFonts w:asciiTheme="minorHAnsi" w:hAnsiTheme="minorHAnsi" w:cstheme="minorHAnsi"/>
                <w:b w:val="0"/>
                <w:sz w:val="21"/>
                <w:szCs w:val="21"/>
              </w:rPr>
              <w:t>fi</w:t>
            </w:r>
            <w:r w:rsidRPr="001E57B1">
              <w:rPr>
                <w:rStyle w:val="Strong"/>
                <w:rFonts w:asciiTheme="minorHAnsi" w:hAnsiTheme="minorHAnsi" w:cstheme="minorHAnsi"/>
                <w:b w:val="0"/>
                <w:sz w:val="21"/>
                <w:szCs w:val="21"/>
              </w:rPr>
              <w:t>rst generation antipsychotic (not</w:t>
            </w:r>
            <w:r w:rsidRPr="001E57B1">
              <w:rPr>
                <w:rStyle w:val="Strong"/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E57B1">
              <w:rPr>
                <w:rStyle w:val="Strong"/>
                <w:rFonts w:asciiTheme="minorHAnsi" w:hAnsiTheme="minorHAnsi" w:cstheme="minorHAnsi"/>
                <w:b w:val="0"/>
                <w:sz w:val="21"/>
                <w:szCs w:val="21"/>
              </w:rPr>
              <w:t>depot)</w:t>
            </w:r>
            <w:r w:rsidRPr="001E57B1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4</w:t>
            </w:r>
            <w:r w:rsidRPr="001E57B1">
              <w:rPr>
                <w:rFonts w:asciiTheme="minorHAnsi" w:hAnsiTheme="minorHAnsi" w:cstheme="minorHAnsi"/>
                <w:sz w:val="21"/>
                <w:szCs w:val="21"/>
              </w:rPr>
              <w:t>, second</w:t>
            </w:r>
            <w:r w:rsidRPr="001E57B1">
              <w:rPr>
                <w:rStyle w:val="Strong"/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E57B1">
              <w:rPr>
                <w:rStyle w:val="Strong"/>
                <w:rFonts w:asciiTheme="minorHAnsi" w:hAnsiTheme="minorHAnsi" w:cstheme="minorHAnsi"/>
                <w:b w:val="0"/>
                <w:sz w:val="21"/>
                <w:szCs w:val="21"/>
              </w:rPr>
              <w:t>generation antipsychotic (depot)</w:t>
            </w:r>
            <w:r w:rsidRPr="001E57B1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 xml:space="preserve">4 </w:t>
            </w:r>
            <w:r w:rsidRPr="001E57B1">
              <w:rPr>
                <w:rFonts w:asciiTheme="minorHAnsi" w:hAnsiTheme="minorHAnsi" w:cstheme="minorHAnsi"/>
                <w:sz w:val="21"/>
                <w:szCs w:val="21"/>
              </w:rPr>
              <w:t>and second</w:t>
            </w:r>
            <w:r w:rsidRPr="001E57B1">
              <w:rPr>
                <w:rStyle w:val="Strong"/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E57B1">
              <w:rPr>
                <w:rStyle w:val="Strong"/>
                <w:rFonts w:asciiTheme="minorHAnsi" w:hAnsiTheme="minorHAnsi" w:cstheme="minorHAnsi"/>
                <w:b w:val="0"/>
                <w:sz w:val="21"/>
                <w:szCs w:val="21"/>
              </w:rPr>
              <w:t>generation antipsychotic</w:t>
            </w:r>
            <w:r w:rsidRPr="001E57B1">
              <w:rPr>
                <w:rFonts w:asciiTheme="minorHAnsi" w:hAnsiTheme="minorHAnsi" w:cstheme="minorHAnsi"/>
                <w:sz w:val="21"/>
                <w:szCs w:val="21"/>
              </w:rPr>
              <w:t xml:space="preserve"> not depot</w:t>
            </w:r>
            <w:r w:rsidRPr="001E57B1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6</w:t>
            </w:r>
            <w:bookmarkStart w:id="0" w:name="_GoBack"/>
            <w:bookmarkEnd w:id="0"/>
          </w:p>
        </w:tc>
      </w:tr>
      <w:tr w:rsidR="00B069DB" w:rsidRPr="00E57493" w:rsidTr="006A390A">
        <w:tc>
          <w:tcPr>
            <w:tcW w:w="1124" w:type="dxa"/>
            <w:vMerge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Mood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Affective instability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emotional instability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 xml:space="preserve"> and mood instability</w:t>
            </w:r>
            <w:r>
              <w:rPr>
                <w:b/>
                <w:vertAlign w:val="superscript"/>
              </w:rPr>
              <w:t>4</w:t>
            </w:r>
          </w:p>
        </w:tc>
      </w:tr>
      <w:tr w:rsidR="00B069DB" w:rsidRPr="00E57493" w:rsidTr="006A390A">
        <w:tc>
          <w:tcPr>
            <w:tcW w:w="1124" w:type="dxa"/>
            <w:vMerge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Negative symptoms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Apathy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blunted/flat affect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emotional withdrawal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poor rapport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poverty of speech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poverty of thought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 xml:space="preserve"> and social withdrawal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 xml:space="preserve">  </w:t>
            </w:r>
          </w:p>
        </w:tc>
      </w:tr>
      <w:tr w:rsidR="00B069DB" w:rsidRPr="00E57493" w:rsidTr="006A390A">
        <w:tc>
          <w:tcPr>
            <w:tcW w:w="1124" w:type="dxa"/>
            <w:vMerge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Positive symptoms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Aggression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agitation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arousal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delusions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hallucinations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hostility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paranoia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 xml:space="preserve"> and persecutory ideas</w:t>
            </w:r>
            <w:r>
              <w:rPr>
                <w:b/>
                <w:vertAlign w:val="superscript"/>
              </w:rPr>
              <w:t>1</w:t>
            </w:r>
          </w:p>
        </w:tc>
      </w:tr>
      <w:tr w:rsidR="00B069DB" w:rsidRPr="00E57493" w:rsidTr="006A390A">
        <w:tc>
          <w:tcPr>
            <w:tcW w:w="1124" w:type="dxa"/>
            <w:vMerge w:val="restart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Structured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 xml:space="preserve">Current admission 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Admission source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admission service type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 xml:space="preserve"> and MHA status</w:t>
            </w:r>
            <w:r>
              <w:rPr>
                <w:b/>
                <w:vertAlign w:val="superscript"/>
              </w:rPr>
              <w:t>6</w:t>
            </w:r>
          </w:p>
        </w:tc>
      </w:tr>
      <w:tr w:rsidR="00B069DB" w:rsidRPr="00E57493" w:rsidTr="006A390A">
        <w:tc>
          <w:tcPr>
            <w:tcW w:w="1124" w:type="dxa"/>
            <w:vMerge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Demographic/patient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Age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days since last diagnosis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deprivation group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diagnosis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ethnicity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gender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lives with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 xml:space="preserve"> and marital status</w:t>
            </w:r>
            <w:r>
              <w:rPr>
                <w:b/>
                <w:vertAlign w:val="superscript"/>
              </w:rPr>
              <w:t>4</w:t>
            </w:r>
          </w:p>
        </w:tc>
      </w:tr>
      <w:tr w:rsidR="00B069DB" w:rsidRPr="00E57493" w:rsidTr="006A390A">
        <w:tc>
          <w:tcPr>
            <w:tcW w:w="1124" w:type="dxa"/>
            <w:vMerge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Health of nation outcome scale</w:t>
            </w:r>
            <w:r>
              <w:rPr>
                <w:sz w:val="21"/>
                <w:szCs w:val="21"/>
              </w:rPr>
              <w:t xml:space="preserve"> (HoNOS)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Days since HoNOS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agitated behaviour</w:t>
            </w:r>
            <w:r>
              <w:rPr>
                <w:b/>
                <w:vertAlign w:val="superscript"/>
              </w:rPr>
              <w:t>3</w:t>
            </w:r>
            <w:r w:rsidRPr="00E57493">
              <w:rPr>
                <w:sz w:val="21"/>
                <w:szCs w:val="21"/>
              </w:rPr>
              <w:t>, cognitive problems</w:t>
            </w:r>
            <w:r>
              <w:rPr>
                <w:b/>
                <w:vertAlign w:val="superscript"/>
              </w:rPr>
              <w:t>3</w:t>
            </w:r>
            <w:r w:rsidRPr="00E57493">
              <w:rPr>
                <w:sz w:val="21"/>
                <w:szCs w:val="21"/>
              </w:rPr>
              <w:t>, daily living problems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depressed mood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hallucinations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living conditions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occupational problems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other mental health problems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physical illness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problem drinking/drugs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relationship problems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 xml:space="preserve"> and self-injury</w:t>
            </w:r>
            <w:r>
              <w:rPr>
                <w:b/>
                <w:vertAlign w:val="superscript"/>
              </w:rPr>
              <w:t>4</w:t>
            </w:r>
          </w:p>
        </w:tc>
      </w:tr>
      <w:tr w:rsidR="00B069DB" w:rsidRPr="00E57493" w:rsidTr="006A390A">
        <w:tc>
          <w:tcPr>
            <w:tcW w:w="1124" w:type="dxa"/>
            <w:vMerge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B069DB" w:rsidRPr="00E57493" w:rsidRDefault="00B069DB" w:rsidP="006A390A">
            <w:pPr>
              <w:spacing w:after="120" w:line="240" w:lineRule="auto"/>
              <w:jc w:val="center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Previous service use</w:t>
            </w:r>
          </w:p>
        </w:tc>
        <w:tc>
          <w:tcPr>
            <w:tcW w:w="11873" w:type="dxa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 w:rsidRPr="00E57493">
              <w:rPr>
                <w:sz w:val="21"/>
                <w:szCs w:val="21"/>
              </w:rPr>
              <w:t>Care co</w:t>
            </w:r>
            <w:r>
              <w:rPr>
                <w:sz w:val="21"/>
                <w:szCs w:val="21"/>
              </w:rPr>
              <w:t>-</w:t>
            </w:r>
            <w:r w:rsidRPr="00E57493">
              <w:rPr>
                <w:sz w:val="21"/>
                <w:szCs w:val="21"/>
              </w:rPr>
              <w:t>ordinator</w:t>
            </w:r>
            <w:r>
              <w:rPr>
                <w:sz w:val="21"/>
                <w:szCs w:val="21"/>
              </w:rPr>
              <w:t>s(n)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character count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contact days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care coordinator contact days</w:t>
            </w:r>
            <w:r>
              <w:rPr>
                <w:b/>
                <w:vertAlign w:val="superscript"/>
              </w:rPr>
              <w:t>5</w:t>
            </w:r>
            <w:r w:rsidRPr="00E57493">
              <w:rPr>
                <w:sz w:val="21"/>
                <w:szCs w:val="21"/>
              </w:rPr>
              <w:t>,  care coordinator professional group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days since discharge</w:t>
            </w:r>
            <w:r>
              <w:rPr>
                <w:b/>
                <w:vertAlign w:val="superscript"/>
              </w:rPr>
              <w:t>6</w:t>
            </w:r>
            <w:r w:rsidRPr="00E57493">
              <w:rPr>
                <w:sz w:val="21"/>
                <w:szCs w:val="21"/>
              </w:rPr>
              <w:t>, number of attended appointments</w:t>
            </w:r>
            <w:r>
              <w:rPr>
                <w:b/>
                <w:vertAlign w:val="superscript"/>
              </w:rPr>
              <w:t>1</w:t>
            </w:r>
            <w:r w:rsidRPr="00E57493">
              <w:rPr>
                <w:sz w:val="21"/>
                <w:szCs w:val="21"/>
              </w:rPr>
              <w:t>, previous admission</w:t>
            </w:r>
            <w:r>
              <w:rPr>
                <w:sz w:val="21"/>
                <w:szCs w:val="21"/>
              </w:rPr>
              <w:t>s</w:t>
            </w:r>
            <w:r w:rsidRPr="00E57493">
              <w:rPr>
                <w:sz w:val="21"/>
                <w:szCs w:val="21"/>
              </w:rPr>
              <w:t xml:space="preserve"> over 7 days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 previous admission</w:t>
            </w:r>
            <w:r>
              <w:rPr>
                <w:sz w:val="21"/>
                <w:szCs w:val="21"/>
              </w:rPr>
              <w:t>s</w:t>
            </w:r>
            <w:r>
              <w:rPr>
                <w:b/>
                <w:vertAlign w:val="superscript"/>
              </w:rPr>
              <w:t>4</w:t>
            </w:r>
            <w:r w:rsidRPr="00E57493">
              <w:rPr>
                <w:sz w:val="21"/>
                <w:szCs w:val="21"/>
              </w:rPr>
              <w:t>,  previous admission</w:t>
            </w:r>
            <w:r>
              <w:rPr>
                <w:sz w:val="21"/>
                <w:szCs w:val="21"/>
              </w:rPr>
              <w:t>s</w:t>
            </w:r>
            <w:r w:rsidRPr="00E57493">
              <w:rPr>
                <w:sz w:val="21"/>
                <w:szCs w:val="21"/>
              </w:rPr>
              <w:t xml:space="preserve"> average duration</w:t>
            </w:r>
            <w:r>
              <w:rPr>
                <w:b/>
                <w:vertAlign w:val="superscript"/>
              </w:rPr>
              <w:t>4</w:t>
            </w:r>
            <w:r>
              <w:rPr>
                <w:sz w:val="21"/>
                <w:szCs w:val="21"/>
              </w:rPr>
              <w:t xml:space="preserve"> and </w:t>
            </w:r>
            <w:r w:rsidRPr="00E57493">
              <w:rPr>
                <w:sz w:val="21"/>
                <w:szCs w:val="21"/>
              </w:rPr>
              <w:t>previous admissions over 7 day</w:t>
            </w:r>
            <w:r>
              <w:rPr>
                <w:sz w:val="21"/>
                <w:szCs w:val="21"/>
              </w:rPr>
              <w:t>s</w:t>
            </w:r>
            <w:r w:rsidRPr="00E57493">
              <w:rPr>
                <w:sz w:val="21"/>
                <w:szCs w:val="21"/>
              </w:rPr>
              <w:t xml:space="preserve"> average duration</w:t>
            </w:r>
            <w:r>
              <w:rPr>
                <w:b/>
                <w:vertAlign w:val="superscript"/>
              </w:rPr>
              <w:t>4</w:t>
            </w:r>
          </w:p>
        </w:tc>
      </w:tr>
      <w:tr w:rsidR="00B069DB" w:rsidRPr="00E57493" w:rsidTr="006A390A">
        <w:trPr>
          <w:trHeight w:val="692"/>
        </w:trPr>
        <w:tc>
          <w:tcPr>
            <w:tcW w:w="15134" w:type="dxa"/>
            <w:gridSpan w:val="3"/>
            <w:shd w:val="clear" w:color="auto" w:fill="auto"/>
          </w:tcPr>
          <w:p w:rsidR="00B069DB" w:rsidRPr="00E57493" w:rsidRDefault="00B069DB" w:rsidP="006A390A">
            <w:pPr>
              <w:spacing w:after="120" w:line="240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  <w:r w:rsidRPr="00E57493">
              <w:rPr>
                <w:sz w:val="21"/>
                <w:szCs w:val="21"/>
              </w:rPr>
              <w:t xml:space="preserve"> removed at univariate regression, </w:t>
            </w:r>
            <w:r>
              <w:rPr>
                <w:b/>
                <w:sz w:val="21"/>
                <w:szCs w:val="21"/>
              </w:rPr>
              <w:t>2</w:t>
            </w:r>
            <w:r w:rsidRPr="00E57493">
              <w:rPr>
                <w:sz w:val="21"/>
                <w:szCs w:val="21"/>
              </w:rPr>
              <w:t xml:space="preserve"> removed as standardised residuals &gt; 3, </w:t>
            </w:r>
            <w:r>
              <w:rPr>
                <w:b/>
                <w:sz w:val="21"/>
                <w:szCs w:val="21"/>
              </w:rPr>
              <w:t>3</w:t>
            </w:r>
            <w:r w:rsidRPr="00E57493">
              <w:rPr>
                <w:sz w:val="21"/>
                <w:szCs w:val="21"/>
              </w:rPr>
              <w:t xml:space="preserve"> removed due to high correlation, </w:t>
            </w:r>
            <w:r w:rsidRPr="00986D1A">
              <w:rPr>
                <w:b/>
                <w:sz w:val="21"/>
                <w:szCs w:val="21"/>
              </w:rPr>
              <w:t>4</w:t>
            </w:r>
            <w:r w:rsidRPr="00986D1A">
              <w:rPr>
                <w:sz w:val="21"/>
                <w:szCs w:val="21"/>
              </w:rPr>
              <w:t xml:space="preserve"> variables entered but not output by multivariate regression,</w:t>
            </w:r>
            <w:r w:rsidRPr="00E57493">
              <w:rPr>
                <w:sz w:val="21"/>
                <w:szCs w:val="21"/>
              </w:rPr>
              <w:t xml:space="preserve"> </w:t>
            </w:r>
            <w:r>
              <w:rPr>
                <w:b/>
                <w:sz w:val="21"/>
                <w:szCs w:val="21"/>
              </w:rPr>
              <w:t>5</w:t>
            </w:r>
            <w:r w:rsidRPr="00E57493">
              <w:rPr>
                <w:b/>
                <w:sz w:val="21"/>
                <w:szCs w:val="21"/>
              </w:rPr>
              <w:t xml:space="preserve"> </w:t>
            </w:r>
            <w:r w:rsidRPr="00E57493">
              <w:rPr>
                <w:sz w:val="21"/>
                <w:szCs w:val="21"/>
              </w:rPr>
              <w:t xml:space="preserve">removed due to inflated standard error and </w:t>
            </w:r>
            <w:r>
              <w:rPr>
                <w:b/>
                <w:sz w:val="21"/>
                <w:szCs w:val="21"/>
              </w:rPr>
              <w:t>6</w:t>
            </w:r>
            <w:r w:rsidRPr="00E57493">
              <w:rPr>
                <w:b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predictors of a higher duration of hospitalisation </w:t>
            </w:r>
          </w:p>
        </w:tc>
      </w:tr>
    </w:tbl>
    <w:p w:rsidR="00C57D63" w:rsidRDefault="006F0E1D" w:rsidP="00A477D1">
      <w:pPr>
        <w:pStyle w:val="NormalWeb"/>
        <w:spacing w:before="0" w:beforeAutospacing="0" w:after="0" w:afterAutospacing="0"/>
      </w:pPr>
    </w:p>
    <w:sectPr w:rsidR="00C57D63" w:rsidSect="00A477D1">
      <w:headerReference w:type="default" r:id="rId7"/>
      <w:footerReference w:type="default" r:id="rId8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E1D" w:rsidRDefault="006F0E1D" w:rsidP="00B069DB">
      <w:pPr>
        <w:spacing w:after="0" w:line="240" w:lineRule="auto"/>
      </w:pPr>
      <w:r>
        <w:separator/>
      </w:r>
    </w:p>
  </w:endnote>
  <w:endnote w:type="continuationSeparator" w:id="0">
    <w:p w:rsidR="006F0E1D" w:rsidRDefault="006F0E1D" w:rsidP="00B06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dccldAdvTT86d4731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Baskerville-Roman-D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B069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57B1">
      <w:rPr>
        <w:noProof/>
      </w:rPr>
      <w:t>1</w:t>
    </w:r>
    <w:r>
      <w:rPr>
        <w:noProof/>
      </w:rPr>
      <w:fldChar w:fldCharType="end"/>
    </w:r>
  </w:p>
  <w:p w:rsidR="00B069DB" w:rsidRDefault="00B069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E1D" w:rsidRDefault="006F0E1D" w:rsidP="00B069DB">
      <w:pPr>
        <w:spacing w:after="0" w:line="240" w:lineRule="auto"/>
      </w:pPr>
      <w:r>
        <w:separator/>
      </w:r>
    </w:p>
  </w:footnote>
  <w:footnote w:type="continuationSeparator" w:id="0">
    <w:p w:rsidR="006F0E1D" w:rsidRDefault="006F0E1D" w:rsidP="00B06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DB" w:rsidRDefault="006F0E1D">
    <w:pPr>
      <w:pStyle w:val="Header"/>
    </w:pPr>
    <w:r>
      <w:rPr>
        <w:noProof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B8C"/>
    <w:multiLevelType w:val="hybridMultilevel"/>
    <w:tmpl w:val="251E3FE6"/>
    <w:lvl w:ilvl="0" w:tplc="2016434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D6B39"/>
    <w:multiLevelType w:val="multilevel"/>
    <w:tmpl w:val="4E8A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22A54"/>
    <w:multiLevelType w:val="hybridMultilevel"/>
    <w:tmpl w:val="46EEA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E7CEF"/>
    <w:multiLevelType w:val="hybridMultilevel"/>
    <w:tmpl w:val="C7B4E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5F1"/>
    <w:multiLevelType w:val="hybridMultilevel"/>
    <w:tmpl w:val="ADBA2C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97ED6"/>
    <w:multiLevelType w:val="hybridMultilevel"/>
    <w:tmpl w:val="61F2183A"/>
    <w:lvl w:ilvl="0" w:tplc="F41ED2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D5C1C"/>
    <w:multiLevelType w:val="hybridMultilevel"/>
    <w:tmpl w:val="C1B6D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44E3F"/>
    <w:multiLevelType w:val="hybridMultilevel"/>
    <w:tmpl w:val="BA026E22"/>
    <w:lvl w:ilvl="0" w:tplc="244E3E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DB"/>
    <w:rsid w:val="001C4B0D"/>
    <w:rsid w:val="001E57B1"/>
    <w:rsid w:val="0033071D"/>
    <w:rsid w:val="00432AE9"/>
    <w:rsid w:val="006F0E1D"/>
    <w:rsid w:val="00A477D1"/>
    <w:rsid w:val="00B069DB"/>
    <w:rsid w:val="00BC7858"/>
    <w:rsid w:val="00CA7A39"/>
    <w:rsid w:val="00CF3795"/>
    <w:rsid w:val="00DC2538"/>
    <w:rsid w:val="00DD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30C135"/>
  <w15:chartTrackingRefBased/>
  <w15:docId w15:val="{038DB561-EB1C-4BCF-87ED-6B32E4BB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9D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9D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9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9D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069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6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DB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B069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9D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069DB"/>
    <w:rPr>
      <w:vertAlign w:val="superscript"/>
    </w:rPr>
  </w:style>
  <w:style w:type="character" w:styleId="Hyperlink">
    <w:name w:val="Hyperlink"/>
    <w:uiPriority w:val="99"/>
    <w:unhideWhenUsed/>
    <w:rsid w:val="00B069DB"/>
    <w:rPr>
      <w:color w:val="009B00"/>
      <w:u w:val="single"/>
    </w:rPr>
  </w:style>
  <w:style w:type="character" w:styleId="Strong">
    <w:name w:val="Strong"/>
    <w:uiPriority w:val="22"/>
    <w:qFormat/>
    <w:rsid w:val="00B069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9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69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9DB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B06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DB"/>
    <w:rPr>
      <w:rFonts w:ascii="Calibri" w:eastAsia="Calibri" w:hAnsi="Calibri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69D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69DB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B069DB"/>
    <w:rPr>
      <w:vertAlign w:val="superscript"/>
    </w:rPr>
  </w:style>
  <w:style w:type="character" w:customStyle="1" w:styleId="apple-converted-space">
    <w:name w:val="apple-converted-space"/>
    <w:rsid w:val="00B069DB"/>
  </w:style>
  <w:style w:type="paragraph" w:styleId="NoSpacing">
    <w:name w:val="No Spacing"/>
    <w:uiPriority w:val="1"/>
    <w:qFormat/>
    <w:rsid w:val="00B069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ference2">
    <w:name w:val="reference2"/>
    <w:rsid w:val="00B069DB"/>
  </w:style>
  <w:style w:type="character" w:customStyle="1" w:styleId="reftitle3">
    <w:name w:val="reftitle3"/>
    <w:rsid w:val="00B069DB"/>
    <w:rPr>
      <w:b w:val="0"/>
      <w:bCs w:val="0"/>
    </w:rPr>
  </w:style>
  <w:style w:type="character" w:customStyle="1" w:styleId="refseriestitle3">
    <w:name w:val="refseriestitle3"/>
    <w:rsid w:val="00B069DB"/>
    <w:rPr>
      <w:i/>
      <w:iCs/>
    </w:rPr>
  </w:style>
  <w:style w:type="character" w:customStyle="1" w:styleId="refseriesvolume1">
    <w:name w:val="refseriesvolume1"/>
    <w:rsid w:val="00B069DB"/>
    <w:rPr>
      <w:b/>
      <w:bCs/>
    </w:rPr>
  </w:style>
  <w:style w:type="paragraph" w:styleId="ListParagraph">
    <w:name w:val="List Paragraph"/>
    <w:basedOn w:val="Normal"/>
    <w:uiPriority w:val="34"/>
    <w:qFormat/>
    <w:rsid w:val="00B069DB"/>
    <w:pPr>
      <w:ind w:left="720"/>
      <w:contextualSpacing/>
    </w:pPr>
  </w:style>
  <w:style w:type="character" w:customStyle="1" w:styleId="title-text">
    <w:name w:val="title-text"/>
    <w:basedOn w:val="DefaultParagraphFont"/>
    <w:rsid w:val="00B069DB"/>
  </w:style>
  <w:style w:type="character" w:customStyle="1" w:styleId="text">
    <w:name w:val="text"/>
    <w:basedOn w:val="DefaultParagraphFont"/>
    <w:rsid w:val="00B069DB"/>
  </w:style>
  <w:style w:type="character" w:customStyle="1" w:styleId="author-ref">
    <w:name w:val="author-ref"/>
    <w:basedOn w:val="DefaultParagraphFont"/>
    <w:rsid w:val="00B069DB"/>
  </w:style>
  <w:style w:type="paragraph" w:customStyle="1" w:styleId="xmsonormal">
    <w:name w:val="x_msonormal"/>
    <w:basedOn w:val="Normal"/>
    <w:rsid w:val="00B0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title1">
    <w:name w:val="title1"/>
    <w:basedOn w:val="DefaultParagraphFont"/>
    <w:rsid w:val="00B069DB"/>
  </w:style>
  <w:style w:type="character" w:customStyle="1" w:styleId="highwire-cite-metadata-journal">
    <w:name w:val="highwire-cite-metadata-journal"/>
    <w:basedOn w:val="DefaultParagraphFont"/>
    <w:rsid w:val="00B069DB"/>
  </w:style>
  <w:style w:type="character" w:customStyle="1" w:styleId="highwire-cite-metadata-year">
    <w:name w:val="highwire-cite-metadata-year"/>
    <w:basedOn w:val="DefaultParagraphFont"/>
    <w:rsid w:val="00B069DB"/>
  </w:style>
  <w:style w:type="character" w:customStyle="1" w:styleId="highwire-cite-metadata-volume">
    <w:name w:val="highwire-cite-metadata-volume"/>
    <w:basedOn w:val="DefaultParagraphFont"/>
    <w:rsid w:val="00B069DB"/>
  </w:style>
  <w:style w:type="character" w:customStyle="1" w:styleId="highwire-cite-metadata-pages">
    <w:name w:val="highwire-cite-metadata-pages"/>
    <w:basedOn w:val="DefaultParagraphFont"/>
    <w:rsid w:val="00B069D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B069D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69D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69DB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London and Maudsley NHS Foundation Trust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Colling, Craig</dc:creator>
  <cp:keywords/>
  <dc:description/>
  <cp:lastModifiedBy>Colling, Craig</cp:lastModifiedBy>
  <cp:revision>4</cp:revision>
  <dcterms:created xsi:type="dcterms:W3CDTF">2019-03-20T11:11:00Z</dcterms:created>
  <dcterms:modified xsi:type="dcterms:W3CDTF">2019-03-20T11:22:00Z</dcterms:modified>
</cp:coreProperties>
</file>