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58A82" w14:textId="031D7E20" w:rsidR="00ED17C0" w:rsidRDefault="00ED17C0" w:rsidP="00ED17C0">
      <w:pPr>
        <w:pStyle w:val="Header"/>
      </w:pPr>
      <w:r>
        <w:t xml:space="preserve">Supplementary Table </w:t>
      </w:r>
      <w:r w:rsidR="007C678B">
        <w:t>1</w:t>
      </w:r>
      <w:r>
        <w:t xml:space="preserve">: Spearman’s Rho Correlation Matrix – Intercorrelation of HoNOSI Scales </w:t>
      </w:r>
    </w:p>
    <w:p w14:paraId="57CF6575" w14:textId="77777777" w:rsidR="00ED17C0" w:rsidRDefault="00ED17C0" w:rsidP="00ED17C0">
      <w:pPr>
        <w:jc w:val="both"/>
        <w:rPr>
          <w:sz w:val="20"/>
          <w:szCs w:val="20"/>
        </w:rPr>
      </w:pPr>
    </w:p>
    <w:p w14:paraId="4A74173D" w14:textId="7ECE3E7F" w:rsidR="00ED17C0" w:rsidRPr="00DF37C8" w:rsidRDefault="00ED17C0" w:rsidP="00ED17C0">
      <w:pPr>
        <w:jc w:val="both"/>
        <w:rPr>
          <w:sz w:val="20"/>
          <w:szCs w:val="20"/>
        </w:rPr>
      </w:pPr>
      <w:r w:rsidRPr="00DF37C8">
        <w:rPr>
          <w:sz w:val="20"/>
          <w:szCs w:val="20"/>
        </w:rPr>
        <w:t>The correlation matrix below  shows that most correlations between the individual HoNOSI scales are statistically significant. The Grey shaded areas represent exceptions to these, which have a low correlation and are not statistically significant. Areas shaded in green show a correlation of above 0.5 and which are statistically significant (</w:t>
      </w:r>
      <w:r w:rsidRPr="00DF37C8">
        <w:rPr>
          <w:i/>
          <w:sz w:val="20"/>
          <w:szCs w:val="20"/>
        </w:rPr>
        <w:t>r</w:t>
      </w:r>
      <w:r w:rsidRPr="00DF37C8">
        <w:rPr>
          <w:sz w:val="20"/>
          <w:szCs w:val="20"/>
        </w:rPr>
        <w:t xml:space="preserve">=-0.73, </w:t>
      </w:r>
      <w:r w:rsidRPr="00DF37C8">
        <w:rPr>
          <w:i/>
          <w:sz w:val="20"/>
          <w:szCs w:val="20"/>
        </w:rPr>
        <w:t>p</w:t>
      </w:r>
      <w:r w:rsidRPr="00DF37C8">
        <w:rPr>
          <w:sz w:val="20"/>
          <w:szCs w:val="20"/>
        </w:rPr>
        <w:t xml:space="preserve">&lt;0.01). The areas shaded in yellow show a correlation of </w:t>
      </w:r>
      <w:r w:rsidRPr="00DF37C8">
        <w:rPr>
          <w:i/>
          <w:sz w:val="20"/>
          <w:szCs w:val="20"/>
        </w:rPr>
        <w:t>r&gt;</w:t>
      </w:r>
      <w:r w:rsidRPr="00DF37C8">
        <w:rPr>
          <w:sz w:val="20"/>
          <w:szCs w:val="20"/>
        </w:rPr>
        <w:t xml:space="preserve">0.6, </w:t>
      </w:r>
      <w:r w:rsidRPr="00DF37C8">
        <w:rPr>
          <w:i/>
          <w:sz w:val="20"/>
          <w:szCs w:val="20"/>
        </w:rPr>
        <w:t>p</w:t>
      </w:r>
      <w:r w:rsidRPr="00DF37C8">
        <w:rPr>
          <w:sz w:val="20"/>
          <w:szCs w:val="20"/>
        </w:rPr>
        <w:t xml:space="preserve">&lt;0.01, however, these are HoNOSI total scores and their resulting statistic must be interpreted with caution as they are a sum of all HoNOSI scales 1 through 13 and as such, show a higher correlation than the individual scales, as excepted. </w:t>
      </w:r>
    </w:p>
    <w:p w14:paraId="62AC61EA" w14:textId="77777777" w:rsidR="00ED17C0" w:rsidRPr="00DF37C8" w:rsidRDefault="00ED17C0" w:rsidP="00ED17C0"/>
    <w:p w14:paraId="0A353749" w14:textId="241B01A6" w:rsidR="00ED17C0" w:rsidRPr="00CC0F49" w:rsidRDefault="00570735" w:rsidP="00ED17C0">
      <w:pPr>
        <w:rPr>
          <w:lang w:val="fr-FR"/>
        </w:rPr>
      </w:pPr>
      <w:bookmarkStart w:id="0" w:name="_Hlk41336728"/>
      <w:proofErr w:type="spellStart"/>
      <w:r>
        <w:rPr>
          <w:lang w:val="fr-FR"/>
        </w:rPr>
        <w:t>Supplementary</w:t>
      </w:r>
      <w:proofErr w:type="spellEnd"/>
      <w:r>
        <w:rPr>
          <w:lang w:val="fr-FR"/>
        </w:rPr>
        <w:t xml:space="preserve"> </w:t>
      </w:r>
      <w:bookmarkEnd w:id="0"/>
      <w:r w:rsidR="00ED17C0" w:rsidRPr="00DF37C8">
        <w:rPr>
          <w:lang w:val="fr-FR"/>
        </w:rPr>
        <w:t xml:space="preserve">Table </w:t>
      </w:r>
      <w:proofErr w:type="gramStart"/>
      <w:r w:rsidR="00BC285B">
        <w:rPr>
          <w:lang w:val="fr-FR"/>
        </w:rPr>
        <w:t>1</w:t>
      </w:r>
      <w:r w:rsidR="00ED17C0" w:rsidRPr="00DF37C8">
        <w:rPr>
          <w:lang w:val="fr-FR"/>
        </w:rPr>
        <w:t>:</w:t>
      </w:r>
      <w:proofErr w:type="gramEnd"/>
      <w:r w:rsidR="00ED17C0" w:rsidRPr="00CC0F49">
        <w:rPr>
          <w:lang w:val="fr-FR"/>
        </w:rPr>
        <w:t xml:space="preserve"> </w:t>
      </w:r>
      <w:proofErr w:type="spellStart"/>
      <w:r w:rsidR="00ED17C0" w:rsidRPr="00131C3D">
        <w:rPr>
          <w:i/>
          <w:lang w:val="fr-FR"/>
        </w:rPr>
        <w:t>HoNOSI</w:t>
      </w:r>
      <w:proofErr w:type="spellEnd"/>
      <w:r w:rsidR="00ED17C0" w:rsidRPr="00131C3D">
        <w:rPr>
          <w:i/>
          <w:lang w:val="fr-FR"/>
        </w:rPr>
        <w:t xml:space="preserve"> </w:t>
      </w:r>
      <w:proofErr w:type="spellStart"/>
      <w:r w:rsidR="00ED17C0" w:rsidRPr="00131C3D">
        <w:rPr>
          <w:i/>
          <w:lang w:val="fr-FR"/>
        </w:rPr>
        <w:t>Scales</w:t>
      </w:r>
      <w:proofErr w:type="spellEnd"/>
      <w:r w:rsidR="00ED17C0" w:rsidRPr="00131C3D">
        <w:rPr>
          <w:i/>
          <w:lang w:val="fr-FR"/>
        </w:rPr>
        <w:t xml:space="preserve"> </w:t>
      </w:r>
      <w:proofErr w:type="spellStart"/>
      <w:r w:rsidR="00ED17C0" w:rsidRPr="00131C3D">
        <w:rPr>
          <w:i/>
          <w:lang w:val="fr-FR"/>
        </w:rPr>
        <w:t>Intercorrelation</w:t>
      </w:r>
      <w:proofErr w:type="spellEnd"/>
      <w:r w:rsidR="00ED17C0" w:rsidRPr="00131C3D">
        <w:rPr>
          <w:i/>
          <w:lang w:val="fr-FR"/>
        </w:rPr>
        <w:t xml:space="preserve"> Matrix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26"/>
      </w:tblGrid>
      <w:tr w:rsidR="00ED17C0" w14:paraId="14472A76" w14:textId="77777777" w:rsidTr="00F44908">
        <w:tc>
          <w:tcPr>
            <w:tcW w:w="9016" w:type="dxa"/>
          </w:tcPr>
          <w:tbl>
            <w:tblPr>
              <w:tblpPr w:leftFromText="180" w:rightFromText="180" w:vertAnchor="text" w:tblpY="-1416"/>
              <w:tblW w:w="9071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29"/>
              <w:gridCol w:w="459"/>
              <w:gridCol w:w="460"/>
              <w:gridCol w:w="459"/>
              <w:gridCol w:w="460"/>
              <w:gridCol w:w="459"/>
              <w:gridCol w:w="458"/>
              <w:gridCol w:w="459"/>
              <w:gridCol w:w="459"/>
              <w:gridCol w:w="458"/>
              <w:gridCol w:w="459"/>
              <w:gridCol w:w="458"/>
              <w:gridCol w:w="459"/>
              <w:gridCol w:w="459"/>
              <w:gridCol w:w="458"/>
              <w:gridCol w:w="459"/>
              <w:gridCol w:w="459"/>
            </w:tblGrid>
            <w:tr w:rsidR="00ED17C0" w:rsidRPr="00010799" w14:paraId="1CEE58E3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FFFFFF"/>
                  <w:vAlign w:val="bottom"/>
                </w:tcPr>
                <w:p w14:paraId="3696A6DD" w14:textId="77777777" w:rsidR="00ED17C0" w:rsidRPr="00B72AD7" w:rsidRDefault="00ED17C0" w:rsidP="00F44908">
                  <w:pPr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  <w:lang w:val="fr-FR"/>
                    </w:rPr>
                  </w:pPr>
                </w:p>
                <w:p w14:paraId="4C8C40BB" w14:textId="77777777" w:rsidR="00ED17C0" w:rsidRPr="00B72AD7" w:rsidRDefault="00ED17C0" w:rsidP="00F44908">
                  <w:pPr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  <w:lang w:val="fr-FR"/>
                    </w:rPr>
                  </w:pPr>
                </w:p>
                <w:p w14:paraId="3B9C149C" w14:textId="77777777" w:rsidR="00ED17C0" w:rsidRPr="00010799" w:rsidRDefault="00ED17C0" w:rsidP="00F44908">
                  <w:pPr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 xml:space="preserve">Spearman's rho Correlation Coefficient </w:t>
                  </w:r>
                </w:p>
                <w:p w14:paraId="6DCF73DE" w14:textId="77777777" w:rsidR="00ED17C0" w:rsidRPr="00010799" w:rsidRDefault="00ED17C0" w:rsidP="00F44908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textDirection w:val="btLr"/>
                  <w:vAlign w:val="center"/>
                </w:tcPr>
                <w:p w14:paraId="4A9D0BA0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05D3DC42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2</w:t>
                  </w:r>
                </w:p>
              </w:tc>
              <w:tc>
                <w:tcPr>
                  <w:tcW w:w="460" w:type="dxa"/>
                  <w:shd w:val="clear" w:color="auto" w:fill="FFFFFF"/>
                  <w:textDirection w:val="btLr"/>
                  <w:vAlign w:val="center"/>
                </w:tcPr>
                <w:p w14:paraId="2BB58F5E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3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6F49D63F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4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7EAD2B90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5</w:t>
                  </w:r>
                </w:p>
              </w:tc>
              <w:tc>
                <w:tcPr>
                  <w:tcW w:w="460" w:type="dxa"/>
                  <w:shd w:val="clear" w:color="auto" w:fill="FFFFFF"/>
                  <w:textDirection w:val="btLr"/>
                  <w:vAlign w:val="center"/>
                </w:tcPr>
                <w:p w14:paraId="546D3D1B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6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7DCE1025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7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654E4563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8</w:t>
                  </w:r>
                </w:p>
              </w:tc>
              <w:tc>
                <w:tcPr>
                  <w:tcW w:w="460" w:type="dxa"/>
                  <w:shd w:val="clear" w:color="auto" w:fill="FFFFFF"/>
                  <w:textDirection w:val="btLr"/>
                  <w:vAlign w:val="center"/>
                </w:tcPr>
                <w:p w14:paraId="06C8E12D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9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637338A3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10</w:t>
                  </w:r>
                </w:p>
              </w:tc>
              <w:tc>
                <w:tcPr>
                  <w:tcW w:w="460" w:type="dxa"/>
                  <w:shd w:val="clear" w:color="auto" w:fill="FFFFFF"/>
                  <w:textDirection w:val="btLr"/>
                  <w:vAlign w:val="center"/>
                </w:tcPr>
                <w:p w14:paraId="5650B562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11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714B4737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12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6FF80848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13</w:t>
                  </w:r>
                </w:p>
              </w:tc>
              <w:tc>
                <w:tcPr>
                  <w:tcW w:w="460" w:type="dxa"/>
                  <w:shd w:val="clear" w:color="auto" w:fill="FFFFFF"/>
                  <w:textDirection w:val="btLr"/>
                  <w:vAlign w:val="center"/>
                </w:tcPr>
                <w:p w14:paraId="1962A360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14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78225F08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15</w:t>
                  </w:r>
                </w:p>
              </w:tc>
              <w:tc>
                <w:tcPr>
                  <w:tcW w:w="461" w:type="dxa"/>
                  <w:shd w:val="clear" w:color="auto" w:fill="FFFFFF"/>
                  <w:textDirection w:val="btLr"/>
                  <w:vAlign w:val="center"/>
                </w:tcPr>
                <w:p w14:paraId="59A4A8D8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HoNOSI Total</w:t>
                  </w:r>
                </w:p>
              </w:tc>
            </w:tr>
            <w:tr w:rsidR="00ED17C0" w:rsidRPr="00010799" w14:paraId="1C524FBC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7ED4BDF3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1: Problems with disruptive behaviour/irritability/under controlled emotional regulation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2880A0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7F5F7B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22D691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325A55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64502D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08A3B0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2078EB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6FA5F5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0E285F2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DD821A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78F06F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50BE82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4D634F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8BB2A9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F5EDA6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4ED3D3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4DD504D7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1CC9903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2: Problems with activity levels, joint and/or sustained attention</w:t>
                  </w:r>
                </w:p>
              </w:tc>
              <w:tc>
                <w:tcPr>
                  <w:tcW w:w="460" w:type="dxa"/>
                  <w:shd w:val="clear" w:color="auto" w:fill="70AD47" w:themeFill="accent6"/>
                  <w:vAlign w:val="center"/>
                </w:tcPr>
                <w:p w14:paraId="7BAECBF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.541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BD4E80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1D722A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55911B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50AA54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6472726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59C81D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02DB81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64FC6A4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2850AE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0500A1E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44FEE2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970938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ED88CD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49F018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30B269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075C1DD9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0027819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3: Non accidental self-injury or lack of self-protective behaviours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06A3AE1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.413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05A643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.453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6C3CBF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073991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DC4FE9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966DA2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9CB6C4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C05810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A350F2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0939B9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79C5E2A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795DE5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B80759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A2D147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E7668C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F9D79F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7AD9A871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73F1B4B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4: Problems with feeding and eating behaviour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AAEDB1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.303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118296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.275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2F2F2" w:themeFill="background1" w:themeFillShade="F2"/>
                  <w:vAlign w:val="center"/>
                </w:tcPr>
                <w:p w14:paraId="56F9D7D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.118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9D966F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450A74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52DADC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46F749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2D9B16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476CA3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C38F3C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FEDEC6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593A2C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BD7B6C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D8CDDD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028701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A61893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5106EA5A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0B1FFEC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5: Problems with developmental delays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657CBD6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.440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D7BE8D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.483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5A0960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.213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CA8C2F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.272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14B721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663B9D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ADD216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0576FD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056A7C0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124C1C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A29DF3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364C2C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B9133E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C81A03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3ECB37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AAD2F9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309A5467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1159514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6: Problems with physical illness or disability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A8F7DF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.222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DE1160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.340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2F2F2" w:themeFill="background1" w:themeFillShade="F2"/>
                  <w:vAlign w:val="center"/>
                </w:tcPr>
                <w:p w14:paraId="1F179A9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.184</w:t>
                  </w:r>
                </w:p>
              </w:tc>
              <w:tc>
                <w:tcPr>
                  <w:tcW w:w="461" w:type="dxa"/>
                  <w:shd w:val="clear" w:color="auto" w:fill="F2F2F2" w:themeFill="background1" w:themeFillShade="F2"/>
                  <w:vAlign w:val="center"/>
                </w:tcPr>
                <w:p w14:paraId="67931AC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.116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1762DE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.253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7DCC2EA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D26321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D5CF84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2AD4D5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D7C565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06087A9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E53641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033CEE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E943F4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84BF00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4439AE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25C4D2B8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2BA4CE0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7: Problems associated with regulation and integration of sensory processing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6C7FED5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.391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2C1929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.319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721EFF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.304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C00B92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.314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2CB911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.319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6688FDB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.363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07AF6D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85CF61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158C11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4F4842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37F464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4B7F7C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0A9229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3A02B5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2AC26B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155059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109147E0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0AD4944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8:Problems associated with sleep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849C49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.489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6108537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.527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776B7F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.229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407BB63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.513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509A2F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.277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DBD887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.249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B281F0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.270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D3C4B4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D20D1E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F21BFC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CC7BB0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55E746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3A5499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6706324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3C4902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6DA523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34DB52D4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307F16D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9:Problems with emotional and related symptoms or over-controlled emotional regulation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69B43D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.452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5D8668D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.559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0871FDB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.422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81F32F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.288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FF4081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.406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FE882E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.257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25F2924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.519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5E2E77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.416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CD69E1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07CAF3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A5B251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5AB38E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4B2C35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8FBEC9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3B13C5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164D8B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01B134FE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5D05612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10: Problems with social reciprocity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26C588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.337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018DF51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.568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E001AF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.220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5185F7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.416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313FBD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.463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0B1B1F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.235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C04129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.402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348F80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.432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70AD47" w:themeFill="accent6"/>
                  <w:vAlign w:val="center"/>
                </w:tcPr>
                <w:p w14:paraId="415F021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.614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4E05AB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E04EBF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DDCE8F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EE18F0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E3947A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67F97E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7F373E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6127E8F5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064A94D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lastRenderedPageBreak/>
                    <w:t>Scale 11: Problems with age appropriate self-care and environmental exploration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763DE30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.359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F3ADD2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.464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043ABB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.216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F1E5C7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.193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ACD75A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.305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72670C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.266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8C0C96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.435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2F2F2" w:themeFill="background1" w:themeFillShade="F2"/>
                  <w:vAlign w:val="center"/>
                </w:tcPr>
                <w:p w14:paraId="56FC133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.155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F7B17A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.428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50472B3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.559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552F7F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AFF7DA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684F92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656A2D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4B1AD8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F5B005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309F6DF0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5320EE6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12: Problems with family life and relationships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16782E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.343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B1566F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.381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F1C723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.304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156894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.250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1FDE9A0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.349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2F2F2" w:themeFill="background1" w:themeFillShade="F2"/>
                  <w:vAlign w:val="center"/>
                </w:tcPr>
                <w:p w14:paraId="39C7E1F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.119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434E8B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.324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CD0BDD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.331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70AD47" w:themeFill="accent6"/>
                  <w:vAlign w:val="center"/>
                </w:tcPr>
                <w:p w14:paraId="2F0F1F7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.514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23713E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.416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604B3C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.207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D70DDB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DF7615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065E43F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96209C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11E408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49DC953D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6F496ED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13: Problems with attending care, education and socialisation settings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6F2D57E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.319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993708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.401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6850928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.288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2F2F2" w:themeFill="background1" w:themeFillShade="F2"/>
                  <w:vAlign w:val="center"/>
                </w:tcPr>
                <w:p w14:paraId="76123AA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.116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346205C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.369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2F851BD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.230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089811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.294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62AFAF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.267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9EBCAB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.316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5CCFCF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.361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412515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.284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DC6A7B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.370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91C9A5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49595E9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48F553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9C446C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688EC6AE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2E56278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14: Problems with knowledge or understanding about the nature of the infant’s difficulties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A37C5E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.470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08B10B6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.573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0B0F8DB8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.341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EBC85C3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.338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164735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.387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5A9A0D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.235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78CB9A4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.368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CBA9860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.455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7D7485D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.471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A40A48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.496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1CF5049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.427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7EBE198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.611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DE72A5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.481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0850FA3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59CE8C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F9BD6D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6C2DF19A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4868FEB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Scale 15: Problems with lack of information, understanding about services, or managing the infant’s difficulties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7F0095D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.382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5481070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.551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74F7CB71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.323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144B2D2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.215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38D1D6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.240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77AD963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.199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969873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.404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0760A5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.413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70AD47" w:themeFill="accent6"/>
                  <w:vAlign w:val="center"/>
                </w:tcPr>
                <w:p w14:paraId="0B77D45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.520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F1A0FE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.436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75E10C3F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.361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70AD47" w:themeFill="accent6"/>
                  <w:vAlign w:val="center"/>
                </w:tcPr>
                <w:p w14:paraId="559FCC5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.510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E6EFE65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.388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70AD47" w:themeFill="accent6"/>
                  <w:vAlign w:val="center"/>
                </w:tcPr>
                <w:p w14:paraId="33224BE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.706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45C67CE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AB2E5F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</w:p>
              </w:tc>
            </w:tr>
            <w:tr w:rsidR="00ED17C0" w:rsidRPr="00010799" w14:paraId="70059142" w14:textId="77777777" w:rsidTr="00F44908">
              <w:trPr>
                <w:cantSplit/>
                <w:trHeight w:val="805"/>
              </w:trPr>
              <w:tc>
                <w:tcPr>
                  <w:tcW w:w="1701" w:type="dxa"/>
                  <w:shd w:val="clear" w:color="auto" w:fill="E0E0E0"/>
                  <w:vAlign w:val="center"/>
                </w:tcPr>
                <w:p w14:paraId="399A80DB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</w:pPr>
                  <w:r w:rsidRPr="00010799">
                    <w:rPr>
                      <w:rFonts w:ascii="Arial" w:hAnsi="Arial" w:cs="Arial"/>
                      <w:color w:val="264A60"/>
                      <w:sz w:val="14"/>
                      <w:szCs w:val="14"/>
                    </w:rPr>
                    <w:t>HoNOSI Total Scale 1-13</w:t>
                  </w:r>
                </w:p>
              </w:tc>
              <w:tc>
                <w:tcPr>
                  <w:tcW w:w="460" w:type="dxa"/>
                  <w:shd w:val="clear" w:color="auto" w:fill="FFFF00"/>
                  <w:vAlign w:val="center"/>
                </w:tcPr>
                <w:p w14:paraId="774E183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.694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00"/>
                  <w:vAlign w:val="center"/>
                </w:tcPr>
                <w:p w14:paraId="0A03DAD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.769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50EF0A1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.468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7D63506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.534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00"/>
                  <w:vAlign w:val="center"/>
                </w:tcPr>
                <w:p w14:paraId="66113C4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.641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3E42C2D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.399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223A8C47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.593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00"/>
                  <w:vAlign w:val="center"/>
                </w:tcPr>
                <w:p w14:paraId="3B243A2A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.651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00"/>
                  <w:vAlign w:val="center"/>
                </w:tcPr>
                <w:p w14:paraId="77D823D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.771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00"/>
                  <w:vAlign w:val="center"/>
                </w:tcPr>
                <w:p w14:paraId="39E3CCFE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.743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FF"/>
                  <w:vAlign w:val="center"/>
                </w:tcPr>
                <w:p w14:paraId="733BF6A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.567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5E7332D9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.586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04728D2C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.545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0" w:type="dxa"/>
                  <w:shd w:val="clear" w:color="auto" w:fill="FFFF00"/>
                  <w:vAlign w:val="center"/>
                </w:tcPr>
                <w:p w14:paraId="399E7866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.690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00"/>
                  <w:vAlign w:val="center"/>
                </w:tcPr>
                <w:p w14:paraId="0F7DA95D" w14:textId="77777777" w:rsidR="00ED17C0" w:rsidRPr="00010799" w:rsidRDefault="00ED17C0" w:rsidP="00F44908">
                  <w:pPr>
                    <w:ind w:left="60" w:right="60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.601</w:t>
                  </w: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  <w:vertAlign w:val="superscript"/>
                    </w:rPr>
                    <w:t>**</w:t>
                  </w:r>
                </w:p>
              </w:tc>
              <w:tc>
                <w:tcPr>
                  <w:tcW w:w="461" w:type="dxa"/>
                  <w:shd w:val="clear" w:color="auto" w:fill="FFFFFF"/>
                  <w:vAlign w:val="center"/>
                </w:tcPr>
                <w:p w14:paraId="62D71320" w14:textId="77777777" w:rsidR="00ED17C0" w:rsidRPr="00010799" w:rsidRDefault="00ED17C0" w:rsidP="00F44908">
                  <w:pPr>
                    <w:ind w:left="62" w:right="62"/>
                    <w:jc w:val="center"/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</w:pPr>
                  <w:r w:rsidRPr="00010799">
                    <w:rPr>
                      <w:rFonts w:ascii="Arial" w:hAnsi="Arial" w:cs="Arial"/>
                      <w:color w:val="010205"/>
                      <w:sz w:val="12"/>
                      <w:szCs w:val="12"/>
                    </w:rPr>
                    <w:t>1.000</w:t>
                  </w:r>
                </w:p>
              </w:tc>
            </w:tr>
          </w:tbl>
          <w:p w14:paraId="20A27AA1" w14:textId="77777777" w:rsidR="00ED17C0" w:rsidRDefault="00ED17C0" w:rsidP="00F44908"/>
        </w:tc>
      </w:tr>
    </w:tbl>
    <w:p w14:paraId="0934BEA5" w14:textId="77777777" w:rsidR="00ED17C0" w:rsidRPr="007B7369" w:rsidRDefault="00ED17C0" w:rsidP="00ED17C0">
      <w:pPr>
        <w:rPr>
          <w:rFonts w:ascii="Arial" w:hAnsi="Arial" w:cs="Arial"/>
          <w:color w:val="010205"/>
          <w:sz w:val="14"/>
          <w:szCs w:val="14"/>
        </w:rPr>
      </w:pPr>
      <w:r w:rsidRPr="007B7369">
        <w:rPr>
          <w:rFonts w:ascii="Arial" w:hAnsi="Arial" w:cs="Arial"/>
          <w:color w:val="010205"/>
          <w:sz w:val="14"/>
          <w:szCs w:val="14"/>
        </w:rPr>
        <w:lastRenderedPageBreak/>
        <w:t>**. Correlation is significant at the 0.01 level (2-tailed)</w:t>
      </w:r>
    </w:p>
    <w:p w14:paraId="4782883F" w14:textId="77777777" w:rsidR="00ED17C0" w:rsidRPr="007B7369" w:rsidRDefault="00ED17C0" w:rsidP="00ED17C0">
      <w:pPr>
        <w:rPr>
          <w:rFonts w:ascii="Arial" w:hAnsi="Arial" w:cs="Arial"/>
          <w:color w:val="010205"/>
          <w:sz w:val="14"/>
          <w:szCs w:val="14"/>
        </w:rPr>
      </w:pPr>
      <w:r w:rsidRPr="007B7369">
        <w:rPr>
          <w:rFonts w:ascii="Arial" w:hAnsi="Arial" w:cs="Arial"/>
          <w:color w:val="010205"/>
          <w:sz w:val="14"/>
          <w:szCs w:val="14"/>
        </w:rPr>
        <w:t>*. Correlation is significant at the 0.05 level (2-tailed)</w:t>
      </w:r>
    </w:p>
    <w:p w14:paraId="75B1BD96" w14:textId="77777777" w:rsidR="00ED17C0" w:rsidRDefault="00ED17C0" w:rsidP="00ED17C0"/>
    <w:p w14:paraId="3EC3287E" w14:textId="77777777" w:rsidR="00ED17C0" w:rsidRPr="000D1759" w:rsidRDefault="00ED17C0" w:rsidP="00ED17C0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57353C90" w14:textId="77777777" w:rsidR="00CF272E" w:rsidRDefault="00CF272E"/>
    <w:sectPr w:rsidR="00CF27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C0"/>
    <w:rsid w:val="0027198B"/>
    <w:rsid w:val="00570735"/>
    <w:rsid w:val="005A2370"/>
    <w:rsid w:val="007C678B"/>
    <w:rsid w:val="00BC285B"/>
    <w:rsid w:val="00CF272E"/>
    <w:rsid w:val="00ED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71D52"/>
  <w15:chartTrackingRefBased/>
  <w15:docId w15:val="{8DD8C42E-C90B-4EB2-9175-6751BC9F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1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Culjak</dc:creator>
  <cp:keywords/>
  <dc:description/>
  <cp:lastModifiedBy>Annalisa Welch</cp:lastModifiedBy>
  <cp:revision>2</cp:revision>
  <dcterms:created xsi:type="dcterms:W3CDTF">2021-06-07T12:40:00Z</dcterms:created>
  <dcterms:modified xsi:type="dcterms:W3CDTF">2021-06-07T12:40:00Z</dcterms:modified>
</cp:coreProperties>
</file>