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B5" w:rsidRDefault="00334954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Annexes (Supplementary material)</w:t>
      </w:r>
    </w:p>
    <w:tbl>
      <w:tblPr>
        <w:tblStyle w:val="a"/>
        <w:tblW w:w="8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7"/>
        <w:gridCol w:w="1216"/>
        <w:gridCol w:w="1907"/>
        <w:gridCol w:w="1737"/>
        <w:gridCol w:w="1738"/>
      </w:tblGrid>
      <w:tr w:rsidR="00767EB5">
        <w:tc>
          <w:tcPr>
            <w:tcW w:w="49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7EB5" w:rsidRDefault="00767EB5" w:rsidP="003349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Year</w:t>
            </w:r>
          </w:p>
        </w:tc>
      </w:tr>
      <w:tr w:rsidR="00767EB5">
        <w:tc>
          <w:tcPr>
            <w:tcW w:w="49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single" w:sz="8" w:space="0" w:color="00000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2019</w:t>
            </w:r>
          </w:p>
        </w:tc>
        <w:tc>
          <w:tcPr>
            <w:tcW w:w="17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2020</w:t>
            </w:r>
          </w:p>
        </w:tc>
      </w:tr>
      <w:tr w:rsidR="00767EB5">
        <w:tc>
          <w:tcPr>
            <w:tcW w:w="184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Date of admission</w:t>
            </w:r>
          </w:p>
        </w:tc>
        <w:tc>
          <w:tcPr>
            <w:tcW w:w="121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March</w:t>
            </w:r>
          </w:p>
        </w:tc>
        <w:tc>
          <w:tcPr>
            <w:tcW w:w="190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37" w:type="dxa"/>
            <w:tcBorders>
              <w:top w:val="single" w:sz="8" w:space="0" w:color="152935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108</w:t>
            </w:r>
          </w:p>
        </w:tc>
        <w:tc>
          <w:tcPr>
            <w:tcW w:w="17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58</w:t>
            </w:r>
          </w:p>
        </w:tc>
      </w:tr>
      <w:tr w:rsidR="00767EB5">
        <w:tc>
          <w:tcPr>
            <w:tcW w:w="184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37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26.9%</w:t>
            </w:r>
          </w:p>
        </w:tc>
        <w:tc>
          <w:tcPr>
            <w:tcW w:w="173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16.6%</w:t>
            </w:r>
          </w:p>
        </w:tc>
      </w:tr>
      <w:tr w:rsidR="00767EB5">
        <w:tc>
          <w:tcPr>
            <w:tcW w:w="184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April</w:t>
            </w:r>
          </w:p>
        </w:tc>
        <w:tc>
          <w:tcPr>
            <w:tcW w:w="190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37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134</w:t>
            </w:r>
          </w:p>
        </w:tc>
        <w:tc>
          <w:tcPr>
            <w:tcW w:w="17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98</w:t>
            </w:r>
          </w:p>
        </w:tc>
      </w:tr>
      <w:tr w:rsidR="00767EB5">
        <w:tc>
          <w:tcPr>
            <w:tcW w:w="184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37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33.4%</w:t>
            </w:r>
          </w:p>
        </w:tc>
        <w:tc>
          <w:tcPr>
            <w:tcW w:w="173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28.0%</w:t>
            </w:r>
          </w:p>
        </w:tc>
      </w:tr>
      <w:tr w:rsidR="00767EB5">
        <w:tc>
          <w:tcPr>
            <w:tcW w:w="184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May</w:t>
            </w:r>
          </w:p>
        </w:tc>
        <w:tc>
          <w:tcPr>
            <w:tcW w:w="190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37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135</w:t>
            </w:r>
          </w:p>
        </w:tc>
        <w:tc>
          <w:tcPr>
            <w:tcW w:w="17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174</w:t>
            </w:r>
          </w:p>
        </w:tc>
      </w:tr>
      <w:tr w:rsidR="00767EB5">
        <w:tc>
          <w:tcPr>
            <w:tcW w:w="184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37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33.7%</w:t>
            </w:r>
          </w:p>
        </w:tc>
        <w:tc>
          <w:tcPr>
            <w:tcW w:w="173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49.7%</w:t>
            </w:r>
          </w:p>
        </w:tc>
      </w:tr>
      <w:tr w:rsidR="00767EB5">
        <w:tc>
          <w:tcPr>
            <w:tcW w:w="184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June</w:t>
            </w:r>
          </w:p>
        </w:tc>
        <w:tc>
          <w:tcPr>
            <w:tcW w:w="190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37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24</w:t>
            </w:r>
          </w:p>
        </w:tc>
        <w:tc>
          <w:tcPr>
            <w:tcW w:w="17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20</w:t>
            </w:r>
          </w:p>
        </w:tc>
      </w:tr>
      <w:tr w:rsidR="00767EB5">
        <w:tc>
          <w:tcPr>
            <w:tcW w:w="184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000000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37" w:type="dxa"/>
            <w:tcBorders>
              <w:top w:val="single" w:sz="8" w:space="0" w:color="AEAEAE"/>
              <w:left w:val="single" w:sz="8" w:space="0" w:color="00000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6.0%</w:t>
            </w:r>
          </w:p>
        </w:tc>
        <w:tc>
          <w:tcPr>
            <w:tcW w:w="17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5.7%</w:t>
            </w:r>
          </w:p>
        </w:tc>
      </w:tr>
      <w:tr w:rsidR="00767EB5">
        <w:tc>
          <w:tcPr>
            <w:tcW w:w="3063" w:type="dxa"/>
            <w:gridSpan w:val="2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Total</w:t>
            </w:r>
          </w:p>
        </w:tc>
        <w:tc>
          <w:tcPr>
            <w:tcW w:w="190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37" w:type="dxa"/>
            <w:tcBorders>
              <w:top w:val="single" w:sz="8" w:space="0" w:color="152935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401</w:t>
            </w:r>
          </w:p>
        </w:tc>
        <w:tc>
          <w:tcPr>
            <w:tcW w:w="17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350</w:t>
            </w:r>
          </w:p>
        </w:tc>
      </w:tr>
      <w:tr w:rsidR="00767EB5">
        <w:tc>
          <w:tcPr>
            <w:tcW w:w="3063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000000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37" w:type="dxa"/>
            <w:tcBorders>
              <w:top w:val="single" w:sz="8" w:space="0" w:color="AEAEAE"/>
              <w:left w:val="single" w:sz="8" w:space="0" w:color="00000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100.0%</w:t>
            </w:r>
          </w:p>
        </w:tc>
        <w:tc>
          <w:tcPr>
            <w:tcW w:w="17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100.0%</w:t>
            </w:r>
          </w:p>
        </w:tc>
      </w:tr>
    </w:tbl>
    <w:p w:rsidR="00767EB5" w:rsidRDefault="00334954">
      <w:pPr>
        <w:spacing w:before="120"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(3) = 22.573, p &lt; 0.001</w:t>
      </w:r>
    </w:p>
    <w:p w:rsidR="00767EB5" w:rsidRDefault="00767EB5">
      <w:pPr>
        <w:spacing w:before="120"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767EB5" w:rsidRDefault="0033495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Table 1:</w:t>
      </w:r>
      <w:r>
        <w:rPr>
          <w:rFonts w:ascii="Times New Roman" w:eastAsia="Times New Roman" w:hAnsi="Times New Roman" w:cs="Times New Roman"/>
          <w:b/>
        </w:rPr>
        <w:t xml:space="preserve"> Comparison rates of psychiatric admissions to Mount Carmel Hospital between March and June 2019 with the same time period in 2020.</w:t>
      </w:r>
    </w:p>
    <w:p w:rsidR="00334954" w:rsidRDefault="00334954">
      <w:pPr>
        <w:rPr>
          <w:rFonts w:ascii="Times New Roman" w:eastAsia="Times New Roman" w:hAnsi="Times New Roman" w:cs="Times New Roman"/>
          <w:b/>
        </w:rPr>
      </w:pPr>
    </w:p>
    <w:p w:rsidR="00767EB5" w:rsidRDefault="0033495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267325" cy="3705225"/>
            <wp:effectExtent l="0" t="0" r="0" b="0"/>
            <wp:docPr id="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r="1706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0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7EB5" w:rsidRDefault="00334954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u w:val="single"/>
        </w:rPr>
        <w:t>Figure 1:</w:t>
      </w:r>
      <w:r>
        <w:rPr>
          <w:rFonts w:ascii="Times New Roman" w:eastAsia="Times New Roman" w:hAnsi="Times New Roman" w:cs="Times New Roman"/>
          <w:b/>
        </w:rPr>
        <w:t xml:space="preserve"> Total number of admissions to Mount Carmel Hospital occurring between March and June 2019 compared to the same time period in 2020. </w:t>
      </w:r>
      <w:r>
        <w:rPr>
          <w:rFonts w:ascii="Times New Roman" w:eastAsia="Times New Roman" w:hAnsi="Times New Roman" w:cs="Times New Roman"/>
          <w:b/>
          <w:i/>
        </w:rPr>
        <w:t xml:space="preserve">(Date of Admission – x-axis </w:t>
      </w:r>
      <w:r>
        <w:rPr>
          <w:rFonts w:ascii="Times New Roman" w:eastAsia="Times New Roman" w:hAnsi="Times New Roman" w:cs="Times New Roman"/>
          <w:b/>
          <w:i/>
          <w:u w:val="single"/>
        </w:rPr>
        <w:t>vs</w:t>
      </w:r>
      <w:r>
        <w:rPr>
          <w:rFonts w:ascii="Times New Roman" w:eastAsia="Times New Roman" w:hAnsi="Times New Roman" w:cs="Times New Roman"/>
          <w:b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Percent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Admissions – y-axis).</w:t>
      </w:r>
    </w:p>
    <w:p w:rsidR="00767EB5" w:rsidRDefault="00767EB5">
      <w:pPr>
        <w:rPr>
          <w:rFonts w:ascii="Times New Roman" w:eastAsia="Times New Roman" w:hAnsi="Times New Roman" w:cs="Times New Roman"/>
          <w:b/>
        </w:rPr>
      </w:pPr>
    </w:p>
    <w:p w:rsidR="00334954" w:rsidRDefault="00334954">
      <w:pPr>
        <w:rPr>
          <w:rFonts w:ascii="Times New Roman" w:eastAsia="Times New Roman" w:hAnsi="Times New Roman" w:cs="Times New Roman"/>
          <w:b/>
        </w:rPr>
      </w:pPr>
    </w:p>
    <w:p w:rsidR="00767EB5" w:rsidRDefault="00767EB5">
      <w:pPr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8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891"/>
        <w:gridCol w:w="1261"/>
        <w:gridCol w:w="1214"/>
        <w:gridCol w:w="1276"/>
        <w:gridCol w:w="1701"/>
      </w:tblGrid>
      <w:tr w:rsidR="00767EB5" w:rsidTr="00970548">
        <w:tc>
          <w:tcPr>
            <w:tcW w:w="38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7EB5" w:rsidRDefault="00767EB5" w:rsidP="0033495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Year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Total</w:t>
            </w:r>
          </w:p>
        </w:tc>
      </w:tr>
      <w:tr w:rsidR="00767EB5" w:rsidTr="00970548">
        <w:tc>
          <w:tcPr>
            <w:tcW w:w="38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00000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000000"/>
            </w:tcBorders>
            <w:shd w:val="clear" w:color="auto" w:fill="FFFFFF"/>
            <w:vAlign w:val="bottom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2020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</w:p>
        </w:tc>
      </w:tr>
      <w:tr w:rsidR="00767EB5" w:rsidTr="00970548"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Age</w:t>
            </w:r>
          </w:p>
        </w:tc>
        <w:tc>
          <w:tcPr>
            <w:tcW w:w="189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40 years or less</w:t>
            </w:r>
          </w:p>
        </w:tc>
        <w:tc>
          <w:tcPr>
            <w:tcW w:w="126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214" w:type="dxa"/>
            <w:tcBorders>
              <w:top w:val="single" w:sz="8" w:space="0" w:color="152935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224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000000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176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8" w:space="0" w:color="000000"/>
              <w:bottom w:val="single" w:sz="8" w:space="0" w:color="AEAEAE"/>
              <w:right w:val="nil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400</w:t>
            </w:r>
          </w:p>
        </w:tc>
      </w:tr>
      <w:tr w:rsidR="00767EB5" w:rsidTr="00970548"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57.0%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000000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50.3%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8" w:space="0" w:color="000000"/>
              <w:bottom w:val="nil"/>
              <w:right w:val="nil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53.8%</w:t>
            </w:r>
          </w:p>
        </w:tc>
      </w:tr>
      <w:tr w:rsidR="00767EB5" w:rsidTr="00970548"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41-60 years</w:t>
            </w:r>
          </w:p>
        </w:tc>
        <w:tc>
          <w:tcPr>
            <w:tcW w:w="126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124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000000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115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nil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239</w:t>
            </w:r>
          </w:p>
        </w:tc>
      </w:tr>
      <w:tr w:rsidR="00767EB5" w:rsidTr="00970548"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31.6%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000000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32.9%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8" w:space="0" w:color="000000"/>
              <w:bottom w:val="nil"/>
              <w:right w:val="nil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32.2%</w:t>
            </w:r>
          </w:p>
        </w:tc>
      </w:tr>
      <w:tr w:rsidR="00767EB5" w:rsidTr="00970548"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More than 60 years</w:t>
            </w:r>
          </w:p>
        </w:tc>
        <w:tc>
          <w:tcPr>
            <w:tcW w:w="126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000000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nil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104</w:t>
            </w:r>
          </w:p>
        </w:tc>
      </w:tr>
      <w:tr w:rsidR="00767EB5" w:rsidTr="00970548"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000000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00000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11.5%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000000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16.9%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8" w:space="0" w:color="000000"/>
              <w:bottom w:val="single" w:sz="8" w:space="0" w:color="152935"/>
              <w:right w:val="nil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14.0%</w:t>
            </w:r>
          </w:p>
        </w:tc>
      </w:tr>
      <w:tr w:rsidR="00767EB5" w:rsidTr="00970548">
        <w:tc>
          <w:tcPr>
            <w:tcW w:w="2628" w:type="dxa"/>
            <w:gridSpan w:val="2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Total</w:t>
            </w:r>
          </w:p>
        </w:tc>
        <w:tc>
          <w:tcPr>
            <w:tcW w:w="126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214" w:type="dxa"/>
            <w:tcBorders>
              <w:top w:val="single" w:sz="8" w:space="0" w:color="152935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393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000000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8" w:space="0" w:color="000000"/>
              <w:bottom w:val="single" w:sz="8" w:space="0" w:color="AEAEAE"/>
              <w:right w:val="nil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743</w:t>
            </w:r>
          </w:p>
        </w:tc>
      </w:tr>
      <w:tr w:rsidR="00767EB5" w:rsidTr="00970548">
        <w:tc>
          <w:tcPr>
            <w:tcW w:w="2628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334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000000"/>
            </w:tcBorders>
            <w:shd w:val="clear" w:color="auto" w:fill="E0E0E0"/>
          </w:tcPr>
          <w:p w:rsidR="00767EB5" w:rsidRDefault="00334954" w:rsidP="00334954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00000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100.0%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000000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100.0%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8" w:space="0" w:color="000000"/>
              <w:bottom w:val="single" w:sz="8" w:space="0" w:color="152935"/>
              <w:right w:val="nil"/>
            </w:tcBorders>
            <w:shd w:val="clear" w:color="auto" w:fill="F9F9FB"/>
          </w:tcPr>
          <w:p w:rsidR="00767EB5" w:rsidRDefault="00334954" w:rsidP="00334954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100.0%</w:t>
            </w:r>
          </w:p>
        </w:tc>
      </w:tr>
    </w:tbl>
    <w:p w:rsidR="00767EB5" w:rsidRDefault="00334954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(2) = 5.513, p = 0.063</w:t>
      </w:r>
    </w:p>
    <w:p w:rsidR="00767EB5" w:rsidRDefault="0033495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Table 2:</w:t>
      </w:r>
      <w:r>
        <w:rPr>
          <w:rFonts w:ascii="Times New Roman" w:eastAsia="Times New Roman" w:hAnsi="Times New Roman" w:cs="Times New Roman"/>
          <w:b/>
        </w:rPr>
        <w:t xml:space="preserve"> Comparison rates of age groups in admissions occurring between March and June 2019 with the same time period in 2020.</w:t>
      </w:r>
    </w:p>
    <w:tbl>
      <w:tblPr>
        <w:tblStyle w:val="a1"/>
        <w:tblW w:w="8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2"/>
        <w:gridCol w:w="1844"/>
        <w:gridCol w:w="1875"/>
        <w:gridCol w:w="1752"/>
        <w:gridCol w:w="1752"/>
      </w:tblGrid>
      <w:tr w:rsidR="00767EB5">
        <w:tc>
          <w:tcPr>
            <w:tcW w:w="46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7EB5" w:rsidRDefault="00767EB5" w:rsidP="00726E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Year</w:t>
            </w:r>
          </w:p>
        </w:tc>
      </w:tr>
      <w:tr w:rsidR="00767EB5">
        <w:tc>
          <w:tcPr>
            <w:tcW w:w="46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2019</w:t>
            </w:r>
          </w:p>
        </w:tc>
        <w:tc>
          <w:tcPr>
            <w:tcW w:w="175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2020</w:t>
            </w:r>
          </w:p>
        </w:tc>
      </w:tr>
      <w:tr w:rsidR="00767EB5">
        <w:tc>
          <w:tcPr>
            <w:tcW w:w="92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Gender</w:t>
            </w:r>
          </w:p>
        </w:tc>
        <w:tc>
          <w:tcPr>
            <w:tcW w:w="184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Female</w:t>
            </w:r>
          </w:p>
        </w:tc>
        <w:tc>
          <w:tcPr>
            <w:tcW w:w="18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52" w:type="dxa"/>
            <w:tcBorders>
              <w:top w:val="single" w:sz="8" w:space="0" w:color="152935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116</w:t>
            </w:r>
          </w:p>
        </w:tc>
        <w:tc>
          <w:tcPr>
            <w:tcW w:w="17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140</w:t>
            </w:r>
          </w:p>
        </w:tc>
      </w:tr>
      <w:tr w:rsidR="00767EB5">
        <w:tc>
          <w:tcPr>
            <w:tcW w:w="92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28.9%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40.0%</w:t>
            </w:r>
          </w:p>
        </w:tc>
      </w:tr>
      <w:tr w:rsidR="00767EB5">
        <w:tc>
          <w:tcPr>
            <w:tcW w:w="92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Male</w:t>
            </w:r>
          </w:p>
        </w:tc>
        <w:tc>
          <w:tcPr>
            <w:tcW w:w="18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285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210</w:t>
            </w:r>
          </w:p>
        </w:tc>
      </w:tr>
      <w:tr w:rsidR="00767EB5">
        <w:tc>
          <w:tcPr>
            <w:tcW w:w="92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8" w:space="0" w:color="00000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71.1%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60.0%</w:t>
            </w:r>
          </w:p>
        </w:tc>
      </w:tr>
      <w:tr w:rsidR="00767EB5">
        <w:tc>
          <w:tcPr>
            <w:tcW w:w="2766" w:type="dxa"/>
            <w:gridSpan w:val="2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Total</w:t>
            </w:r>
          </w:p>
        </w:tc>
        <w:tc>
          <w:tcPr>
            <w:tcW w:w="18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52" w:type="dxa"/>
            <w:tcBorders>
              <w:top w:val="single" w:sz="8" w:space="0" w:color="152935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401</w:t>
            </w:r>
          </w:p>
        </w:tc>
        <w:tc>
          <w:tcPr>
            <w:tcW w:w="17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350</w:t>
            </w:r>
          </w:p>
        </w:tc>
      </w:tr>
      <w:tr w:rsidR="00767EB5">
        <w:tc>
          <w:tcPr>
            <w:tcW w:w="2766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8" w:space="0" w:color="00000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100.0%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100.0%</w:t>
            </w:r>
          </w:p>
        </w:tc>
      </w:tr>
    </w:tbl>
    <w:p w:rsidR="00767EB5" w:rsidRDefault="00334954">
      <w:pPr>
        <w:spacing w:before="120"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(1) = 10.197, p &lt; 0.001</w:t>
      </w:r>
    </w:p>
    <w:p w:rsidR="00767EB5" w:rsidRDefault="0033495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Table 3:</w:t>
      </w:r>
      <w:r>
        <w:rPr>
          <w:rFonts w:ascii="Times New Roman" w:eastAsia="Times New Roman" w:hAnsi="Times New Roman" w:cs="Times New Roman"/>
          <w:b/>
        </w:rPr>
        <w:t xml:space="preserve"> Comparison rates of gender differences in admissions occurring between March and June 2019 with the same time period in 2020.</w:t>
      </w:r>
    </w:p>
    <w:p w:rsidR="00334954" w:rsidRDefault="0033495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34954" w:rsidRDefault="0033495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67EB5" w:rsidRDefault="0033495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05070" cy="3521710"/>
            <wp:effectExtent l="9525" t="9525" r="9525" b="9525"/>
            <wp:docPr id="2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r="16109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352171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67EB5" w:rsidRDefault="00334954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u w:val="single"/>
        </w:rPr>
        <w:t>Figure 2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Comparison rates of gender differences in admissions occurring between March and June 2019 with the same time period in 2020.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</w:rPr>
        <w:t>Gender (x-axis) vs. Percentage admissions (y-axis).</w:t>
      </w:r>
      <w:proofErr w:type="gramEnd"/>
    </w:p>
    <w:tbl>
      <w:tblPr>
        <w:tblStyle w:val="a9"/>
        <w:tblW w:w="7290" w:type="dxa"/>
        <w:jc w:val="center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790"/>
        <w:gridCol w:w="1500"/>
        <w:gridCol w:w="1500"/>
      </w:tblGrid>
      <w:tr w:rsidR="007D6EF2" w:rsidRPr="007D6EF2" w:rsidTr="00183CD2">
        <w:trPr>
          <w:trHeight w:val="20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b/>
                <w:color w:val="264A60"/>
                <w:sz w:val="20"/>
                <w:szCs w:val="20"/>
              </w:rPr>
              <w:t>Year</w:t>
            </w:r>
          </w:p>
        </w:tc>
      </w:tr>
      <w:tr w:rsidR="007D6EF2" w:rsidRPr="007D6EF2" w:rsidTr="00183CD2">
        <w:trPr>
          <w:trHeight w:val="20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b/>
                <w:color w:val="264A60"/>
                <w:sz w:val="20"/>
                <w:szCs w:val="20"/>
              </w:rPr>
              <w:t>2019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b/>
                <w:color w:val="264A60"/>
                <w:sz w:val="20"/>
                <w:szCs w:val="20"/>
              </w:rPr>
              <w:t>2020</w:t>
            </w:r>
          </w:p>
        </w:tc>
      </w:tr>
      <w:tr w:rsidR="007D6EF2" w:rsidRPr="007D6EF2" w:rsidTr="00183CD2">
        <w:trPr>
          <w:trHeight w:val="20"/>
          <w:jc w:val="center"/>
        </w:trPr>
        <w:tc>
          <w:tcPr>
            <w:tcW w:w="429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number of patients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b/>
                <w:color w:val="264A60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b/>
                <w:color w:val="264A60"/>
                <w:sz w:val="20"/>
                <w:szCs w:val="20"/>
              </w:rPr>
              <w:t>22</w:t>
            </w:r>
          </w:p>
        </w:tc>
      </w:tr>
      <w:tr w:rsidR="007D6EF2" w:rsidRPr="007D6EF2" w:rsidTr="00183CD2">
        <w:trPr>
          <w:trHeight w:val="20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0-40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EF2" w:rsidRPr="007D6EF2" w:rsidTr="00183CD2">
        <w:trPr>
          <w:trHeight w:val="20"/>
          <w:jc w:val="center"/>
        </w:trPr>
        <w:tc>
          <w:tcPr>
            <w:tcW w:w="1500" w:type="dxa"/>
            <w:vMerge/>
            <w:tcBorders>
              <w:top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F2" w:rsidRPr="007D6EF2" w:rsidRDefault="007D6EF2" w:rsidP="007D6EF2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41-60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6EF2" w:rsidRPr="007D6EF2" w:rsidTr="00183CD2">
        <w:trPr>
          <w:trHeight w:val="20"/>
          <w:jc w:val="center"/>
        </w:trPr>
        <w:tc>
          <w:tcPr>
            <w:tcW w:w="1500" w:type="dxa"/>
            <w:vMerge/>
            <w:tcBorders>
              <w:top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F2" w:rsidRPr="007D6EF2" w:rsidRDefault="007D6EF2" w:rsidP="007D6EF2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&gt;60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D6EF2" w:rsidRPr="007D6EF2" w:rsidTr="00183CD2">
        <w:trPr>
          <w:trHeight w:val="20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Male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D6EF2" w:rsidRPr="007D6EF2" w:rsidTr="00183CD2">
        <w:trPr>
          <w:trHeight w:val="20"/>
          <w:jc w:val="center"/>
        </w:trPr>
        <w:tc>
          <w:tcPr>
            <w:tcW w:w="1500" w:type="dxa"/>
            <w:vMerge/>
            <w:tcBorders>
              <w:top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F2" w:rsidRPr="007D6EF2" w:rsidRDefault="007D6EF2" w:rsidP="007D6EF2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Female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D6EF2" w:rsidRPr="007D6EF2" w:rsidTr="00183CD2">
        <w:trPr>
          <w:trHeight w:val="20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Original Place of Stay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Mount Carmel Hospital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D6EF2" w:rsidRPr="007D6EF2" w:rsidTr="00183CD2">
        <w:trPr>
          <w:trHeight w:val="20"/>
          <w:jc w:val="center"/>
        </w:trPr>
        <w:tc>
          <w:tcPr>
            <w:tcW w:w="1500" w:type="dxa"/>
            <w:vMerge/>
            <w:tcBorders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F2" w:rsidRPr="007D6EF2" w:rsidRDefault="007D6EF2" w:rsidP="007D6EF2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Community Home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6EF2" w:rsidRPr="007D6EF2" w:rsidTr="00183CD2">
        <w:trPr>
          <w:trHeight w:val="20"/>
          <w:jc w:val="center"/>
        </w:trPr>
        <w:tc>
          <w:tcPr>
            <w:tcW w:w="1500" w:type="dxa"/>
            <w:vMerge/>
            <w:tcBorders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F2" w:rsidRPr="007D6EF2" w:rsidRDefault="007D6EF2" w:rsidP="007D6EF2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Private residence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6EF2" w:rsidRPr="007D6EF2" w:rsidTr="00183CD2">
        <w:trPr>
          <w:trHeight w:val="20"/>
          <w:jc w:val="center"/>
        </w:trPr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Psychiatric diagnosis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Bipolar Disorder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6EF2" w:rsidRPr="007D6EF2" w:rsidTr="00183CD2">
        <w:trPr>
          <w:trHeight w:val="20"/>
          <w:jc w:val="center"/>
        </w:trPr>
        <w:tc>
          <w:tcPr>
            <w:tcW w:w="1500" w:type="dxa"/>
            <w:vMerge/>
            <w:tcBorders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F2" w:rsidRPr="007D6EF2" w:rsidRDefault="007D6EF2" w:rsidP="007D6EF2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Dementia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6EF2" w:rsidRPr="007D6EF2" w:rsidTr="00183CD2">
        <w:trPr>
          <w:trHeight w:val="20"/>
          <w:jc w:val="center"/>
        </w:trPr>
        <w:tc>
          <w:tcPr>
            <w:tcW w:w="1500" w:type="dxa"/>
            <w:vMerge/>
            <w:tcBorders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F2" w:rsidRPr="007D6EF2" w:rsidRDefault="007D6EF2" w:rsidP="007D6EF2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Depression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6EF2" w:rsidRPr="007D6EF2" w:rsidTr="00183CD2">
        <w:trPr>
          <w:trHeight w:val="20"/>
          <w:jc w:val="center"/>
        </w:trPr>
        <w:tc>
          <w:tcPr>
            <w:tcW w:w="1500" w:type="dxa"/>
            <w:vMerge/>
            <w:tcBorders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F2" w:rsidRPr="007D6EF2" w:rsidRDefault="007D6EF2" w:rsidP="007D6EF2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Huntington's Disease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6EF2" w:rsidRPr="007D6EF2" w:rsidTr="00183CD2">
        <w:trPr>
          <w:trHeight w:val="20"/>
          <w:jc w:val="center"/>
        </w:trPr>
        <w:tc>
          <w:tcPr>
            <w:tcW w:w="1500" w:type="dxa"/>
            <w:vMerge/>
            <w:tcBorders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F2" w:rsidRPr="007D6EF2" w:rsidRDefault="007D6EF2" w:rsidP="007D6EF2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Learning Disability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6EF2" w:rsidRPr="007D6EF2" w:rsidTr="00183CD2">
        <w:trPr>
          <w:trHeight w:val="20"/>
          <w:jc w:val="center"/>
        </w:trPr>
        <w:tc>
          <w:tcPr>
            <w:tcW w:w="1500" w:type="dxa"/>
            <w:vMerge/>
            <w:tcBorders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EF2" w:rsidRPr="007D6EF2" w:rsidRDefault="007D6EF2" w:rsidP="007D6EF2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Schizophrenia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6EF2" w:rsidRPr="007D6EF2" w:rsidTr="00183CD2">
        <w:trPr>
          <w:trHeight w:val="20"/>
          <w:jc w:val="center"/>
        </w:trPr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Discharge location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Mount Carmel Hospital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D6EF2" w:rsidRPr="007D6EF2" w:rsidTr="00183CD2">
        <w:trPr>
          <w:trHeight w:val="20"/>
          <w:jc w:val="center"/>
        </w:trPr>
        <w:tc>
          <w:tcPr>
            <w:tcW w:w="1500" w:type="dxa"/>
            <w:vMerge/>
            <w:tcBorders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EF2" w:rsidRPr="007D6EF2" w:rsidRDefault="007D6EF2" w:rsidP="007D6EF2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Long-term care facility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6EF2" w:rsidRPr="007D6EF2" w:rsidRDefault="007D6EF2" w:rsidP="007D6EF2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D6E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7D6EF2" w:rsidRDefault="007D6EF2" w:rsidP="007D6EF2">
      <w:pPr>
        <w:spacing w:line="276" w:lineRule="auto"/>
        <w:rPr>
          <w:rFonts w:ascii="Times New Roman" w:eastAsia="Times New Roman" w:hAnsi="Times New Roman" w:cs="Times New Roman"/>
          <w:b/>
          <w:u w:val="single"/>
        </w:rPr>
      </w:pPr>
    </w:p>
    <w:p w:rsidR="007D6EF2" w:rsidRDefault="007D6EF2" w:rsidP="007D6EF2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Table 4:</w:t>
      </w:r>
      <w:r>
        <w:rPr>
          <w:rFonts w:ascii="Times New Roman" w:eastAsia="Times New Roman" w:hAnsi="Times New Roman" w:cs="Times New Roman"/>
          <w:b/>
        </w:rPr>
        <w:t xml:space="preserve"> Comparison details of long-term patients admitted to Mount Carmel Hospital between 2019 and 2020, containing demographic details, original place of stay, </w:t>
      </w:r>
      <w:proofErr w:type="gramStart"/>
      <w:r w:rsidR="00183CD2">
        <w:rPr>
          <w:rFonts w:ascii="Times New Roman" w:eastAsia="Times New Roman" w:hAnsi="Times New Roman" w:cs="Times New Roman"/>
          <w:b/>
        </w:rPr>
        <w:t>primary</w:t>
      </w:r>
      <w:proofErr w:type="gramEnd"/>
      <w:r w:rsidR="00183CD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psychiatric diagnosis and discharge location by the end of the study period.</w:t>
      </w:r>
    </w:p>
    <w:p w:rsidR="007D6EF2" w:rsidRDefault="007D6EF2" w:rsidP="007D6EF2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4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9"/>
        <w:gridCol w:w="2273"/>
        <w:gridCol w:w="1260"/>
        <w:gridCol w:w="1794"/>
        <w:gridCol w:w="1794"/>
      </w:tblGrid>
      <w:tr w:rsidR="007D6EF2" w:rsidTr="007D6EF2">
        <w:tc>
          <w:tcPr>
            <w:tcW w:w="50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D6EF2" w:rsidRDefault="007D6EF2" w:rsidP="007D6E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Year</w:t>
            </w:r>
          </w:p>
        </w:tc>
      </w:tr>
      <w:tr w:rsidR="007D6EF2" w:rsidTr="007D6EF2">
        <w:tc>
          <w:tcPr>
            <w:tcW w:w="50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May 2019</w:t>
            </w:r>
          </w:p>
        </w:tc>
        <w:tc>
          <w:tcPr>
            <w:tcW w:w="179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May 2020</w:t>
            </w:r>
          </w:p>
        </w:tc>
      </w:tr>
      <w:tr w:rsidR="007D6EF2" w:rsidTr="007D6EF2">
        <w:tc>
          <w:tcPr>
            <w:tcW w:w="151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Primary Mental Health Diagnosis</w:t>
            </w:r>
          </w:p>
        </w:tc>
        <w:tc>
          <w:tcPr>
            <w:tcW w:w="227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Alcohol Use Disorder</w:t>
            </w:r>
          </w:p>
        </w:tc>
        <w:tc>
          <w:tcPr>
            <w:tcW w:w="126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94" w:type="dxa"/>
            <w:tcBorders>
              <w:top w:val="single" w:sz="8" w:space="0" w:color="152935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8</w:t>
            </w:r>
          </w:p>
        </w:tc>
        <w:tc>
          <w:tcPr>
            <w:tcW w:w="17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6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6.2%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3.4%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Anxiety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6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6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4.7%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3.4%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Long-term patient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11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1.6%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6.3%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Depression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15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7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11.6%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4.0%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DSH/Suicidal Ideation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23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44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17.8%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25.3%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Mania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6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2.3%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3.4%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Psychosis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20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36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15.5%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20.7%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Substance Use Disorder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26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25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20.2%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14.4%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Suicide attempt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9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16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7.0%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9.2%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Other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17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17</w:t>
            </w:r>
          </w:p>
        </w:tc>
      </w:tr>
      <w:tr w:rsidR="007D6EF2" w:rsidTr="007D6EF2">
        <w:tc>
          <w:tcPr>
            <w:tcW w:w="15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13.2%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9.8%</w:t>
            </w:r>
          </w:p>
        </w:tc>
      </w:tr>
      <w:tr w:rsidR="007D6EF2" w:rsidTr="007D6EF2">
        <w:tc>
          <w:tcPr>
            <w:tcW w:w="3792" w:type="dxa"/>
            <w:gridSpan w:val="2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794" w:type="dxa"/>
            <w:tcBorders>
              <w:top w:val="single" w:sz="8" w:space="0" w:color="152935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129</w:t>
            </w:r>
          </w:p>
        </w:tc>
        <w:tc>
          <w:tcPr>
            <w:tcW w:w="17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174</w:t>
            </w:r>
          </w:p>
        </w:tc>
      </w:tr>
      <w:tr w:rsidR="007D6EF2" w:rsidTr="007D6EF2">
        <w:tc>
          <w:tcPr>
            <w:tcW w:w="3792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6EF2" w:rsidRDefault="007D6EF2" w:rsidP="007D6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000000"/>
            </w:tcBorders>
            <w:shd w:val="clear" w:color="auto" w:fill="E0E0E0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00000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100.0%</w:t>
            </w:r>
          </w:p>
        </w:tc>
        <w:tc>
          <w:tcPr>
            <w:tcW w:w="17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D6EF2" w:rsidRDefault="007D6EF2" w:rsidP="007D6EF2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100.0%</w:t>
            </w:r>
          </w:p>
        </w:tc>
      </w:tr>
    </w:tbl>
    <w:p w:rsidR="007D6EF2" w:rsidRDefault="007D6EF2" w:rsidP="007D6EF2">
      <w:pPr>
        <w:spacing w:before="60"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(9) = 17.256, p = 0.045</w:t>
      </w:r>
    </w:p>
    <w:p w:rsidR="007D6EF2" w:rsidRDefault="007D6EF2" w:rsidP="007D6E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u w:val="single"/>
        </w:rPr>
        <w:t>Table 5:</w:t>
      </w:r>
      <w:r>
        <w:rPr>
          <w:rFonts w:ascii="Times New Roman" w:eastAsia="Times New Roman" w:hAnsi="Times New Roman" w:cs="Times New Roman"/>
          <w:b/>
        </w:rPr>
        <w:t xml:space="preserve"> Comparison rates of the primary mental health diagnosis that necessitated an admission specifically between May 2019 and May 2020.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DSH = Deliberate Self-harm.</w:t>
      </w:r>
    </w:p>
    <w:p w:rsidR="007D6EF2" w:rsidRDefault="007D6EF2" w:rsidP="007D6EF2">
      <w:pP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2"/>
        <w:tblW w:w="8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1553"/>
        <w:gridCol w:w="1262"/>
        <w:gridCol w:w="1508"/>
        <w:gridCol w:w="1509"/>
        <w:gridCol w:w="1277"/>
      </w:tblGrid>
      <w:tr w:rsidR="00767EB5" w:rsidTr="00183CD2">
        <w:trPr>
          <w:trHeight w:val="283"/>
        </w:trPr>
        <w:tc>
          <w:tcPr>
            <w:tcW w:w="40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7EB5" w:rsidRDefault="007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Year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Total</w:t>
            </w:r>
          </w:p>
        </w:tc>
      </w:tr>
      <w:tr w:rsidR="00767EB5" w:rsidTr="00183CD2">
        <w:trPr>
          <w:trHeight w:val="283"/>
        </w:trPr>
        <w:tc>
          <w:tcPr>
            <w:tcW w:w="40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7EB5" w:rsidRDefault="0076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2019</w:t>
            </w:r>
          </w:p>
        </w:tc>
        <w:tc>
          <w:tcPr>
            <w:tcW w:w="15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000000"/>
            </w:tcBorders>
            <w:shd w:val="clear" w:color="auto" w:fill="FFFFFF"/>
            <w:vAlign w:val="bottom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2020</w:t>
            </w:r>
          </w:p>
        </w:tc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7EB5" w:rsidRDefault="0076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</w:p>
        </w:tc>
      </w:tr>
      <w:tr w:rsidR="00767EB5" w:rsidTr="00183CD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MHA Status</w:t>
            </w:r>
          </w:p>
        </w:tc>
        <w:tc>
          <w:tcPr>
            <w:tcW w:w="155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MHA sectioned</w:t>
            </w:r>
          </w:p>
        </w:tc>
        <w:tc>
          <w:tcPr>
            <w:tcW w:w="12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508" w:type="dxa"/>
            <w:tcBorders>
              <w:top w:val="single" w:sz="8" w:space="0" w:color="152935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102</w:t>
            </w:r>
          </w:p>
        </w:tc>
        <w:tc>
          <w:tcPr>
            <w:tcW w:w="15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000000"/>
            </w:tcBorders>
            <w:shd w:val="clear" w:color="auto" w:fill="FFFFFF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117</w:t>
            </w:r>
          </w:p>
        </w:tc>
        <w:tc>
          <w:tcPr>
            <w:tcW w:w="1277" w:type="dxa"/>
            <w:tcBorders>
              <w:top w:val="single" w:sz="8" w:space="0" w:color="152935"/>
              <w:left w:val="single" w:sz="8" w:space="0" w:color="00000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219</w:t>
            </w:r>
          </w:p>
        </w:tc>
      </w:tr>
      <w:tr w:rsidR="00767EB5" w:rsidTr="00183CD2">
        <w:trPr>
          <w:trHeight w:val="283"/>
        </w:trPr>
        <w:tc>
          <w:tcPr>
            <w:tcW w:w="126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508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27.5%</w:t>
            </w:r>
          </w:p>
        </w:tc>
        <w:tc>
          <w:tcPr>
            <w:tcW w:w="15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000000"/>
            </w:tcBorders>
            <w:shd w:val="clear" w:color="auto" w:fill="FFFFFF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35.2%</w:t>
            </w:r>
          </w:p>
        </w:tc>
        <w:tc>
          <w:tcPr>
            <w:tcW w:w="1277" w:type="dxa"/>
            <w:tcBorders>
              <w:top w:val="single" w:sz="8" w:space="0" w:color="AEAEAE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31.2%</w:t>
            </w:r>
          </w:p>
        </w:tc>
      </w:tr>
      <w:tr w:rsidR="00767EB5" w:rsidTr="00183CD2">
        <w:trPr>
          <w:trHeight w:val="283"/>
        </w:trPr>
        <w:tc>
          <w:tcPr>
            <w:tcW w:w="126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Voluntary</w:t>
            </w:r>
          </w:p>
        </w:tc>
        <w:tc>
          <w:tcPr>
            <w:tcW w:w="12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508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269</w:t>
            </w:r>
          </w:p>
        </w:tc>
        <w:tc>
          <w:tcPr>
            <w:tcW w:w="15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000000"/>
            </w:tcBorders>
            <w:shd w:val="clear" w:color="auto" w:fill="FFFFFF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215</w:t>
            </w:r>
          </w:p>
        </w:tc>
        <w:tc>
          <w:tcPr>
            <w:tcW w:w="1277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484</w:t>
            </w:r>
          </w:p>
        </w:tc>
      </w:tr>
      <w:tr w:rsidR="00767EB5" w:rsidTr="00183CD2">
        <w:trPr>
          <w:trHeight w:val="283"/>
        </w:trPr>
        <w:tc>
          <w:tcPr>
            <w:tcW w:w="126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000000"/>
            </w:tcBorders>
            <w:shd w:val="clear" w:color="auto" w:fill="E0E0E0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508" w:type="dxa"/>
            <w:tcBorders>
              <w:top w:val="single" w:sz="8" w:space="0" w:color="AEAEAE"/>
              <w:left w:val="single" w:sz="8" w:space="0" w:color="00000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72.5%</w:t>
            </w:r>
          </w:p>
        </w:tc>
        <w:tc>
          <w:tcPr>
            <w:tcW w:w="15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000000"/>
            </w:tcBorders>
            <w:shd w:val="clear" w:color="auto" w:fill="FFFFFF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64.8%</w:t>
            </w:r>
          </w:p>
        </w:tc>
        <w:tc>
          <w:tcPr>
            <w:tcW w:w="1277" w:type="dxa"/>
            <w:tcBorders>
              <w:top w:val="single" w:sz="8" w:space="0" w:color="AEAEAE"/>
              <w:left w:val="single" w:sz="8" w:space="0" w:color="000000"/>
              <w:bottom w:val="single" w:sz="8" w:space="0" w:color="152935"/>
              <w:right w:val="nil"/>
            </w:tcBorders>
            <w:shd w:val="clear" w:color="auto" w:fill="FFFFFF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68.8%</w:t>
            </w:r>
          </w:p>
        </w:tc>
      </w:tr>
      <w:tr w:rsidR="00767EB5" w:rsidTr="00183CD2">
        <w:trPr>
          <w:trHeight w:val="283"/>
        </w:trPr>
        <w:tc>
          <w:tcPr>
            <w:tcW w:w="2814" w:type="dxa"/>
            <w:gridSpan w:val="2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Total</w:t>
            </w:r>
          </w:p>
        </w:tc>
        <w:tc>
          <w:tcPr>
            <w:tcW w:w="12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508" w:type="dxa"/>
            <w:tcBorders>
              <w:top w:val="single" w:sz="8" w:space="0" w:color="152935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371</w:t>
            </w:r>
          </w:p>
        </w:tc>
        <w:tc>
          <w:tcPr>
            <w:tcW w:w="15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000000"/>
            </w:tcBorders>
            <w:shd w:val="clear" w:color="auto" w:fill="FFFFFF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332</w:t>
            </w:r>
          </w:p>
        </w:tc>
        <w:tc>
          <w:tcPr>
            <w:tcW w:w="1277" w:type="dxa"/>
            <w:tcBorders>
              <w:top w:val="single" w:sz="8" w:space="0" w:color="152935"/>
              <w:left w:val="single" w:sz="8" w:space="0" w:color="00000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703</w:t>
            </w:r>
          </w:p>
        </w:tc>
      </w:tr>
      <w:tr w:rsidR="00767EB5" w:rsidTr="00183CD2">
        <w:trPr>
          <w:trHeight w:val="283"/>
        </w:trPr>
        <w:tc>
          <w:tcPr>
            <w:tcW w:w="2814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000000"/>
            </w:tcBorders>
            <w:shd w:val="clear" w:color="auto" w:fill="E0E0E0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508" w:type="dxa"/>
            <w:tcBorders>
              <w:top w:val="single" w:sz="8" w:space="0" w:color="AEAEAE"/>
              <w:left w:val="single" w:sz="8" w:space="0" w:color="00000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100.0%</w:t>
            </w:r>
          </w:p>
        </w:tc>
        <w:tc>
          <w:tcPr>
            <w:tcW w:w="15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000000"/>
            </w:tcBorders>
            <w:shd w:val="clear" w:color="auto" w:fill="FFFFFF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100.0%</w:t>
            </w:r>
          </w:p>
        </w:tc>
        <w:tc>
          <w:tcPr>
            <w:tcW w:w="1277" w:type="dxa"/>
            <w:tcBorders>
              <w:top w:val="single" w:sz="8" w:space="0" w:color="AEAEAE"/>
              <w:left w:val="single" w:sz="8" w:space="0" w:color="000000"/>
              <w:bottom w:val="single" w:sz="8" w:space="0" w:color="152935"/>
              <w:right w:val="nil"/>
            </w:tcBorders>
            <w:shd w:val="clear" w:color="auto" w:fill="FFFFFF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100.0%</w:t>
            </w:r>
          </w:p>
        </w:tc>
      </w:tr>
    </w:tbl>
    <w:p w:rsidR="00767EB5" w:rsidRDefault="00334954">
      <w:pPr>
        <w:spacing w:before="60"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(1) = 4.904, p = 0.027</w:t>
      </w:r>
    </w:p>
    <w:p w:rsidR="00767EB5" w:rsidRDefault="007D6E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Table 6</w:t>
      </w:r>
      <w:r w:rsidR="00334954">
        <w:rPr>
          <w:rFonts w:ascii="Times New Roman" w:eastAsia="Times New Roman" w:hAnsi="Times New Roman" w:cs="Times New Roman"/>
          <w:b/>
          <w:u w:val="single"/>
        </w:rPr>
        <w:t>:</w:t>
      </w:r>
      <w:r w:rsidR="00334954">
        <w:rPr>
          <w:rFonts w:ascii="Times New Roman" w:eastAsia="Times New Roman" w:hAnsi="Times New Roman" w:cs="Times New Roman"/>
          <w:b/>
        </w:rPr>
        <w:t xml:space="preserve"> Comparison rates of the Mental Health Act status of admissions occurring between March and June 2019 with the same time period in 2020. </w:t>
      </w:r>
      <w:r w:rsidR="00334954">
        <w:rPr>
          <w:rFonts w:ascii="Times New Roman" w:eastAsia="Times New Roman" w:hAnsi="Times New Roman" w:cs="Times New Roman"/>
          <w:i/>
          <w:sz w:val="18"/>
          <w:szCs w:val="18"/>
        </w:rPr>
        <w:t>MHA = Mental Health Act</w:t>
      </w:r>
    </w:p>
    <w:p w:rsidR="00767EB5" w:rsidRDefault="00767EB5">
      <w:pPr>
        <w:jc w:val="center"/>
        <w:rPr>
          <w:rFonts w:ascii="Times New Roman" w:eastAsia="Times New Roman" w:hAnsi="Times New Roman" w:cs="Times New Roman"/>
        </w:rPr>
      </w:pPr>
    </w:p>
    <w:p w:rsidR="00767EB5" w:rsidRDefault="0033495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00600" cy="3248025"/>
            <wp:effectExtent l="19050" t="19050" r="19050" b="28575"/>
            <wp:docPr id="1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r="15471"/>
                    <a:stretch>
                      <a:fillRect/>
                    </a:stretch>
                  </pic:blipFill>
                  <pic:spPr>
                    <a:xfrm>
                      <a:off x="0" y="0"/>
                      <a:ext cx="4797141" cy="324568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67EB5" w:rsidRDefault="00334954" w:rsidP="007D6EF2">
      <w:pPr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u w:val="single"/>
        </w:rPr>
        <w:t>Figure 3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 xml:space="preserve">Comparison rates of the Mental Health Act status of admissions occurring between March and June 2019 with the same time period in 2020. </w:t>
      </w:r>
      <w:r>
        <w:rPr>
          <w:rFonts w:ascii="Times New Roman" w:eastAsia="Times New Roman" w:hAnsi="Times New Roman" w:cs="Times New Roman"/>
          <w:b/>
          <w:i/>
        </w:rPr>
        <w:t>MHA Status (x-axis) vs. Percentage admissions (y-axis).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MHA = Mental Health Act</w:t>
      </w:r>
      <w:r w:rsidR="00726EC3"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726EC3" w:rsidRDefault="00726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7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904"/>
        <w:gridCol w:w="1429"/>
        <w:gridCol w:w="1521"/>
        <w:gridCol w:w="1352"/>
      </w:tblGrid>
      <w:tr w:rsidR="00767EB5" w:rsidTr="00183CD2">
        <w:trPr>
          <w:trHeight w:val="283"/>
        </w:trPr>
        <w:tc>
          <w:tcPr>
            <w:tcW w:w="47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7EB5" w:rsidRDefault="00767EB5" w:rsidP="00726E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Year</w:t>
            </w:r>
          </w:p>
        </w:tc>
      </w:tr>
      <w:tr w:rsidR="00767EB5" w:rsidTr="00183CD2">
        <w:trPr>
          <w:trHeight w:val="283"/>
        </w:trPr>
        <w:tc>
          <w:tcPr>
            <w:tcW w:w="47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2019</w:t>
            </w:r>
          </w:p>
        </w:tc>
        <w:tc>
          <w:tcPr>
            <w:tcW w:w="135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2020</w:t>
            </w:r>
          </w:p>
        </w:tc>
      </w:tr>
      <w:tr w:rsidR="00767EB5" w:rsidTr="00183CD2">
        <w:trPr>
          <w:trHeight w:val="283"/>
        </w:trPr>
        <w:tc>
          <w:tcPr>
            <w:tcW w:w="145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Length of stay (days)</w:t>
            </w:r>
          </w:p>
        </w:tc>
        <w:tc>
          <w:tcPr>
            <w:tcW w:w="190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0-10</w:t>
            </w:r>
          </w:p>
        </w:tc>
        <w:tc>
          <w:tcPr>
            <w:tcW w:w="14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521" w:type="dxa"/>
            <w:tcBorders>
              <w:top w:val="single" w:sz="8" w:space="0" w:color="152935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194</w:t>
            </w:r>
          </w:p>
        </w:tc>
        <w:tc>
          <w:tcPr>
            <w:tcW w:w="13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150</w:t>
            </w:r>
          </w:p>
        </w:tc>
      </w:tr>
      <w:tr w:rsidR="00767EB5" w:rsidTr="00183CD2">
        <w:trPr>
          <w:trHeight w:val="283"/>
        </w:trPr>
        <w:tc>
          <w:tcPr>
            <w:tcW w:w="1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521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50.8%</w:t>
            </w:r>
          </w:p>
        </w:tc>
        <w:tc>
          <w:tcPr>
            <w:tcW w:w="13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49.2%</w:t>
            </w:r>
          </w:p>
        </w:tc>
      </w:tr>
      <w:tr w:rsidR="00767EB5" w:rsidTr="00183CD2">
        <w:trPr>
          <w:trHeight w:val="283"/>
        </w:trPr>
        <w:tc>
          <w:tcPr>
            <w:tcW w:w="1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11-20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521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66</w:t>
            </w:r>
          </w:p>
        </w:tc>
        <w:tc>
          <w:tcPr>
            <w:tcW w:w="13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76</w:t>
            </w:r>
          </w:p>
        </w:tc>
      </w:tr>
      <w:tr w:rsidR="00767EB5" w:rsidTr="00183CD2">
        <w:trPr>
          <w:trHeight w:val="283"/>
        </w:trPr>
        <w:tc>
          <w:tcPr>
            <w:tcW w:w="1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521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17.3%</w:t>
            </w:r>
          </w:p>
        </w:tc>
        <w:tc>
          <w:tcPr>
            <w:tcW w:w="13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24.9%</w:t>
            </w:r>
          </w:p>
        </w:tc>
      </w:tr>
      <w:tr w:rsidR="00767EB5" w:rsidTr="00183CD2">
        <w:trPr>
          <w:trHeight w:val="283"/>
        </w:trPr>
        <w:tc>
          <w:tcPr>
            <w:tcW w:w="1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21-30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521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32</w:t>
            </w:r>
          </w:p>
        </w:tc>
        <w:tc>
          <w:tcPr>
            <w:tcW w:w="13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36</w:t>
            </w:r>
          </w:p>
        </w:tc>
      </w:tr>
      <w:tr w:rsidR="00767EB5" w:rsidTr="00183CD2">
        <w:trPr>
          <w:trHeight w:val="283"/>
        </w:trPr>
        <w:tc>
          <w:tcPr>
            <w:tcW w:w="1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521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8.4%</w:t>
            </w:r>
          </w:p>
        </w:tc>
        <w:tc>
          <w:tcPr>
            <w:tcW w:w="13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11.8%</w:t>
            </w:r>
          </w:p>
        </w:tc>
      </w:tr>
      <w:tr w:rsidR="00767EB5" w:rsidTr="00183CD2">
        <w:trPr>
          <w:trHeight w:val="283"/>
        </w:trPr>
        <w:tc>
          <w:tcPr>
            <w:tcW w:w="1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31-40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521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21</w:t>
            </w:r>
          </w:p>
        </w:tc>
        <w:tc>
          <w:tcPr>
            <w:tcW w:w="13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18</w:t>
            </w:r>
          </w:p>
        </w:tc>
      </w:tr>
      <w:tr w:rsidR="00767EB5" w:rsidTr="00183CD2">
        <w:trPr>
          <w:trHeight w:val="283"/>
        </w:trPr>
        <w:tc>
          <w:tcPr>
            <w:tcW w:w="1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521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5.5%</w:t>
            </w:r>
          </w:p>
        </w:tc>
        <w:tc>
          <w:tcPr>
            <w:tcW w:w="13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5.9%</w:t>
            </w:r>
          </w:p>
        </w:tc>
      </w:tr>
      <w:tr w:rsidR="00767EB5" w:rsidTr="00183CD2">
        <w:trPr>
          <w:trHeight w:val="283"/>
        </w:trPr>
        <w:tc>
          <w:tcPr>
            <w:tcW w:w="1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41-50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521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17</w:t>
            </w:r>
          </w:p>
        </w:tc>
        <w:tc>
          <w:tcPr>
            <w:tcW w:w="13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16</w:t>
            </w:r>
          </w:p>
        </w:tc>
      </w:tr>
      <w:tr w:rsidR="00767EB5" w:rsidTr="00183CD2">
        <w:trPr>
          <w:trHeight w:val="283"/>
        </w:trPr>
        <w:tc>
          <w:tcPr>
            <w:tcW w:w="1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521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4.5%</w:t>
            </w:r>
          </w:p>
        </w:tc>
        <w:tc>
          <w:tcPr>
            <w:tcW w:w="13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5.2%</w:t>
            </w:r>
          </w:p>
        </w:tc>
      </w:tr>
      <w:tr w:rsidR="00767EB5" w:rsidTr="00183CD2">
        <w:trPr>
          <w:trHeight w:val="283"/>
        </w:trPr>
        <w:tc>
          <w:tcPr>
            <w:tcW w:w="1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51-100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521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33</w:t>
            </w:r>
          </w:p>
        </w:tc>
        <w:tc>
          <w:tcPr>
            <w:tcW w:w="13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9</w:t>
            </w:r>
          </w:p>
        </w:tc>
      </w:tr>
      <w:tr w:rsidR="00767EB5" w:rsidTr="00183CD2">
        <w:trPr>
          <w:trHeight w:val="283"/>
        </w:trPr>
        <w:tc>
          <w:tcPr>
            <w:tcW w:w="1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521" w:type="dxa"/>
            <w:tcBorders>
              <w:top w:val="single" w:sz="8" w:space="0" w:color="AEAEAE"/>
              <w:left w:val="single" w:sz="8" w:space="0" w:color="000000"/>
              <w:bottom w:val="nil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8.6%</w:t>
            </w:r>
          </w:p>
        </w:tc>
        <w:tc>
          <w:tcPr>
            <w:tcW w:w="13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3.0%</w:t>
            </w:r>
          </w:p>
        </w:tc>
      </w:tr>
      <w:tr w:rsidR="00767EB5" w:rsidTr="00183CD2">
        <w:trPr>
          <w:trHeight w:val="283"/>
        </w:trPr>
        <w:tc>
          <w:tcPr>
            <w:tcW w:w="1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More than 100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521" w:type="dxa"/>
            <w:tcBorders>
              <w:top w:val="single" w:sz="8" w:space="0" w:color="AEAEAE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19</w:t>
            </w:r>
          </w:p>
        </w:tc>
        <w:tc>
          <w:tcPr>
            <w:tcW w:w="13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0</w:t>
            </w:r>
          </w:p>
        </w:tc>
      </w:tr>
      <w:tr w:rsidR="00767EB5" w:rsidTr="00183CD2">
        <w:trPr>
          <w:trHeight w:val="283"/>
        </w:trPr>
        <w:tc>
          <w:tcPr>
            <w:tcW w:w="1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521" w:type="dxa"/>
            <w:tcBorders>
              <w:top w:val="single" w:sz="8" w:space="0" w:color="AEAEAE"/>
              <w:left w:val="single" w:sz="8" w:space="0" w:color="00000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5.0%</w:t>
            </w:r>
          </w:p>
        </w:tc>
        <w:tc>
          <w:tcPr>
            <w:tcW w:w="13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0.0%</w:t>
            </w:r>
          </w:p>
        </w:tc>
      </w:tr>
      <w:tr w:rsidR="00767EB5" w:rsidTr="00183CD2">
        <w:trPr>
          <w:trHeight w:val="283"/>
        </w:trPr>
        <w:tc>
          <w:tcPr>
            <w:tcW w:w="3363" w:type="dxa"/>
            <w:gridSpan w:val="2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Total</w:t>
            </w:r>
          </w:p>
        </w:tc>
        <w:tc>
          <w:tcPr>
            <w:tcW w:w="14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Count</w:t>
            </w:r>
          </w:p>
        </w:tc>
        <w:tc>
          <w:tcPr>
            <w:tcW w:w="1521" w:type="dxa"/>
            <w:tcBorders>
              <w:top w:val="single" w:sz="8" w:space="0" w:color="152935"/>
              <w:left w:val="single" w:sz="8" w:space="0" w:color="00000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382</w:t>
            </w:r>
          </w:p>
        </w:tc>
        <w:tc>
          <w:tcPr>
            <w:tcW w:w="13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305</w:t>
            </w:r>
          </w:p>
        </w:tc>
      </w:tr>
      <w:tr w:rsidR="00767EB5" w:rsidTr="00183CD2">
        <w:trPr>
          <w:trHeight w:val="283"/>
        </w:trPr>
        <w:tc>
          <w:tcPr>
            <w:tcW w:w="3363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000000"/>
            </w:tcBorders>
            <w:shd w:val="clear" w:color="auto" w:fill="E0E0E0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Percentage</w:t>
            </w:r>
          </w:p>
        </w:tc>
        <w:tc>
          <w:tcPr>
            <w:tcW w:w="1521" w:type="dxa"/>
            <w:tcBorders>
              <w:top w:val="single" w:sz="8" w:space="0" w:color="AEAEAE"/>
              <w:left w:val="single" w:sz="8" w:space="0" w:color="00000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100.0%</w:t>
            </w:r>
          </w:p>
        </w:tc>
        <w:tc>
          <w:tcPr>
            <w:tcW w:w="13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67EB5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100.0%</w:t>
            </w:r>
          </w:p>
        </w:tc>
      </w:tr>
    </w:tbl>
    <w:p w:rsidR="00767EB5" w:rsidRDefault="00334954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(6) = 31.306, p &lt; 0.001</w:t>
      </w:r>
    </w:p>
    <w:p w:rsidR="00726EC3" w:rsidRDefault="00726EC3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67EB5" w:rsidRDefault="007D6E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Table 7</w:t>
      </w:r>
      <w:r w:rsidR="00334954">
        <w:rPr>
          <w:rFonts w:ascii="Times New Roman" w:eastAsia="Times New Roman" w:hAnsi="Times New Roman" w:cs="Times New Roman"/>
          <w:b/>
          <w:u w:val="single"/>
        </w:rPr>
        <w:t>:</w:t>
      </w:r>
      <w:r w:rsidR="00334954">
        <w:rPr>
          <w:rFonts w:ascii="Times New Roman" w:eastAsia="Times New Roman" w:hAnsi="Times New Roman" w:cs="Times New Roman"/>
          <w:b/>
        </w:rPr>
        <w:t xml:space="preserve"> Comparison rates of the total length of stay for admissions occurring between March and June 2019 with the same time period in 2020.</w:t>
      </w:r>
    </w:p>
    <w:p w:rsidR="00767EB5" w:rsidRDefault="00767EB5">
      <w:pPr>
        <w:jc w:val="center"/>
        <w:rPr>
          <w:rFonts w:ascii="Times New Roman" w:eastAsia="Times New Roman" w:hAnsi="Times New Roman" w:cs="Times New Roman"/>
          <w:b/>
        </w:rPr>
      </w:pPr>
    </w:p>
    <w:p w:rsidR="00767EB5" w:rsidRDefault="00334954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45471" cy="3504225"/>
            <wp:effectExtent l="9525" t="9525" r="9525" b="9525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r="16747"/>
                    <a:stretch>
                      <a:fillRect/>
                    </a:stretch>
                  </pic:blipFill>
                  <pic:spPr>
                    <a:xfrm>
                      <a:off x="0" y="0"/>
                      <a:ext cx="4945471" cy="35042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67EB5" w:rsidRDefault="00334954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u w:val="single"/>
        </w:rPr>
        <w:t>Figure 4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 xml:space="preserve">Comparison rates of the total length of stay for admissions occurring between March and June 2019 with the same time period in 2020. </w:t>
      </w:r>
      <w:proofErr w:type="gramStart"/>
      <w:r>
        <w:rPr>
          <w:rFonts w:ascii="Times New Roman" w:eastAsia="Times New Roman" w:hAnsi="Times New Roman" w:cs="Times New Roman"/>
          <w:b/>
          <w:i/>
        </w:rPr>
        <w:t>Length of stay (x-axis) vs. percentage admissions (y-axis).</w:t>
      </w:r>
      <w:proofErr w:type="gramEnd"/>
    </w:p>
    <w:p w:rsidR="00767EB5" w:rsidRDefault="00767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2693"/>
        <w:gridCol w:w="3119"/>
      </w:tblGrid>
      <w:tr w:rsidR="00767EB5" w:rsidRPr="00726EC3" w:rsidTr="00183CD2">
        <w:trPr>
          <w:trHeight w:val="283"/>
        </w:trPr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767EB5" w:rsidRPr="00726EC3" w:rsidRDefault="00767EB5" w:rsidP="00726E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67EB5" w:rsidRPr="00726EC3" w:rsidRDefault="00726EC3" w:rsidP="00726EC3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 xml:space="preserve">    </w:t>
            </w:r>
            <w:r w:rsidR="0061440D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 xml:space="preserve"> </w:t>
            </w:r>
            <w:r w:rsidR="00334954" w:rsidRPr="00726EC3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Year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67EB5" w:rsidRPr="00726EC3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 w:rsidRPr="00726EC3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Statistic</w:t>
            </w:r>
          </w:p>
        </w:tc>
      </w:tr>
      <w:tr w:rsidR="00767EB5" w:rsidRPr="00726EC3" w:rsidTr="00183CD2">
        <w:trPr>
          <w:trHeight w:val="283"/>
        </w:trPr>
        <w:tc>
          <w:tcPr>
            <w:tcW w:w="15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Pr="00726EC3" w:rsidRDefault="00334954" w:rsidP="00726EC3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 w:rsidRPr="00726EC3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Length of stay</w:t>
            </w:r>
          </w:p>
        </w:tc>
        <w:tc>
          <w:tcPr>
            <w:tcW w:w="155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67EB5" w:rsidRPr="00726EC3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 w:rsidRPr="00726EC3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2019</w:t>
            </w:r>
          </w:p>
        </w:tc>
        <w:tc>
          <w:tcPr>
            <w:tcW w:w="269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67EB5" w:rsidRPr="00726EC3" w:rsidRDefault="00D830DE" w:rsidP="00726EC3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 w:rsidRPr="00726EC3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Median</w:t>
            </w:r>
          </w:p>
        </w:tc>
        <w:tc>
          <w:tcPr>
            <w:tcW w:w="311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767EB5" w:rsidRPr="00726EC3" w:rsidRDefault="00D830DE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 w:rsidRPr="00726EC3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10.00</w:t>
            </w:r>
          </w:p>
        </w:tc>
      </w:tr>
      <w:tr w:rsidR="00767EB5" w:rsidRPr="00726EC3" w:rsidTr="00183CD2">
        <w:trPr>
          <w:trHeight w:val="283"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Pr="00726EC3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67EB5" w:rsidRPr="00726EC3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67EB5" w:rsidRPr="00726EC3" w:rsidRDefault="00D830DE" w:rsidP="00726EC3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 w:rsidRPr="00726EC3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Range</w:t>
            </w:r>
          </w:p>
        </w:tc>
        <w:tc>
          <w:tcPr>
            <w:tcW w:w="31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767EB5" w:rsidRPr="00726EC3" w:rsidRDefault="00D830DE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 w:rsidRPr="00726EC3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471.00</w:t>
            </w:r>
          </w:p>
        </w:tc>
      </w:tr>
      <w:tr w:rsidR="00D830DE" w:rsidRPr="00726EC3" w:rsidTr="00183CD2">
        <w:trPr>
          <w:trHeight w:val="283"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830DE" w:rsidRPr="00726EC3" w:rsidRDefault="00D830DE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830DE" w:rsidRPr="00726EC3" w:rsidRDefault="00D830DE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830DE" w:rsidRPr="00726EC3" w:rsidRDefault="00D830DE" w:rsidP="00726EC3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 w:rsidRPr="00726EC3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Interquartile Range</w:t>
            </w:r>
          </w:p>
        </w:tc>
        <w:tc>
          <w:tcPr>
            <w:tcW w:w="31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D830DE" w:rsidRPr="00726EC3" w:rsidRDefault="00D830DE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 w:rsidRPr="00726EC3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25.25</w:t>
            </w:r>
          </w:p>
        </w:tc>
      </w:tr>
      <w:tr w:rsidR="00767EB5" w:rsidRPr="00726EC3" w:rsidTr="00183CD2">
        <w:trPr>
          <w:trHeight w:val="283"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Pr="00726EC3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Pr="00726EC3" w:rsidRDefault="00334954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 w:rsidRPr="00726EC3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2020</w:t>
            </w:r>
          </w:p>
        </w:tc>
        <w:tc>
          <w:tcPr>
            <w:tcW w:w="269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67EB5" w:rsidRPr="00726EC3" w:rsidRDefault="00D830DE" w:rsidP="00726EC3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 w:rsidRPr="00726EC3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Median</w:t>
            </w:r>
          </w:p>
        </w:tc>
        <w:tc>
          <w:tcPr>
            <w:tcW w:w="311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767EB5" w:rsidRPr="00726EC3" w:rsidRDefault="00D830DE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 w:rsidRPr="00726EC3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11.00</w:t>
            </w:r>
          </w:p>
        </w:tc>
      </w:tr>
      <w:tr w:rsidR="00767EB5" w:rsidRPr="00726EC3" w:rsidTr="00183CD2">
        <w:trPr>
          <w:trHeight w:val="283"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Pr="00726EC3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Pr="00726EC3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67EB5" w:rsidRPr="00726EC3" w:rsidRDefault="00D830DE" w:rsidP="00726EC3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 w:rsidRPr="00726EC3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Range</w:t>
            </w:r>
          </w:p>
        </w:tc>
        <w:tc>
          <w:tcPr>
            <w:tcW w:w="31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767EB5" w:rsidRPr="00726EC3" w:rsidRDefault="00D830DE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 w:rsidRPr="00726EC3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96</w:t>
            </w:r>
            <w:r w:rsidR="00334954" w:rsidRPr="00726EC3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.00</w:t>
            </w:r>
          </w:p>
        </w:tc>
      </w:tr>
      <w:tr w:rsidR="00767EB5" w:rsidRPr="00726EC3" w:rsidTr="00183CD2">
        <w:trPr>
          <w:trHeight w:val="283"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Pr="00726EC3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67EB5" w:rsidRPr="00726EC3" w:rsidRDefault="00767EB5" w:rsidP="0072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767EB5" w:rsidRPr="00726EC3" w:rsidRDefault="00D830DE" w:rsidP="00726EC3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 w:rsidRPr="00726EC3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Interquartile Range</w:t>
            </w:r>
          </w:p>
        </w:tc>
        <w:tc>
          <w:tcPr>
            <w:tcW w:w="3119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9F9FB"/>
          </w:tcPr>
          <w:p w:rsidR="00767EB5" w:rsidRPr="00726EC3" w:rsidRDefault="00D830DE" w:rsidP="00726EC3">
            <w:pPr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 w:rsidRPr="00726EC3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</w:t>
            </w:r>
            <w:r w:rsidR="00334954" w:rsidRPr="00726EC3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6.00</w:t>
            </w:r>
          </w:p>
        </w:tc>
      </w:tr>
    </w:tbl>
    <w:p w:rsidR="00767EB5" w:rsidRDefault="007D6EF2">
      <w:pPr>
        <w:spacing w:after="0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  <w:u w:val="single"/>
        </w:rPr>
        <w:t>Table 8</w:t>
      </w:r>
      <w:r w:rsidR="00334954">
        <w:rPr>
          <w:rFonts w:ascii="Times New Roman" w:eastAsia="Times New Roman" w:hAnsi="Times New Roman" w:cs="Times New Roman"/>
          <w:b/>
          <w:u w:val="single"/>
        </w:rPr>
        <w:t>:</w:t>
      </w:r>
      <w:r w:rsidR="00334954">
        <w:rPr>
          <w:rFonts w:ascii="Times New Roman" w:eastAsia="Times New Roman" w:hAnsi="Times New Roman" w:cs="Times New Roman"/>
          <w:b/>
        </w:rPr>
        <w:t xml:space="preserve"> Comparison of the measures of central tendency for 2019 and 2020 hospitalisation duration.</w:t>
      </w:r>
      <w:proofErr w:type="gramEnd"/>
    </w:p>
    <w:p w:rsidR="00D830DE" w:rsidRDefault="00D830DE">
      <w:pPr>
        <w:spacing w:after="0"/>
        <w:rPr>
          <w:rFonts w:ascii="Times New Roman" w:eastAsia="Times New Roman" w:hAnsi="Times New Roman" w:cs="Times New Roman"/>
          <w:b/>
        </w:rPr>
      </w:pPr>
    </w:p>
    <w:p w:rsidR="00767EB5" w:rsidRDefault="00767E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7EB5" w:rsidRDefault="00334954" w:rsidP="00614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91200" cy="3448050"/>
            <wp:effectExtent l="0" t="0" r="0" b="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448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7EB5" w:rsidRDefault="0033495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Figure 5:</w:t>
      </w:r>
      <w:r>
        <w:rPr>
          <w:rFonts w:ascii="Times New Roman" w:eastAsia="Times New Roman" w:hAnsi="Times New Roman" w:cs="Times New Roman"/>
          <w:b/>
        </w:rPr>
        <w:t xml:space="preserve"> Frequency graph of length of stay of hospitalisation (x-axis) vs. frequency admissions in both 2019 and 2020, showing marked right-skewness in distribution.</w:t>
      </w:r>
    </w:p>
    <w:p w:rsidR="00767EB5" w:rsidRDefault="00767EB5">
      <w:pPr>
        <w:rPr>
          <w:rFonts w:ascii="Times New Roman" w:eastAsia="Times New Roman" w:hAnsi="Times New Roman" w:cs="Times New Roman"/>
          <w:b/>
        </w:rPr>
      </w:pPr>
    </w:p>
    <w:p w:rsidR="00726EC3" w:rsidRDefault="00726EC3">
      <w:pPr>
        <w:rPr>
          <w:rFonts w:ascii="Times New Roman" w:eastAsia="Times New Roman" w:hAnsi="Times New Roman" w:cs="Times New Roman"/>
          <w:b/>
        </w:rPr>
      </w:pPr>
    </w:p>
    <w:tbl>
      <w:tblPr>
        <w:tblStyle w:val="a8"/>
        <w:tblW w:w="87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737"/>
        <w:gridCol w:w="1648"/>
        <w:gridCol w:w="1825"/>
        <w:gridCol w:w="1471"/>
        <w:gridCol w:w="1648"/>
      </w:tblGrid>
      <w:tr w:rsidR="00767EB5" w:rsidTr="0061440D">
        <w:trPr>
          <w:jc w:val="center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7EB5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8"/>
                <w:szCs w:val="28"/>
              </w:rPr>
              <w:t>Mann Whitney test</w:t>
            </w:r>
          </w:p>
        </w:tc>
      </w:tr>
      <w:tr w:rsidR="00767EB5" w:rsidRPr="00183CD2" w:rsidTr="00183CD2">
        <w:trPr>
          <w:trHeight w:val="454"/>
          <w:jc w:val="center"/>
        </w:trPr>
        <w:tc>
          <w:tcPr>
            <w:tcW w:w="1460" w:type="dxa"/>
            <w:tcBorders>
              <w:top w:val="nil"/>
              <w:left w:val="nil"/>
              <w:right w:val="nil"/>
            </w:tcBorders>
          </w:tcPr>
          <w:p w:rsidR="00767EB5" w:rsidRPr="00183CD2" w:rsidRDefault="0076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67EB5" w:rsidRPr="00183CD2" w:rsidRDefault="00334954">
            <w:pPr>
              <w:spacing w:after="0"/>
              <w:ind w:left="60" w:right="60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 w:rsidRPr="00183CD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Year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67EB5" w:rsidRPr="00183CD2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 w:rsidRPr="00183CD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Sample size</w:t>
            </w:r>
          </w:p>
        </w:tc>
        <w:tc>
          <w:tcPr>
            <w:tcW w:w="18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67EB5" w:rsidRPr="00183CD2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 w:rsidRPr="00183CD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Median Duration</w:t>
            </w:r>
          </w:p>
        </w:tc>
        <w:tc>
          <w:tcPr>
            <w:tcW w:w="147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67EB5" w:rsidRPr="00183CD2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 w:rsidRPr="00183CD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Range</w:t>
            </w:r>
          </w:p>
        </w:tc>
        <w:tc>
          <w:tcPr>
            <w:tcW w:w="164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67EB5" w:rsidRPr="00183CD2" w:rsidRDefault="00334954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 w:rsidRPr="00183CD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Interquartile Range</w:t>
            </w:r>
          </w:p>
        </w:tc>
      </w:tr>
      <w:tr w:rsidR="00767EB5" w:rsidRPr="00183CD2" w:rsidTr="00183CD2">
        <w:trPr>
          <w:trHeight w:val="454"/>
          <w:jc w:val="center"/>
        </w:trPr>
        <w:tc>
          <w:tcPr>
            <w:tcW w:w="14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vAlign w:val="center"/>
          </w:tcPr>
          <w:p w:rsidR="00767EB5" w:rsidRPr="00183CD2" w:rsidRDefault="00334954" w:rsidP="00183CD2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 w:rsidRPr="00183CD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Length of stay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:rsidR="00767EB5" w:rsidRPr="00183CD2" w:rsidRDefault="00334954" w:rsidP="00183CD2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 w:rsidRPr="00183CD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2019</w:t>
            </w:r>
          </w:p>
        </w:tc>
        <w:tc>
          <w:tcPr>
            <w:tcW w:w="164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767EB5" w:rsidRPr="00183CD2" w:rsidRDefault="00334954" w:rsidP="00183CD2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 w:rsidRPr="00183CD2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382</w:t>
            </w:r>
          </w:p>
        </w:tc>
        <w:tc>
          <w:tcPr>
            <w:tcW w:w="18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767EB5" w:rsidRPr="00183CD2" w:rsidRDefault="00334954" w:rsidP="00183CD2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 w:rsidRPr="00183CD2"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767EB5" w:rsidRPr="00183CD2" w:rsidRDefault="00334954" w:rsidP="00183CD2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 w:rsidRPr="00183CD2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471</w:t>
            </w:r>
          </w:p>
        </w:tc>
        <w:tc>
          <w:tcPr>
            <w:tcW w:w="16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767EB5" w:rsidRPr="00183CD2" w:rsidRDefault="00334954" w:rsidP="00183CD2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 w:rsidRPr="00183CD2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25.25</w:t>
            </w:r>
          </w:p>
        </w:tc>
      </w:tr>
      <w:tr w:rsidR="00767EB5" w:rsidRPr="00183CD2" w:rsidTr="00183CD2">
        <w:trPr>
          <w:trHeight w:val="454"/>
          <w:jc w:val="center"/>
        </w:trPr>
        <w:tc>
          <w:tcPr>
            <w:tcW w:w="1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vAlign w:val="center"/>
          </w:tcPr>
          <w:p w:rsidR="00767EB5" w:rsidRPr="00183CD2" w:rsidRDefault="00767EB5" w:rsidP="00183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vAlign w:val="center"/>
          </w:tcPr>
          <w:p w:rsidR="00767EB5" w:rsidRPr="00183CD2" w:rsidRDefault="00334954" w:rsidP="00183CD2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</w:pPr>
            <w:r w:rsidRPr="00183CD2">
              <w:rPr>
                <w:rFonts w:ascii="Times New Roman" w:eastAsia="Times New Roman" w:hAnsi="Times New Roman" w:cs="Times New Roman"/>
                <w:color w:val="264A60"/>
                <w:sz w:val="20"/>
                <w:szCs w:val="20"/>
              </w:rPr>
              <w:t>2020</w:t>
            </w: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767EB5" w:rsidRPr="00183CD2" w:rsidRDefault="00334954" w:rsidP="00183CD2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 w:rsidRPr="00183CD2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305</w:t>
            </w:r>
          </w:p>
        </w:tc>
        <w:tc>
          <w:tcPr>
            <w:tcW w:w="18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767EB5" w:rsidRPr="00183CD2" w:rsidRDefault="00334954" w:rsidP="00183CD2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 w:rsidRPr="00183CD2"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11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767EB5" w:rsidRPr="00183CD2" w:rsidRDefault="00334954" w:rsidP="00183CD2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 w:rsidRPr="00183CD2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96</w:t>
            </w:r>
          </w:p>
        </w:tc>
        <w:tc>
          <w:tcPr>
            <w:tcW w:w="16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767EB5" w:rsidRPr="00183CD2" w:rsidRDefault="00334954" w:rsidP="00183CD2">
            <w:pPr>
              <w:spacing w:after="0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 w:rsidRPr="00183CD2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16.00</w:t>
            </w:r>
          </w:p>
        </w:tc>
      </w:tr>
    </w:tbl>
    <w:p w:rsidR="00767EB5" w:rsidRDefault="00334954">
      <w:pPr>
        <w:spacing w:before="120"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 = 57798.5, p = 0.860</w:t>
      </w:r>
    </w:p>
    <w:p w:rsidR="00334954" w:rsidRDefault="007D6EF2" w:rsidP="007D6EF2">
      <w:pPr>
        <w:spacing w:line="276" w:lineRule="auto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u w:val="single"/>
        </w:rPr>
        <w:t>Table 9</w:t>
      </w:r>
      <w:r w:rsidR="00334954">
        <w:rPr>
          <w:rFonts w:ascii="Times New Roman" w:eastAsia="Times New Roman" w:hAnsi="Times New Roman" w:cs="Times New Roman"/>
          <w:b/>
          <w:u w:val="single"/>
        </w:rPr>
        <w:t>:</w:t>
      </w:r>
      <w:r w:rsidR="00334954">
        <w:rPr>
          <w:rFonts w:ascii="Times New Roman" w:eastAsia="Times New Roman" w:hAnsi="Times New Roman" w:cs="Times New Roman"/>
          <w:b/>
        </w:rPr>
        <w:t xml:space="preserve"> </w:t>
      </w:r>
      <w:r w:rsidR="00334954">
        <w:rPr>
          <w:rFonts w:ascii="Times New Roman" w:eastAsia="Times New Roman" w:hAnsi="Times New Roman" w:cs="Times New Roman"/>
          <w:b/>
          <w:highlight w:val="white"/>
        </w:rPr>
        <w:t xml:space="preserve">Mann Whitney test to measure the difference between the two median hospital durations in 2019 and 2020. </w:t>
      </w:r>
    </w:p>
    <w:p w:rsidR="00F425BD" w:rsidRDefault="00F425BD" w:rsidP="007D6EF2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:rsidR="00F425BD" w:rsidRDefault="00F425BD" w:rsidP="007D6EF2">
      <w:pPr>
        <w:spacing w:line="276" w:lineRule="auto"/>
        <w:rPr>
          <w:rFonts w:ascii="Times New Roman" w:eastAsia="Times New Roman" w:hAnsi="Times New Roman" w:cs="Times New Roman"/>
          <w:b/>
        </w:rPr>
      </w:pPr>
    </w:p>
    <w:tbl>
      <w:tblPr>
        <w:tblW w:w="94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3504"/>
        <w:gridCol w:w="992"/>
        <w:gridCol w:w="992"/>
        <w:gridCol w:w="993"/>
        <w:gridCol w:w="992"/>
        <w:gridCol w:w="992"/>
        <w:gridCol w:w="993"/>
      </w:tblGrid>
      <w:tr w:rsidR="00F425BD" w:rsidRPr="00F425BD" w:rsidTr="00F425BD">
        <w:trPr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425BD" w:rsidRPr="001452D7" w:rsidRDefault="001452D7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8"/>
                <w:szCs w:val="28"/>
              </w:rPr>
            </w:pPr>
            <w:r w:rsidRPr="001452D7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</w:rPr>
              <w:lastRenderedPageBreak/>
              <w:t>Odds ratios</w:t>
            </w:r>
          </w:p>
        </w:tc>
      </w:tr>
      <w:tr w:rsidR="00F425BD" w:rsidRPr="00F425BD" w:rsidTr="00F425BD">
        <w:trPr>
          <w:cantSplit/>
        </w:trPr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>Year of analysis - 2020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>Std. Error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>Wald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</w:rPr>
            </w:pPr>
            <w:proofErr w:type="spellStart"/>
            <w:r w:rsidRPr="00F425BD">
              <w:rPr>
                <w:rFonts w:ascii="Times New Roman" w:hAnsi="Times New Roman" w:cs="Times New Roman"/>
                <w:color w:val="264A60"/>
              </w:rPr>
              <w:t>df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>P-value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>Odds ratio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</w:rPr>
            </w:pPr>
          </w:p>
        </w:tc>
        <w:tc>
          <w:tcPr>
            <w:tcW w:w="350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before="60" w:after="20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>Month of admission = March</w:t>
            </w:r>
          </w:p>
        </w:tc>
        <w:tc>
          <w:tcPr>
            <w:tcW w:w="9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-0.285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0.428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0.443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0.506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0.752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before="60" w:after="20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>Month of admission = April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-0.238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0.414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0.329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0.566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0.788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before="60" w:after="20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>Month of admission = May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0.255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0.408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0.389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0.533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1.290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before="60" w:after="20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>Month of admission = June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before="60" w:after="20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>Gender = Female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0.399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0.177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5.091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10205"/>
              </w:rPr>
            </w:pPr>
            <w:r w:rsidRPr="00F425BD">
              <w:rPr>
                <w:rFonts w:ascii="Times New Roman" w:hAnsi="Times New Roman" w:cs="Times New Roman"/>
                <w:b/>
                <w:color w:val="010205"/>
              </w:rPr>
              <w:t>0.024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10205"/>
              </w:rPr>
            </w:pPr>
            <w:r w:rsidRPr="00F425BD">
              <w:rPr>
                <w:rFonts w:ascii="Times New Roman" w:hAnsi="Times New Roman" w:cs="Times New Roman"/>
                <w:b/>
                <w:color w:val="010205"/>
              </w:rPr>
              <w:t>1.491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before="60" w:after="20"/>
              <w:ind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 xml:space="preserve"> Gender = Male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before="60" w:after="20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 xml:space="preserve">Primary MH </w:t>
            </w:r>
            <w:proofErr w:type="spellStart"/>
            <w:r w:rsidRPr="00F425BD">
              <w:rPr>
                <w:rFonts w:ascii="Times New Roman" w:hAnsi="Times New Roman" w:cs="Times New Roman"/>
                <w:color w:val="264A60"/>
              </w:rPr>
              <w:t>Dx</w:t>
            </w:r>
            <w:proofErr w:type="spellEnd"/>
            <w:r w:rsidRPr="00F425BD">
              <w:rPr>
                <w:rFonts w:ascii="Times New Roman" w:hAnsi="Times New Roman" w:cs="Times New Roman"/>
                <w:color w:val="264A60"/>
              </w:rPr>
              <w:t xml:space="preserve"> = Alcohol dependence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-0.711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0.492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2.091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0.148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0.491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before="60" w:after="20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 xml:space="preserve">Primary MH </w:t>
            </w:r>
            <w:proofErr w:type="spellStart"/>
            <w:r w:rsidRPr="00F425BD">
              <w:rPr>
                <w:rFonts w:ascii="Times New Roman" w:hAnsi="Times New Roman" w:cs="Times New Roman"/>
                <w:color w:val="264A60"/>
              </w:rPr>
              <w:t>Dx</w:t>
            </w:r>
            <w:proofErr w:type="spellEnd"/>
            <w:r w:rsidRPr="00F425BD">
              <w:rPr>
                <w:rFonts w:ascii="Times New Roman" w:hAnsi="Times New Roman" w:cs="Times New Roman"/>
                <w:color w:val="264A60"/>
              </w:rPr>
              <w:t xml:space="preserve"> = Anxiety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-0.589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0.451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1.702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0.192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0.555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before="60" w:after="20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 xml:space="preserve">Primary MH </w:t>
            </w:r>
            <w:proofErr w:type="spellStart"/>
            <w:r w:rsidRPr="00F425BD">
              <w:rPr>
                <w:rFonts w:ascii="Times New Roman" w:hAnsi="Times New Roman" w:cs="Times New Roman"/>
                <w:color w:val="264A60"/>
              </w:rPr>
              <w:t>Dx</w:t>
            </w:r>
            <w:proofErr w:type="spellEnd"/>
            <w:r w:rsidRPr="00F425BD">
              <w:rPr>
                <w:rFonts w:ascii="Times New Roman" w:hAnsi="Times New Roman" w:cs="Times New Roman"/>
                <w:color w:val="264A60"/>
              </w:rPr>
              <w:t xml:space="preserve"> = Long-term patient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0.023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0.948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0.001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0.981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1.023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before="60" w:after="20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 xml:space="preserve">Primary MH </w:t>
            </w:r>
            <w:proofErr w:type="spellStart"/>
            <w:r w:rsidRPr="00F425BD">
              <w:rPr>
                <w:rFonts w:ascii="Times New Roman" w:hAnsi="Times New Roman" w:cs="Times New Roman"/>
                <w:color w:val="264A60"/>
              </w:rPr>
              <w:t>Dx</w:t>
            </w:r>
            <w:proofErr w:type="spellEnd"/>
            <w:r w:rsidRPr="00F425BD">
              <w:rPr>
                <w:rFonts w:ascii="Times New Roman" w:hAnsi="Times New Roman" w:cs="Times New Roman"/>
                <w:color w:val="264A60"/>
              </w:rPr>
              <w:t xml:space="preserve"> = Depression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-0.752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0.396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3.601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0.058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0.471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before="60" w:after="20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 xml:space="preserve">Primary MH </w:t>
            </w:r>
            <w:proofErr w:type="spellStart"/>
            <w:r w:rsidRPr="00F425BD">
              <w:rPr>
                <w:rFonts w:ascii="Times New Roman" w:hAnsi="Times New Roman" w:cs="Times New Roman"/>
                <w:color w:val="264A60"/>
              </w:rPr>
              <w:t>Dx</w:t>
            </w:r>
            <w:proofErr w:type="spellEnd"/>
            <w:r w:rsidRPr="00F425BD">
              <w:rPr>
                <w:rFonts w:ascii="Times New Roman" w:hAnsi="Times New Roman" w:cs="Times New Roman"/>
                <w:color w:val="264A60"/>
              </w:rPr>
              <w:t xml:space="preserve"> = DSH / Suicidal ideation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0.584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0.293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3.965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10205"/>
              </w:rPr>
            </w:pPr>
            <w:r w:rsidRPr="00F425BD">
              <w:rPr>
                <w:rFonts w:ascii="Times New Roman" w:hAnsi="Times New Roman" w:cs="Times New Roman"/>
                <w:b/>
                <w:color w:val="010205"/>
              </w:rPr>
              <w:t>0.046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10205"/>
              </w:rPr>
            </w:pPr>
            <w:r w:rsidRPr="00F425BD">
              <w:rPr>
                <w:rFonts w:ascii="Times New Roman" w:hAnsi="Times New Roman" w:cs="Times New Roman"/>
                <w:b/>
                <w:color w:val="010205"/>
              </w:rPr>
              <w:t>1.793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before="60" w:after="20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 xml:space="preserve">Primary MH </w:t>
            </w:r>
            <w:proofErr w:type="spellStart"/>
            <w:r w:rsidRPr="00F425BD">
              <w:rPr>
                <w:rFonts w:ascii="Times New Roman" w:hAnsi="Times New Roman" w:cs="Times New Roman"/>
                <w:color w:val="264A60"/>
              </w:rPr>
              <w:t>Dx</w:t>
            </w:r>
            <w:proofErr w:type="spellEnd"/>
            <w:r w:rsidRPr="00F425BD">
              <w:rPr>
                <w:rFonts w:ascii="Times New Roman" w:hAnsi="Times New Roman" w:cs="Times New Roman"/>
                <w:color w:val="264A60"/>
              </w:rPr>
              <w:t xml:space="preserve"> = Mania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0.359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0.520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0.475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0.491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1.432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before="60" w:after="20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 xml:space="preserve">Primary MH </w:t>
            </w:r>
            <w:proofErr w:type="spellStart"/>
            <w:r w:rsidRPr="00F425BD">
              <w:rPr>
                <w:rFonts w:ascii="Times New Roman" w:hAnsi="Times New Roman" w:cs="Times New Roman"/>
                <w:color w:val="264A60"/>
              </w:rPr>
              <w:t>Dx</w:t>
            </w:r>
            <w:proofErr w:type="spellEnd"/>
            <w:r w:rsidRPr="00F425BD">
              <w:rPr>
                <w:rFonts w:ascii="Times New Roman" w:hAnsi="Times New Roman" w:cs="Times New Roman"/>
                <w:color w:val="264A60"/>
              </w:rPr>
              <w:t xml:space="preserve"> = Psychosis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0.130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0.288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0.204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0.652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1.139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before="60" w:after="20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 xml:space="preserve">Primary MH </w:t>
            </w:r>
            <w:proofErr w:type="spellStart"/>
            <w:r w:rsidRPr="00F425BD">
              <w:rPr>
                <w:rFonts w:ascii="Times New Roman" w:hAnsi="Times New Roman" w:cs="Times New Roman"/>
                <w:color w:val="264A60"/>
              </w:rPr>
              <w:t>Dx</w:t>
            </w:r>
            <w:proofErr w:type="spellEnd"/>
            <w:r w:rsidRPr="00F425BD">
              <w:rPr>
                <w:rFonts w:ascii="Times New Roman" w:hAnsi="Times New Roman" w:cs="Times New Roman"/>
                <w:color w:val="264A60"/>
              </w:rPr>
              <w:t xml:space="preserve"> = Substance misuse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-0.545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0.288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3.599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0.058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0.580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before="60" w:after="20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 xml:space="preserve">Primary MH </w:t>
            </w:r>
            <w:proofErr w:type="spellStart"/>
            <w:r w:rsidRPr="00F425BD">
              <w:rPr>
                <w:rFonts w:ascii="Times New Roman" w:hAnsi="Times New Roman" w:cs="Times New Roman"/>
                <w:color w:val="264A60"/>
              </w:rPr>
              <w:t>Dx</w:t>
            </w:r>
            <w:proofErr w:type="spellEnd"/>
            <w:r w:rsidRPr="00F425BD">
              <w:rPr>
                <w:rFonts w:ascii="Times New Roman" w:hAnsi="Times New Roman" w:cs="Times New Roman"/>
                <w:color w:val="264A60"/>
              </w:rPr>
              <w:t xml:space="preserve"> = Suicidal attempt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0.049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0.359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0.019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0.891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1.050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before="60" w:after="20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 xml:space="preserve">Primary MH </w:t>
            </w:r>
            <w:proofErr w:type="spellStart"/>
            <w:r w:rsidRPr="00F425BD">
              <w:rPr>
                <w:rFonts w:ascii="Times New Roman" w:hAnsi="Times New Roman" w:cs="Times New Roman"/>
                <w:color w:val="264A60"/>
              </w:rPr>
              <w:t>Dx</w:t>
            </w:r>
            <w:proofErr w:type="spellEnd"/>
            <w:r w:rsidRPr="00F425BD">
              <w:rPr>
                <w:rFonts w:ascii="Times New Roman" w:hAnsi="Times New Roman" w:cs="Times New Roman"/>
                <w:color w:val="264A60"/>
              </w:rPr>
              <w:t xml:space="preserve"> = Other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>Length of stay = More than 100 days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-1.660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0.525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9.998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10205"/>
              </w:rPr>
            </w:pPr>
            <w:r w:rsidRPr="00F425BD">
              <w:rPr>
                <w:rFonts w:ascii="Times New Roman" w:hAnsi="Times New Roman" w:cs="Times New Roman"/>
                <w:b/>
                <w:color w:val="010205"/>
              </w:rPr>
              <w:t>0.000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10205"/>
              </w:rPr>
            </w:pPr>
            <w:r w:rsidRPr="00F425BD">
              <w:rPr>
                <w:rFonts w:ascii="Times New Roman" w:hAnsi="Times New Roman" w:cs="Times New Roman"/>
                <w:b/>
                <w:color w:val="010205"/>
              </w:rPr>
              <w:t>0.190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 xml:space="preserve"> Length of stay = 51-100 days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-0.987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0.404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5.953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10205"/>
              </w:rPr>
            </w:pPr>
            <w:r w:rsidRPr="00F425BD">
              <w:rPr>
                <w:rFonts w:ascii="Times New Roman" w:hAnsi="Times New Roman" w:cs="Times New Roman"/>
                <w:b/>
                <w:color w:val="010205"/>
              </w:rPr>
              <w:t>0.015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10205"/>
              </w:rPr>
            </w:pPr>
            <w:r w:rsidRPr="00F425BD">
              <w:rPr>
                <w:rFonts w:ascii="Times New Roman" w:hAnsi="Times New Roman" w:cs="Times New Roman"/>
                <w:b/>
                <w:color w:val="010205"/>
              </w:rPr>
              <w:t>0.373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>Length of stay = 41-50 days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0.053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0.382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0.019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0.890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1.054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>Length of stay = 31-40 days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0.040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0.356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0.013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0.910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1.041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>Length of stay = 21-30 days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0.233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0.280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0.693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0.405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1.263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>Length of stay = 11-20 days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0.287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1.834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0.176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1.332</w:t>
            </w:r>
          </w:p>
        </w:tc>
      </w:tr>
      <w:tr w:rsidR="00F425BD" w:rsidRPr="00F425BD" w:rsidTr="00F425BD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350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</w:rPr>
            </w:pPr>
            <w:r w:rsidRPr="00F425BD">
              <w:rPr>
                <w:rFonts w:ascii="Times New Roman" w:hAnsi="Times New Roman" w:cs="Times New Roman"/>
                <w:color w:val="264A60"/>
              </w:rPr>
              <w:t>Length of stay = 0-10 days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F425BD" w:rsidRPr="00F425BD" w:rsidTr="00F425BD">
        <w:trPr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25BD" w:rsidRPr="00F425BD" w:rsidRDefault="00F425BD" w:rsidP="00F425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</w:rPr>
            </w:pPr>
            <w:r w:rsidRPr="00F425BD">
              <w:rPr>
                <w:rFonts w:ascii="Times New Roman" w:hAnsi="Times New Roman" w:cs="Times New Roman"/>
                <w:color w:val="010205"/>
              </w:rPr>
              <w:t>The reference category is: 2019</w:t>
            </w:r>
          </w:p>
        </w:tc>
      </w:tr>
    </w:tbl>
    <w:p w:rsidR="001452D7" w:rsidRDefault="001452D7" w:rsidP="007D6EF2">
      <w:pPr>
        <w:spacing w:line="276" w:lineRule="auto"/>
        <w:rPr>
          <w:rFonts w:ascii="Times New Roman" w:eastAsia="Times New Roman" w:hAnsi="Times New Roman" w:cs="Times New Roman"/>
          <w:b/>
          <w:u w:val="single"/>
        </w:rPr>
      </w:pPr>
    </w:p>
    <w:p w:rsidR="001452D7" w:rsidRDefault="001452D7" w:rsidP="001452D7">
      <w:pPr>
        <w:spacing w:line="276" w:lineRule="auto"/>
        <w:rPr>
          <w:rFonts w:ascii="Times New Roman" w:eastAsia="Times New Roman" w:hAnsi="Times New Roman" w:cs="Times New Roman"/>
          <w:b/>
        </w:rPr>
      </w:pPr>
      <w:proofErr w:type="gramStart"/>
      <w:r w:rsidRPr="001452D7">
        <w:rPr>
          <w:rFonts w:ascii="Times New Roman" w:eastAsia="Times New Roman" w:hAnsi="Times New Roman" w:cs="Times New Roman"/>
          <w:b/>
          <w:u w:val="single"/>
        </w:rPr>
        <w:t>Table 10</w:t>
      </w:r>
      <w:r w:rsidRPr="001452D7">
        <w:rPr>
          <w:rFonts w:ascii="Times New Roman" w:eastAsia="Times New Roman" w:hAnsi="Times New Roman" w:cs="Times New Roman"/>
          <w:b/>
        </w:rPr>
        <w:t xml:space="preserve">: Odds ratio of mental health hospitalisations </w:t>
      </w:r>
      <w:r>
        <w:rPr>
          <w:rFonts w:ascii="Times New Roman" w:eastAsia="Times New Roman" w:hAnsi="Times New Roman" w:cs="Times New Roman"/>
          <w:b/>
        </w:rPr>
        <w:t>comparing</w:t>
      </w:r>
      <w:r w:rsidRPr="001452D7">
        <w:rPr>
          <w:rFonts w:ascii="Times New Roman" w:eastAsia="Times New Roman" w:hAnsi="Times New Roman" w:cs="Times New Roman"/>
          <w:b/>
        </w:rPr>
        <w:t xml:space="preserve"> 2019 </w:t>
      </w:r>
      <w:r>
        <w:rPr>
          <w:rFonts w:ascii="Times New Roman" w:eastAsia="Times New Roman" w:hAnsi="Times New Roman" w:cs="Times New Roman"/>
          <w:b/>
        </w:rPr>
        <w:t>with</w:t>
      </w:r>
      <w:r w:rsidRPr="001452D7">
        <w:rPr>
          <w:rFonts w:ascii="Times New Roman" w:eastAsia="Times New Roman" w:hAnsi="Times New Roman" w:cs="Times New Roman"/>
          <w:b/>
        </w:rPr>
        <w:t xml:space="preserve"> 2020</w:t>
      </w:r>
      <w:r>
        <w:rPr>
          <w:rFonts w:ascii="Times New Roman" w:eastAsia="Times New Roman" w:hAnsi="Times New Roman" w:cs="Times New Roman"/>
          <w:b/>
        </w:rPr>
        <w:t xml:space="preserve"> using the four significant predictors</w:t>
      </w:r>
      <w:r w:rsidRPr="001452D7">
        <w:rPr>
          <w:rFonts w:ascii="Times New Roman" w:eastAsia="Times New Roman" w:hAnsi="Times New Roman" w:cs="Times New Roman"/>
          <w:b/>
        </w:rPr>
        <w:t>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F425BD" w:rsidRDefault="00F425BD" w:rsidP="001452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Odds ratios that are significantly larger than 1 indicate a significant increase in prevalence in 2020 compared to 2019.  So the percentage increments in the number of </w:t>
      </w:r>
      <w:r w:rsidRPr="00474359">
        <w:rPr>
          <w:rFonts w:ascii="Times New Roman" w:hAnsi="Times New Roman" w:cs="Times New Roman"/>
          <w:b/>
          <w:sz w:val="24"/>
          <w:szCs w:val="24"/>
        </w:rPr>
        <w:t>female patients</w:t>
      </w:r>
      <w:r>
        <w:rPr>
          <w:rFonts w:ascii="Times New Roman" w:hAnsi="Times New Roman" w:cs="Times New Roman"/>
          <w:sz w:val="24"/>
          <w:szCs w:val="24"/>
        </w:rPr>
        <w:t xml:space="preserve"> and the number of </w:t>
      </w:r>
      <w:r w:rsidRPr="00474359">
        <w:rPr>
          <w:rFonts w:ascii="Times New Roman" w:hAnsi="Times New Roman" w:cs="Times New Roman"/>
          <w:b/>
          <w:sz w:val="24"/>
          <w:szCs w:val="24"/>
        </w:rPr>
        <w:t>DSH / Suicidal ideation</w:t>
      </w:r>
      <w:r>
        <w:rPr>
          <w:rFonts w:ascii="Times New Roman" w:hAnsi="Times New Roman" w:cs="Times New Roman"/>
          <w:sz w:val="24"/>
          <w:szCs w:val="24"/>
        </w:rPr>
        <w:t xml:space="preserve"> presentations are significant.  </w:t>
      </w:r>
    </w:p>
    <w:p w:rsidR="00F425BD" w:rsidRPr="00781FF4" w:rsidRDefault="00F425BD" w:rsidP="00F42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other hand,</w:t>
      </w:r>
      <w:r w:rsidRPr="000A0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odds ratios that are significantly smaller than 1 </w:t>
      </w:r>
      <w:proofErr w:type="gramStart"/>
      <w:r>
        <w:rPr>
          <w:rFonts w:ascii="Times New Roman" w:hAnsi="Times New Roman" w:cs="Times New Roman"/>
          <w:sz w:val="24"/>
          <w:szCs w:val="24"/>
        </w:rPr>
        <w:t>indicate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significant decrease in prevalence in 2020 compared to 2019.  Therefore, admissions with a length of stay of</w:t>
      </w:r>
      <w:r w:rsidRPr="00474359">
        <w:rPr>
          <w:rFonts w:ascii="Times New Roman" w:hAnsi="Times New Roman" w:cs="Times New Roman"/>
          <w:b/>
          <w:sz w:val="24"/>
          <w:szCs w:val="24"/>
        </w:rPr>
        <w:t xml:space="preserve"> more than 50 days </w:t>
      </w:r>
      <w:r>
        <w:rPr>
          <w:rFonts w:ascii="Times New Roman" w:hAnsi="Times New Roman" w:cs="Times New Roman"/>
          <w:sz w:val="24"/>
          <w:szCs w:val="24"/>
        </w:rPr>
        <w:t xml:space="preserve">were significantly less prevalent in 2020 compared to 2019, as some admissions during COVID year were still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during the data collection of our study.</w:t>
      </w:r>
    </w:p>
    <w:sectPr w:rsidR="00F425BD" w:rsidRPr="00781FF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67EB5"/>
    <w:rsid w:val="001452D7"/>
    <w:rsid w:val="00183CD2"/>
    <w:rsid w:val="00334954"/>
    <w:rsid w:val="0061440D"/>
    <w:rsid w:val="00726EC3"/>
    <w:rsid w:val="00767EB5"/>
    <w:rsid w:val="007D6EF2"/>
    <w:rsid w:val="00970548"/>
    <w:rsid w:val="00D830DE"/>
    <w:rsid w:val="00F4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6F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2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6F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2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SBMun1rkFXFlGm/KuvLQ/dowLA==">AMUW2mWB/HK9HrdXa3I/Pc1LPpw4m5txiz66eE4smM27mBgG778+ZK9PORjYt3kFonGVguPfnGHxXVb1fdsrfqJhEvWVTjCbZcr4G3YQg+BYup0y2TfUP0pa7+bmDdfrv5vteDb7N8r6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Bonello</dc:creator>
  <cp:lastModifiedBy>Sony</cp:lastModifiedBy>
  <cp:revision>6</cp:revision>
  <dcterms:created xsi:type="dcterms:W3CDTF">2021-01-10T17:05:00Z</dcterms:created>
  <dcterms:modified xsi:type="dcterms:W3CDTF">2021-05-31T16:39:00Z</dcterms:modified>
</cp:coreProperties>
</file>