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D7E1" w14:textId="176B659A" w:rsidR="00DF6E96" w:rsidRPr="009F2BB2" w:rsidRDefault="00DF6E96" w:rsidP="009F2BB2">
      <w:pPr>
        <w:spacing w:after="0"/>
        <w:rPr>
          <w:b/>
          <w:bCs/>
          <w:sz w:val="24"/>
          <w:szCs w:val="24"/>
        </w:rPr>
      </w:pPr>
      <w:r w:rsidRPr="009F2BB2">
        <w:rPr>
          <w:b/>
          <w:bCs/>
          <w:sz w:val="24"/>
          <w:szCs w:val="24"/>
        </w:rPr>
        <w:t>Supplementary Material 1</w:t>
      </w:r>
    </w:p>
    <w:p w14:paraId="6FD5D533" w14:textId="57CF7B05" w:rsidR="00DF6E96" w:rsidRDefault="00DF6E96" w:rsidP="009F2BB2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9F2BB2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Hospital Episode Statistics Admitted Patient Care study data extract </w:t>
      </w:r>
    </w:p>
    <w:p w14:paraId="63B2E82D" w14:textId="77777777" w:rsidR="009F2BB2" w:rsidRPr="009F2BB2" w:rsidRDefault="009F2BB2" w:rsidP="009F2BB2">
      <w:pPr>
        <w:spacing w:after="0"/>
        <w:rPr>
          <w:b/>
          <w:bCs/>
          <w:sz w:val="24"/>
          <w:szCs w:val="24"/>
        </w:rPr>
      </w:pPr>
    </w:p>
    <w:tbl>
      <w:tblPr>
        <w:tblW w:w="12803" w:type="dxa"/>
        <w:tblLook w:val="04A0" w:firstRow="1" w:lastRow="0" w:firstColumn="1" w:lastColumn="0" w:noHBand="0" w:noVBand="1"/>
      </w:tblPr>
      <w:tblGrid>
        <w:gridCol w:w="7096"/>
        <w:gridCol w:w="1327"/>
        <w:gridCol w:w="1258"/>
        <w:gridCol w:w="540"/>
        <w:gridCol w:w="1327"/>
        <w:gridCol w:w="1255"/>
      </w:tblGrid>
      <w:tr w:rsidR="009F2BB2" w:rsidRPr="00D05E0A" w14:paraId="1F63212F" w14:textId="77777777" w:rsidTr="002B06D4">
        <w:trPr>
          <w:trHeight w:val="300"/>
        </w:trPr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47340" w14:textId="5F8C76D9" w:rsidR="009F2BB2" w:rsidRPr="00D05E0A" w:rsidRDefault="009F2BB2" w:rsidP="009F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D5C238E" w14:textId="7836F72C" w:rsidR="009F2BB2" w:rsidRPr="00D05E0A" w:rsidRDefault="009F2BB2" w:rsidP="009F2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Adolescents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ABEAE71" w14:textId="1BFD8B3A" w:rsidR="009F2BB2" w:rsidRPr="00D05E0A" w:rsidRDefault="009F2BB2" w:rsidP="009F2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Admissions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71871" w14:textId="77777777" w:rsidR="009F2BB2" w:rsidRPr="00D05E0A" w:rsidRDefault="009F2BB2" w:rsidP="009F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F180E9B" w14:textId="081775B7" w:rsidR="009F2BB2" w:rsidRPr="00D05E0A" w:rsidRDefault="009F2BB2" w:rsidP="009F2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6A47D2D" w14:textId="6792DC39" w:rsidR="009F2BB2" w:rsidRPr="00D05E0A" w:rsidRDefault="009F2BB2" w:rsidP="009F2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  <w:tr w:rsidR="009F2BB2" w:rsidRPr="00D05E0A" w14:paraId="6BBC04F7" w14:textId="77777777" w:rsidTr="002B06D4">
        <w:trPr>
          <w:trHeight w:val="282"/>
        </w:trPr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CC90A" w14:textId="22BE96F9" w:rsidR="009F2BB2" w:rsidRPr="00D05E0A" w:rsidRDefault="009F2BB2" w:rsidP="009F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Eligible population: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Adolescents resident in England aged 11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years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1+ emergency admission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between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AD1A9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st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tember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  <w:r w:rsidRPr="00AD1A9A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Aug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ust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2018 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4B94A9D" w14:textId="176B0B09" w:rsidR="009F2BB2" w:rsidRPr="00D05E0A" w:rsidRDefault="009F2BB2" w:rsidP="009F2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591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576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3705BE6" w14:textId="77192DC3" w:rsidR="009F2BB2" w:rsidRPr="00D05E0A" w:rsidRDefault="009F2BB2" w:rsidP="009F2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313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642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271DA" w14:textId="77777777" w:rsidR="009F2BB2" w:rsidRPr="00D05E0A" w:rsidRDefault="009F2BB2" w:rsidP="009F2B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F56963A" w14:textId="77777777" w:rsidR="009F2BB2" w:rsidRPr="00D05E0A" w:rsidRDefault="009F2BB2" w:rsidP="009F2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7CE2DB2" w14:textId="77777777" w:rsidR="009F2BB2" w:rsidRPr="00D05E0A" w:rsidRDefault="009F2BB2" w:rsidP="009F2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2B06D4" w:rsidRPr="00D05E0A" w14:paraId="46CA406E" w14:textId="77777777" w:rsidTr="002B06D4">
        <w:trPr>
          <w:trHeight w:val="132"/>
        </w:trPr>
        <w:tc>
          <w:tcPr>
            <w:tcW w:w="7096" w:type="dxa"/>
            <w:shd w:val="clear" w:color="000000" w:fill="FFFFFF"/>
            <w:noWrap/>
            <w:vAlign w:val="bottom"/>
            <w:hideMark/>
          </w:tcPr>
          <w:p w14:paraId="010EE932" w14:textId="2C3E4D81" w:rsidR="002B06D4" w:rsidRPr="00D05E0A" w:rsidRDefault="002B06D4" w:rsidP="002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Exclude: </w:t>
            </w:r>
          </w:p>
        </w:tc>
        <w:tc>
          <w:tcPr>
            <w:tcW w:w="1327" w:type="dxa"/>
            <w:shd w:val="clear" w:color="000000" w:fill="FFFFFF"/>
            <w:noWrap/>
            <w:vAlign w:val="center"/>
          </w:tcPr>
          <w:p w14:paraId="3414D8AA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1EC8BFC3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16715E31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327" w:type="dxa"/>
            <w:shd w:val="clear" w:color="000000" w:fill="FFFFFF"/>
            <w:noWrap/>
            <w:vAlign w:val="bottom"/>
          </w:tcPr>
          <w:p w14:paraId="16373E6E" w14:textId="0B61F836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Adolescents</w:t>
            </w:r>
          </w:p>
        </w:tc>
        <w:tc>
          <w:tcPr>
            <w:tcW w:w="1255" w:type="dxa"/>
            <w:shd w:val="clear" w:color="000000" w:fill="FFFFFF"/>
            <w:noWrap/>
            <w:vAlign w:val="bottom"/>
          </w:tcPr>
          <w:p w14:paraId="6062BBC4" w14:textId="487BF2AE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Admissions</w:t>
            </w:r>
          </w:p>
        </w:tc>
      </w:tr>
      <w:tr w:rsidR="002B06D4" w:rsidRPr="00D05E0A" w14:paraId="415F59AC" w14:textId="77777777" w:rsidTr="002B06D4">
        <w:trPr>
          <w:trHeight w:val="282"/>
        </w:trPr>
        <w:tc>
          <w:tcPr>
            <w:tcW w:w="7096" w:type="dxa"/>
            <w:shd w:val="clear" w:color="000000" w:fill="FFFFFF"/>
            <w:noWrap/>
            <w:vAlign w:val="bottom"/>
            <w:hideMark/>
          </w:tcPr>
          <w:p w14:paraId="5816A59C" w14:textId="089EEE46" w:rsidR="002B06D4" w:rsidRPr="00D05E0A" w:rsidRDefault="002B06D4" w:rsidP="002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(a) Individuals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unknown sex</w:t>
            </w:r>
          </w:p>
        </w:tc>
        <w:tc>
          <w:tcPr>
            <w:tcW w:w="1327" w:type="dxa"/>
            <w:shd w:val="clear" w:color="000000" w:fill="FFFFFF"/>
            <w:noWrap/>
            <w:vAlign w:val="center"/>
          </w:tcPr>
          <w:p w14:paraId="77DC2FDB" w14:textId="5427B418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5524CAC3" w14:textId="1234CD32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7F836B62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→</w:t>
            </w:r>
          </w:p>
        </w:tc>
        <w:tc>
          <w:tcPr>
            <w:tcW w:w="1327" w:type="dxa"/>
            <w:shd w:val="clear" w:color="000000" w:fill="FFFFFF"/>
            <w:noWrap/>
            <w:vAlign w:val="center"/>
          </w:tcPr>
          <w:p w14:paraId="6FBB98EB" w14:textId="567856B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141</w:t>
            </w:r>
          </w:p>
        </w:tc>
        <w:tc>
          <w:tcPr>
            <w:tcW w:w="1255" w:type="dxa"/>
            <w:shd w:val="clear" w:color="000000" w:fill="FFFFFF"/>
            <w:noWrap/>
            <w:vAlign w:val="center"/>
          </w:tcPr>
          <w:p w14:paraId="0AE65534" w14:textId="2D59D459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2B06D4" w:rsidRPr="00D05E0A" w14:paraId="3BA92995" w14:textId="77777777" w:rsidTr="002B06D4">
        <w:trPr>
          <w:trHeight w:val="282"/>
        </w:trPr>
        <w:tc>
          <w:tcPr>
            <w:tcW w:w="7096" w:type="dxa"/>
            <w:shd w:val="clear" w:color="000000" w:fill="FFFFFF"/>
            <w:noWrap/>
            <w:vAlign w:val="bottom"/>
            <w:hideMark/>
          </w:tcPr>
          <w:p w14:paraId="44791C30" w14:textId="686EFB0C" w:rsidR="002B06D4" w:rsidRPr="00D05E0A" w:rsidRDefault="002B06D4" w:rsidP="002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(b) M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aternity admissions</w:t>
            </w:r>
          </w:p>
        </w:tc>
        <w:tc>
          <w:tcPr>
            <w:tcW w:w="1327" w:type="dxa"/>
            <w:shd w:val="clear" w:color="000000" w:fill="FFFFFF"/>
            <w:noWrap/>
            <w:vAlign w:val="center"/>
          </w:tcPr>
          <w:p w14:paraId="753B3DB8" w14:textId="04A1D953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7CBBA557" w14:textId="501AF016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45C2F138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→</w:t>
            </w:r>
          </w:p>
        </w:tc>
        <w:tc>
          <w:tcPr>
            <w:tcW w:w="1327" w:type="dxa"/>
            <w:shd w:val="clear" w:color="000000" w:fill="FFFFFF"/>
            <w:noWrap/>
            <w:vAlign w:val="center"/>
          </w:tcPr>
          <w:p w14:paraId="62ACB97F" w14:textId="0E0A4CC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725</w:t>
            </w:r>
          </w:p>
        </w:tc>
        <w:tc>
          <w:tcPr>
            <w:tcW w:w="1255" w:type="dxa"/>
            <w:shd w:val="clear" w:color="000000" w:fill="FFFFFF"/>
            <w:noWrap/>
            <w:vAlign w:val="center"/>
          </w:tcPr>
          <w:p w14:paraId="17553A45" w14:textId="0FF0AB9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33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502</w:t>
            </w:r>
          </w:p>
        </w:tc>
      </w:tr>
      <w:tr w:rsidR="002B06D4" w:rsidRPr="00D05E0A" w14:paraId="1517E0D7" w14:textId="77777777" w:rsidTr="002B06D4">
        <w:trPr>
          <w:trHeight w:val="282"/>
        </w:trPr>
        <w:tc>
          <w:tcPr>
            <w:tcW w:w="7096" w:type="dxa"/>
            <w:shd w:val="clear" w:color="000000" w:fill="FFFFFF"/>
            <w:noWrap/>
            <w:vAlign w:val="bottom"/>
            <w:hideMark/>
          </w:tcPr>
          <w:p w14:paraId="0133DF68" w14:textId="347958E8" w:rsidR="002B06D4" w:rsidRPr="00D05E0A" w:rsidRDefault="002B06D4" w:rsidP="002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(c) A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dolescents who died in hospital</w:t>
            </w:r>
          </w:p>
        </w:tc>
        <w:tc>
          <w:tcPr>
            <w:tcW w:w="1327" w:type="dxa"/>
            <w:shd w:val="clear" w:color="000000" w:fill="FFFFFF"/>
            <w:noWrap/>
            <w:vAlign w:val="center"/>
          </w:tcPr>
          <w:p w14:paraId="3E0E4D16" w14:textId="2E5478C0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45B00739" w14:textId="79A927A0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0D11F252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→</w:t>
            </w:r>
          </w:p>
        </w:tc>
        <w:tc>
          <w:tcPr>
            <w:tcW w:w="1327" w:type="dxa"/>
            <w:shd w:val="clear" w:color="000000" w:fill="FFFFFF"/>
            <w:noWrap/>
            <w:vAlign w:val="center"/>
          </w:tcPr>
          <w:p w14:paraId="0489FAC0" w14:textId="5C9EA6DA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430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</w:tcPr>
          <w:p w14:paraId="3C654BC0" w14:textId="6D414A7E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2B06D4" w:rsidRPr="00D05E0A" w14:paraId="1B9D5AED" w14:textId="77777777" w:rsidTr="002B06D4">
        <w:trPr>
          <w:trHeight w:val="282"/>
        </w:trPr>
        <w:tc>
          <w:tcPr>
            <w:tcW w:w="7096" w:type="dxa"/>
            <w:shd w:val="clear" w:color="000000" w:fill="FFFFFF"/>
            <w:noWrap/>
            <w:vAlign w:val="bottom"/>
            <w:hideMark/>
          </w:tcPr>
          <w:p w14:paraId="6B3A022C" w14:textId="75CE92CB" w:rsidR="002B06D4" w:rsidRPr="00D05E0A" w:rsidRDefault="002B06D4" w:rsidP="002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(d) Admissions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abdominal pain with a likely cause</w:t>
            </w:r>
          </w:p>
        </w:tc>
        <w:tc>
          <w:tcPr>
            <w:tcW w:w="1327" w:type="dxa"/>
            <w:shd w:val="clear" w:color="000000" w:fill="FFFFFF"/>
            <w:noWrap/>
            <w:vAlign w:val="center"/>
          </w:tcPr>
          <w:p w14:paraId="2B7236C4" w14:textId="10E26E3C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57ABBC84" w14:textId="59ABAA45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726C0072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→</w:t>
            </w:r>
          </w:p>
        </w:tc>
        <w:tc>
          <w:tcPr>
            <w:tcW w:w="1327" w:type="dxa"/>
            <w:shd w:val="clear" w:color="000000" w:fill="FFFFFF"/>
            <w:noWrap/>
            <w:vAlign w:val="center"/>
          </w:tcPr>
          <w:p w14:paraId="345A1638" w14:textId="1BEB86FE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959</w:t>
            </w:r>
          </w:p>
        </w:tc>
        <w:tc>
          <w:tcPr>
            <w:tcW w:w="1255" w:type="dxa"/>
            <w:shd w:val="clear" w:color="000000" w:fill="FFFFFF"/>
            <w:noWrap/>
            <w:vAlign w:val="center"/>
          </w:tcPr>
          <w:p w14:paraId="7F131F1B" w14:textId="65B1FEF3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544</w:t>
            </w:r>
          </w:p>
        </w:tc>
      </w:tr>
      <w:tr w:rsidR="002B06D4" w:rsidRPr="00D05E0A" w14:paraId="0D94B6EF" w14:textId="77777777" w:rsidTr="002B06D4">
        <w:trPr>
          <w:trHeight w:val="282"/>
        </w:trPr>
        <w:tc>
          <w:tcPr>
            <w:tcW w:w="7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373B" w14:textId="3FD22478" w:rsidR="002B06D4" w:rsidRPr="00D05E0A" w:rsidRDefault="002B06D4" w:rsidP="002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(e) Individuals who no longer meet the eligibility criteria of 1+ emergency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admission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following the application of exclusion criteria (a) to (d)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CE1AB5F" w14:textId="0AA6AF9C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8784CA7" w14:textId="37ABAD11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18726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→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34A868A" w14:textId="50A55F0C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FF0000"/>
                <w:lang w:eastAsia="en-GB"/>
              </w:rPr>
              <w:t>933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D18056B" w14:textId="62BEC364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2B06D4" w:rsidRPr="00D05E0A" w14:paraId="68CCDB1F" w14:textId="77777777" w:rsidTr="002B06D4">
        <w:trPr>
          <w:trHeight w:val="282"/>
        </w:trPr>
        <w:tc>
          <w:tcPr>
            <w:tcW w:w="7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AB93B" w14:textId="77777777" w:rsidR="002B06D4" w:rsidRPr="00D05E0A" w:rsidRDefault="002B06D4" w:rsidP="002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0E0CE11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B4E66DF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D6D3B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4196C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0056C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2B06D4" w:rsidRPr="00D05E0A" w14:paraId="6AF324B9" w14:textId="77777777" w:rsidTr="002B06D4">
        <w:trPr>
          <w:trHeight w:val="282"/>
        </w:trPr>
        <w:tc>
          <w:tcPr>
            <w:tcW w:w="7096" w:type="dxa"/>
            <w:shd w:val="clear" w:color="000000" w:fill="FFFFFF"/>
            <w:noWrap/>
            <w:vAlign w:val="bottom"/>
          </w:tcPr>
          <w:p w14:paraId="5E03A4B7" w14:textId="73A2E66D" w:rsidR="002B06D4" w:rsidRPr="00D05E0A" w:rsidRDefault="002B06D4" w:rsidP="002B0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Study sample</w:t>
            </w:r>
          </w:p>
        </w:tc>
        <w:tc>
          <w:tcPr>
            <w:tcW w:w="1327" w:type="dxa"/>
            <w:shd w:val="clear" w:color="000000" w:fill="FFFFFF"/>
            <w:noWrap/>
            <w:vAlign w:val="center"/>
          </w:tcPr>
          <w:p w14:paraId="4CD2E4E2" w14:textId="6068094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571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388</w:t>
            </w: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51A39B3A" w14:textId="33840394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994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428</w:t>
            </w: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14:paraId="0C86D3D8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7" w:type="dxa"/>
            <w:shd w:val="clear" w:color="000000" w:fill="FFFFFF"/>
            <w:noWrap/>
            <w:vAlign w:val="center"/>
          </w:tcPr>
          <w:p w14:paraId="2B79BBCB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</w:tcPr>
          <w:p w14:paraId="782628AB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B06D4" w:rsidRPr="00D05E0A" w14:paraId="5FFE034B" w14:textId="77777777" w:rsidTr="002B06D4">
        <w:trPr>
          <w:trHeight w:val="282"/>
        </w:trPr>
        <w:tc>
          <w:tcPr>
            <w:tcW w:w="7096" w:type="dxa"/>
            <w:shd w:val="clear" w:color="000000" w:fill="FFFFFF"/>
            <w:noWrap/>
            <w:vAlign w:val="bottom"/>
            <w:hideMark/>
          </w:tcPr>
          <w:p w14:paraId="15FF1AC4" w14:textId="2F0BD2CE" w:rsidR="002B06D4" w:rsidRPr="00D05E0A" w:rsidRDefault="002B06D4" w:rsidP="002B0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tress-related presentations </w:t>
            </w:r>
          </w:p>
        </w:tc>
        <w:tc>
          <w:tcPr>
            <w:tcW w:w="1327" w:type="dxa"/>
            <w:shd w:val="clear" w:color="000000" w:fill="FFFFFF"/>
            <w:noWrap/>
            <w:vAlign w:val="center"/>
          </w:tcPr>
          <w:p w14:paraId="76B29742" w14:textId="29A1BF31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171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013</w:t>
            </w:r>
          </w:p>
        </w:tc>
        <w:tc>
          <w:tcPr>
            <w:tcW w:w="1258" w:type="dxa"/>
            <w:shd w:val="clear" w:color="000000" w:fill="FFFFFF"/>
            <w:noWrap/>
            <w:vAlign w:val="center"/>
          </w:tcPr>
          <w:p w14:paraId="3C61B8CF" w14:textId="4E71D83E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305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491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14:paraId="0BFBC487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54AF3506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0921A0B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B06D4" w:rsidRPr="00D05E0A" w14:paraId="19AA710C" w14:textId="77777777" w:rsidTr="002B06D4">
        <w:trPr>
          <w:trHeight w:val="282"/>
        </w:trPr>
        <w:tc>
          <w:tcPr>
            <w:tcW w:w="7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3248" w14:textId="56204534" w:rsidR="002B06D4" w:rsidRPr="00D05E0A" w:rsidRDefault="002B06D4" w:rsidP="002B0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ccidental injuries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comparison group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A82CC6C" w14:textId="0A087D2B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646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E92405" w14:textId="09CDF123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05E0A">
              <w:rPr>
                <w:rFonts w:ascii="Calibri" w:eastAsia="Times New Roman" w:hAnsi="Calibri" w:cs="Calibri"/>
                <w:color w:val="000000"/>
                <w:lang w:eastAsia="en-GB"/>
              </w:rPr>
              <w:t>329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7DD62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4E552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6A23" w14:textId="77777777" w:rsidR="002B06D4" w:rsidRPr="00D05E0A" w:rsidRDefault="002B06D4" w:rsidP="002B0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363C4A9" w14:textId="77777777" w:rsidR="00170BE4" w:rsidRDefault="00170BE4" w:rsidP="000B0692">
      <w:pPr>
        <w:rPr>
          <w:bCs/>
          <w:sz w:val="24"/>
        </w:rPr>
      </w:pPr>
    </w:p>
    <w:p w14:paraId="024C7B33" w14:textId="3946673B" w:rsidR="002B06D4" w:rsidRDefault="00170BE4" w:rsidP="000B0692">
      <w:pPr>
        <w:rPr>
          <w:b/>
          <w:bCs/>
          <w:sz w:val="24"/>
        </w:rPr>
      </w:pPr>
      <w:r w:rsidRPr="00170BE4">
        <w:rPr>
          <w:bCs/>
          <w:sz w:val="24"/>
        </w:rPr>
        <w:t>As one of the study objectives was to explore sex differences in rates of SRPs, we also excluded adolescents with unrecorded sex and any pregnancy-related admissions.</w:t>
      </w:r>
      <w:r>
        <w:rPr>
          <w:bCs/>
          <w:sz w:val="24"/>
        </w:rPr>
        <w:t xml:space="preserve"> </w:t>
      </w:r>
      <w:r w:rsidRPr="00170BE4">
        <w:rPr>
          <w:bCs/>
          <w:sz w:val="24"/>
        </w:rPr>
        <w:t xml:space="preserve">We excluded adolescents who died in hospital because retrospective clinical coding at the time of hospital discharge may systematically differ for patients who died compared to those who are discharged alive. </w:t>
      </w:r>
    </w:p>
    <w:p w14:paraId="6E0F1E07" w14:textId="297B828F" w:rsidR="002B06D4" w:rsidRDefault="002B06D4" w:rsidP="000B0692">
      <w:pPr>
        <w:rPr>
          <w:b/>
          <w:bCs/>
          <w:sz w:val="24"/>
        </w:rPr>
        <w:sectPr w:rsidR="002B06D4" w:rsidSect="00DF6E96">
          <w:footerReference w:type="default" r:id="rId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89E49A6" w14:textId="02BF8AC6" w:rsidR="000B0692" w:rsidRPr="00E75555" w:rsidRDefault="000B0692" w:rsidP="009F2BB2">
      <w:pPr>
        <w:spacing w:after="0"/>
        <w:rPr>
          <w:b/>
          <w:bCs/>
          <w:sz w:val="24"/>
          <w:szCs w:val="24"/>
        </w:rPr>
      </w:pPr>
      <w:r w:rsidRPr="00E75555">
        <w:rPr>
          <w:b/>
          <w:bCs/>
          <w:sz w:val="24"/>
          <w:szCs w:val="24"/>
        </w:rPr>
        <w:lastRenderedPageBreak/>
        <w:t xml:space="preserve">Supplementary </w:t>
      </w:r>
      <w:r w:rsidR="00484E2D" w:rsidRPr="00E75555">
        <w:rPr>
          <w:b/>
          <w:bCs/>
          <w:sz w:val="24"/>
          <w:szCs w:val="24"/>
        </w:rPr>
        <w:t xml:space="preserve">Material </w:t>
      </w:r>
      <w:r w:rsidR="00443DC2" w:rsidRPr="00E75555">
        <w:rPr>
          <w:b/>
          <w:bCs/>
          <w:sz w:val="24"/>
          <w:szCs w:val="24"/>
        </w:rPr>
        <w:t>2</w:t>
      </w:r>
    </w:p>
    <w:p w14:paraId="6B7C5C37" w14:textId="06E7F8B6" w:rsidR="000B0692" w:rsidRPr="00E75555" w:rsidRDefault="000B0692" w:rsidP="009F2BB2">
      <w:pPr>
        <w:spacing w:after="0"/>
        <w:rPr>
          <w:bCs/>
          <w:sz w:val="24"/>
          <w:szCs w:val="24"/>
        </w:rPr>
      </w:pPr>
      <w:r w:rsidRPr="00E75555">
        <w:rPr>
          <w:bCs/>
          <w:sz w:val="24"/>
          <w:szCs w:val="24"/>
        </w:rPr>
        <w:t>School term and holiday periods in England, by academic year (2013/14 to 2017/18)</w:t>
      </w:r>
    </w:p>
    <w:p w14:paraId="0C3CFF8A" w14:textId="77777777" w:rsidR="009F2BB2" w:rsidRPr="00443DC2" w:rsidRDefault="009F2BB2" w:rsidP="009F2BB2">
      <w:pPr>
        <w:spacing w:after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15"/>
        <w:gridCol w:w="2314"/>
        <w:gridCol w:w="2315"/>
        <w:gridCol w:w="2314"/>
        <w:gridCol w:w="2315"/>
      </w:tblGrid>
      <w:tr w:rsidR="000B0692" w14:paraId="0FF38013" w14:textId="77777777" w:rsidTr="00192CBF">
        <w:tc>
          <w:tcPr>
            <w:tcW w:w="2314" w:type="dxa"/>
          </w:tcPr>
          <w:p w14:paraId="1CEA8E03" w14:textId="77777777" w:rsidR="000B0692" w:rsidRDefault="000B0692" w:rsidP="00192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Academic year</w:t>
            </w:r>
          </w:p>
        </w:tc>
        <w:tc>
          <w:tcPr>
            <w:tcW w:w="2315" w:type="dxa"/>
          </w:tcPr>
          <w:p w14:paraId="6D56CF72" w14:textId="77777777" w:rsidR="000B0692" w:rsidRPr="0016453B" w:rsidRDefault="000B0692" w:rsidP="00192CBF">
            <w:pPr>
              <w:jc w:val="center"/>
              <w:rPr>
                <w:b/>
                <w:bCs/>
              </w:rPr>
            </w:pPr>
            <w:r w:rsidRPr="0016453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2013/14</w:t>
            </w:r>
          </w:p>
        </w:tc>
        <w:tc>
          <w:tcPr>
            <w:tcW w:w="2314" w:type="dxa"/>
          </w:tcPr>
          <w:p w14:paraId="366137C2" w14:textId="77777777" w:rsidR="000B0692" w:rsidRPr="0016453B" w:rsidRDefault="000B0692" w:rsidP="00192CBF">
            <w:pPr>
              <w:jc w:val="center"/>
              <w:rPr>
                <w:b/>
                <w:bCs/>
              </w:rPr>
            </w:pPr>
            <w:r w:rsidRPr="0016453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2014/15</w:t>
            </w:r>
          </w:p>
        </w:tc>
        <w:tc>
          <w:tcPr>
            <w:tcW w:w="2315" w:type="dxa"/>
          </w:tcPr>
          <w:p w14:paraId="4AA4E451" w14:textId="77777777" w:rsidR="000B0692" w:rsidRPr="0016453B" w:rsidRDefault="000B0692" w:rsidP="00192CBF">
            <w:pPr>
              <w:jc w:val="center"/>
              <w:rPr>
                <w:b/>
                <w:bCs/>
              </w:rPr>
            </w:pPr>
            <w:r w:rsidRPr="0016453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2015/16</w:t>
            </w:r>
          </w:p>
        </w:tc>
        <w:tc>
          <w:tcPr>
            <w:tcW w:w="2314" w:type="dxa"/>
          </w:tcPr>
          <w:p w14:paraId="32D7E546" w14:textId="77777777" w:rsidR="000B0692" w:rsidRPr="0016453B" w:rsidRDefault="000B0692" w:rsidP="00192CBF">
            <w:pPr>
              <w:jc w:val="center"/>
              <w:rPr>
                <w:b/>
                <w:bCs/>
              </w:rPr>
            </w:pPr>
            <w:r w:rsidRPr="0016453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2016/17</w:t>
            </w:r>
          </w:p>
        </w:tc>
        <w:tc>
          <w:tcPr>
            <w:tcW w:w="2315" w:type="dxa"/>
          </w:tcPr>
          <w:p w14:paraId="1F836CD9" w14:textId="77777777" w:rsidR="000B0692" w:rsidRPr="0016453B" w:rsidRDefault="000B0692" w:rsidP="00192CBF">
            <w:pPr>
              <w:jc w:val="center"/>
              <w:rPr>
                <w:b/>
                <w:bCs/>
              </w:rPr>
            </w:pPr>
            <w:r w:rsidRPr="0016453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2017/18</w:t>
            </w:r>
          </w:p>
        </w:tc>
      </w:tr>
      <w:tr w:rsidR="000B0692" w14:paraId="20EA25F7" w14:textId="77777777" w:rsidTr="00192CBF">
        <w:tc>
          <w:tcPr>
            <w:tcW w:w="2314" w:type="dxa"/>
            <w:shd w:val="clear" w:color="auto" w:fill="D9D9D9" w:themeFill="background1" w:themeFillShade="D9"/>
          </w:tcPr>
          <w:p w14:paraId="0B851812" w14:textId="77777777" w:rsidR="000B0692" w:rsidRPr="0016453B" w:rsidRDefault="000B0692" w:rsidP="00192CBF">
            <w:pPr>
              <w:jc w:val="center"/>
              <w:rPr>
                <w:bCs/>
              </w:rPr>
            </w:pPr>
            <w:r w:rsidRPr="001645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Autumn Term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0BF922BD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03/09/13 to 20/12/13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6FB668FA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02/09/14 to 19/12/14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43E62120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02/09/15 to 18/12/15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6E91AE73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05/09/16 to 21/12/16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65DE6C35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04/09/17 to 15/12/17</w:t>
            </w:r>
          </w:p>
        </w:tc>
      </w:tr>
      <w:tr w:rsidR="000B0692" w14:paraId="768D8DB1" w14:textId="77777777" w:rsidTr="00192CBF">
        <w:tc>
          <w:tcPr>
            <w:tcW w:w="2314" w:type="dxa"/>
          </w:tcPr>
          <w:p w14:paraId="51BF401C" w14:textId="77777777" w:rsidR="000B0692" w:rsidRPr="0016453B" w:rsidRDefault="000B0692" w:rsidP="00192CB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r w:rsidRPr="001645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Half term - Autumn</w:t>
            </w:r>
          </w:p>
        </w:tc>
        <w:tc>
          <w:tcPr>
            <w:tcW w:w="2315" w:type="dxa"/>
          </w:tcPr>
          <w:p w14:paraId="310B41AC" w14:textId="77777777" w:rsidR="000B0692" w:rsidRPr="000B2F55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28/10/13 to 01/11/13</w:t>
            </w:r>
          </w:p>
        </w:tc>
        <w:tc>
          <w:tcPr>
            <w:tcW w:w="2314" w:type="dxa"/>
          </w:tcPr>
          <w:p w14:paraId="17E3329D" w14:textId="77777777" w:rsidR="000B0692" w:rsidRPr="000B2F55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23/10/14 to 31/10/14</w:t>
            </w:r>
          </w:p>
        </w:tc>
        <w:tc>
          <w:tcPr>
            <w:tcW w:w="2315" w:type="dxa"/>
          </w:tcPr>
          <w:p w14:paraId="02195D52" w14:textId="77777777" w:rsidR="000B0692" w:rsidRPr="000B2F55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26/10/15 to 30/10/15</w:t>
            </w:r>
          </w:p>
        </w:tc>
        <w:tc>
          <w:tcPr>
            <w:tcW w:w="2314" w:type="dxa"/>
          </w:tcPr>
          <w:p w14:paraId="221DD3AE" w14:textId="77777777" w:rsidR="000B0692" w:rsidRPr="000B2F55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24/10/16 to 28/10/16</w:t>
            </w:r>
          </w:p>
        </w:tc>
        <w:tc>
          <w:tcPr>
            <w:tcW w:w="2315" w:type="dxa"/>
          </w:tcPr>
          <w:p w14:paraId="6D4E793A" w14:textId="77777777" w:rsidR="000B0692" w:rsidRPr="000B2F55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23/10/17 to 27/10/17</w:t>
            </w:r>
          </w:p>
        </w:tc>
      </w:tr>
      <w:tr w:rsidR="000B0692" w14:paraId="3A43DF6F" w14:textId="77777777" w:rsidTr="00192CBF">
        <w:tc>
          <w:tcPr>
            <w:tcW w:w="2314" w:type="dxa"/>
          </w:tcPr>
          <w:p w14:paraId="2F81C799" w14:textId="77777777" w:rsidR="000B0692" w:rsidRPr="0016453B" w:rsidRDefault="000B0692" w:rsidP="00192CB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r w:rsidRPr="001645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Christmas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 holiday</w:t>
            </w:r>
          </w:p>
        </w:tc>
        <w:tc>
          <w:tcPr>
            <w:tcW w:w="2315" w:type="dxa"/>
          </w:tcPr>
          <w:p w14:paraId="20D2FBA5" w14:textId="6FE17097" w:rsidR="000B0692" w:rsidRPr="00DF6E96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21/12/13 to 0</w:t>
            </w:r>
            <w:r w:rsidR="00DF6E96"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/01/14</w:t>
            </w:r>
          </w:p>
        </w:tc>
        <w:tc>
          <w:tcPr>
            <w:tcW w:w="2314" w:type="dxa"/>
          </w:tcPr>
          <w:p w14:paraId="590CB238" w14:textId="36A9442C" w:rsidR="000B0692" w:rsidRPr="00DF6E96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20/12/14 to 0</w:t>
            </w:r>
            <w:r w:rsidR="00DF6E96"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/01/15</w:t>
            </w:r>
          </w:p>
        </w:tc>
        <w:tc>
          <w:tcPr>
            <w:tcW w:w="2315" w:type="dxa"/>
          </w:tcPr>
          <w:p w14:paraId="571E00E8" w14:textId="16A91471" w:rsidR="000B0692" w:rsidRPr="00DF6E96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19/12/15 to 0</w:t>
            </w:r>
            <w:r w:rsidR="00DF6E96"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/01/16</w:t>
            </w:r>
          </w:p>
        </w:tc>
        <w:tc>
          <w:tcPr>
            <w:tcW w:w="2314" w:type="dxa"/>
          </w:tcPr>
          <w:p w14:paraId="3515BA12" w14:textId="6F81FF53" w:rsidR="000B0692" w:rsidRPr="00DF6E96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22/12/16 to </w:t>
            </w:r>
            <w:r w:rsidR="00DF6E96"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</w:t>
            </w: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/01/17</w:t>
            </w:r>
          </w:p>
        </w:tc>
        <w:tc>
          <w:tcPr>
            <w:tcW w:w="2315" w:type="dxa"/>
          </w:tcPr>
          <w:p w14:paraId="1D900CB3" w14:textId="77777777" w:rsidR="000B0692" w:rsidRPr="00DF6E96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16/12/17 to 01/01/18</w:t>
            </w:r>
          </w:p>
        </w:tc>
      </w:tr>
      <w:tr w:rsidR="000B0692" w14:paraId="7864DF23" w14:textId="77777777" w:rsidTr="00192CBF">
        <w:tc>
          <w:tcPr>
            <w:tcW w:w="2314" w:type="dxa"/>
            <w:shd w:val="clear" w:color="auto" w:fill="D9D9D9" w:themeFill="background1" w:themeFillShade="D9"/>
          </w:tcPr>
          <w:p w14:paraId="58DF65D6" w14:textId="77777777" w:rsidR="000B0692" w:rsidRPr="0016453B" w:rsidRDefault="000B0692" w:rsidP="00192CBF">
            <w:pPr>
              <w:jc w:val="center"/>
              <w:rPr>
                <w:bCs/>
              </w:rPr>
            </w:pPr>
            <w:r w:rsidRPr="001645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Spring Term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0D52ABA5" w14:textId="77777777" w:rsidR="000B0692" w:rsidRPr="00DF6E96" w:rsidRDefault="000B0692" w:rsidP="00192CBF">
            <w:pPr>
              <w:jc w:val="center"/>
              <w:rPr>
                <w:b/>
                <w:bCs/>
              </w:rPr>
            </w:pP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06/01/14  to 04/04/14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378F97CF" w14:textId="77777777" w:rsidR="000B0692" w:rsidRPr="00DF6E96" w:rsidRDefault="000B0692" w:rsidP="00192CBF">
            <w:pPr>
              <w:jc w:val="center"/>
              <w:rPr>
                <w:b/>
                <w:bCs/>
              </w:rPr>
            </w:pP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05/01/15 to 27/03/15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1ABFA2E3" w14:textId="77777777" w:rsidR="000B0692" w:rsidRPr="00DF6E96" w:rsidRDefault="000B0692" w:rsidP="00192CBF">
            <w:pPr>
              <w:jc w:val="center"/>
              <w:rPr>
                <w:b/>
                <w:bCs/>
              </w:rPr>
            </w:pP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05/01/16 to 24/03/16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44D8AB44" w14:textId="692D0FE8" w:rsidR="000B0692" w:rsidRPr="00DF6E96" w:rsidRDefault="000B0692" w:rsidP="00192CBF">
            <w:pPr>
              <w:jc w:val="center"/>
              <w:rPr>
                <w:b/>
                <w:bCs/>
              </w:rPr>
            </w:pP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  <w:r w:rsidR="00DF6E96"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/01/17 to 31/03/17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472F3083" w14:textId="77777777" w:rsidR="000B0692" w:rsidRPr="00DF6E96" w:rsidRDefault="000B0692" w:rsidP="00192CBF">
            <w:pPr>
              <w:jc w:val="center"/>
              <w:rPr>
                <w:b/>
                <w:bCs/>
              </w:rPr>
            </w:pPr>
            <w:r w:rsidRPr="00DF6E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02/01/18 to 29/03/18</w:t>
            </w:r>
          </w:p>
        </w:tc>
      </w:tr>
      <w:tr w:rsidR="000B0692" w14:paraId="2EA02DDB" w14:textId="77777777" w:rsidTr="00192CBF">
        <w:tc>
          <w:tcPr>
            <w:tcW w:w="2314" w:type="dxa"/>
          </w:tcPr>
          <w:p w14:paraId="50D141D7" w14:textId="77777777" w:rsidR="000B0692" w:rsidRPr="0016453B" w:rsidRDefault="000B0692" w:rsidP="00192CBF">
            <w:pPr>
              <w:jc w:val="center"/>
              <w:rPr>
                <w:bCs/>
              </w:rPr>
            </w:pPr>
            <w:r w:rsidRPr="001645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Half term - Spring</w:t>
            </w:r>
          </w:p>
        </w:tc>
        <w:tc>
          <w:tcPr>
            <w:tcW w:w="2315" w:type="dxa"/>
          </w:tcPr>
          <w:p w14:paraId="06D7C653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17/02/14 to 21/02/14</w:t>
            </w:r>
          </w:p>
        </w:tc>
        <w:tc>
          <w:tcPr>
            <w:tcW w:w="2314" w:type="dxa"/>
          </w:tcPr>
          <w:p w14:paraId="1EE0233D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16/02/15 to 20/02/15</w:t>
            </w:r>
          </w:p>
        </w:tc>
        <w:tc>
          <w:tcPr>
            <w:tcW w:w="2315" w:type="dxa"/>
          </w:tcPr>
          <w:p w14:paraId="17B4A0C5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15/02/16 to 19/02/16</w:t>
            </w:r>
          </w:p>
        </w:tc>
        <w:tc>
          <w:tcPr>
            <w:tcW w:w="2314" w:type="dxa"/>
          </w:tcPr>
          <w:p w14:paraId="07887598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13/02/17 to 17/02/17</w:t>
            </w:r>
          </w:p>
        </w:tc>
        <w:tc>
          <w:tcPr>
            <w:tcW w:w="2315" w:type="dxa"/>
          </w:tcPr>
          <w:p w14:paraId="1913FB66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12/02/18 to 16/02/18</w:t>
            </w:r>
          </w:p>
        </w:tc>
      </w:tr>
      <w:tr w:rsidR="000B0692" w14:paraId="3D68A82E" w14:textId="77777777" w:rsidTr="00192CBF">
        <w:tc>
          <w:tcPr>
            <w:tcW w:w="2314" w:type="dxa"/>
          </w:tcPr>
          <w:p w14:paraId="520BEE11" w14:textId="77777777" w:rsidR="000B0692" w:rsidRPr="0016453B" w:rsidRDefault="000B0692" w:rsidP="00192CBF">
            <w:pPr>
              <w:jc w:val="center"/>
              <w:rPr>
                <w:bCs/>
              </w:rPr>
            </w:pPr>
            <w:r w:rsidRPr="001645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 xml:space="preserve">Easter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h</w:t>
            </w:r>
            <w:r w:rsidRPr="001645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oliday</w:t>
            </w:r>
          </w:p>
        </w:tc>
        <w:tc>
          <w:tcPr>
            <w:tcW w:w="2315" w:type="dxa"/>
          </w:tcPr>
          <w:p w14:paraId="2EB8F544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05/04/14 to 21/04/14</w:t>
            </w:r>
          </w:p>
        </w:tc>
        <w:tc>
          <w:tcPr>
            <w:tcW w:w="2314" w:type="dxa"/>
            <w:vAlign w:val="center"/>
          </w:tcPr>
          <w:p w14:paraId="08A60B8C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28/03/15 to 12/04/15</w:t>
            </w:r>
          </w:p>
        </w:tc>
        <w:tc>
          <w:tcPr>
            <w:tcW w:w="2315" w:type="dxa"/>
          </w:tcPr>
          <w:p w14:paraId="6515A52A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25/03/16 to 10/04/16</w:t>
            </w:r>
          </w:p>
        </w:tc>
        <w:tc>
          <w:tcPr>
            <w:tcW w:w="2314" w:type="dxa"/>
          </w:tcPr>
          <w:p w14:paraId="0A6E3C04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01/04/17 to 17/04/17</w:t>
            </w:r>
          </w:p>
        </w:tc>
        <w:tc>
          <w:tcPr>
            <w:tcW w:w="2315" w:type="dxa"/>
          </w:tcPr>
          <w:p w14:paraId="42010D51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30/03/18 to 15/04/18</w:t>
            </w:r>
          </w:p>
        </w:tc>
      </w:tr>
      <w:tr w:rsidR="000B0692" w14:paraId="20E3F6D0" w14:textId="77777777" w:rsidTr="00192CBF">
        <w:tc>
          <w:tcPr>
            <w:tcW w:w="2314" w:type="dxa"/>
            <w:shd w:val="clear" w:color="auto" w:fill="D9D9D9" w:themeFill="background1" w:themeFillShade="D9"/>
          </w:tcPr>
          <w:p w14:paraId="7308B8AF" w14:textId="77777777" w:rsidR="000B0692" w:rsidRPr="0016453B" w:rsidRDefault="000B0692" w:rsidP="00192CB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r w:rsidRPr="001645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Summer Term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30A218D2" w14:textId="77777777" w:rsidR="000B0692" w:rsidRPr="000B2F55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22/04/14 to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23/07/14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559F04E2" w14:textId="77777777" w:rsidR="000B0692" w:rsidRPr="000B2F55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13/04/15 to 21/07/15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508B2EB6" w14:textId="77777777" w:rsidR="000B0692" w:rsidRPr="000B2F55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11/04/16 to 22/07/16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68BE971" w14:textId="77777777" w:rsidR="000B0692" w:rsidRPr="000B2F55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18/04/17 to 21/07/17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4087480D" w14:textId="77777777" w:rsidR="000B0692" w:rsidRPr="000B2F55" w:rsidRDefault="000B0692" w:rsidP="00192C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16/04/18 to 27/07/18</w:t>
            </w:r>
          </w:p>
        </w:tc>
      </w:tr>
      <w:tr w:rsidR="000B0692" w14:paraId="08F1F0FD" w14:textId="77777777" w:rsidTr="00192CBF">
        <w:tc>
          <w:tcPr>
            <w:tcW w:w="2314" w:type="dxa"/>
          </w:tcPr>
          <w:p w14:paraId="6480461A" w14:textId="77777777" w:rsidR="000B0692" w:rsidRPr="0016453B" w:rsidRDefault="000B0692" w:rsidP="00192CBF">
            <w:pPr>
              <w:jc w:val="center"/>
              <w:rPr>
                <w:bCs/>
              </w:rPr>
            </w:pPr>
            <w:r w:rsidRPr="001645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Half term -Summer</w:t>
            </w:r>
          </w:p>
        </w:tc>
        <w:tc>
          <w:tcPr>
            <w:tcW w:w="2315" w:type="dxa"/>
          </w:tcPr>
          <w:p w14:paraId="280E4AA8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5/14 to 30/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5/14</w:t>
            </w:r>
          </w:p>
        </w:tc>
        <w:tc>
          <w:tcPr>
            <w:tcW w:w="2314" w:type="dxa"/>
          </w:tcPr>
          <w:p w14:paraId="4752E87F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25/05/15 to 29/05/15</w:t>
            </w:r>
          </w:p>
        </w:tc>
        <w:tc>
          <w:tcPr>
            <w:tcW w:w="2315" w:type="dxa"/>
          </w:tcPr>
          <w:p w14:paraId="52AE2554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30/05/16 to 03/06/16</w:t>
            </w:r>
          </w:p>
        </w:tc>
        <w:tc>
          <w:tcPr>
            <w:tcW w:w="2314" w:type="dxa"/>
          </w:tcPr>
          <w:p w14:paraId="7DDAF582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29/05/17 to 02/06/17</w:t>
            </w:r>
          </w:p>
        </w:tc>
        <w:tc>
          <w:tcPr>
            <w:tcW w:w="2315" w:type="dxa"/>
          </w:tcPr>
          <w:p w14:paraId="54096EF1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28/05/18 to 01/06/18</w:t>
            </w:r>
          </w:p>
        </w:tc>
      </w:tr>
      <w:tr w:rsidR="000B0692" w14:paraId="754158CE" w14:textId="77777777" w:rsidTr="00192CBF">
        <w:tc>
          <w:tcPr>
            <w:tcW w:w="2314" w:type="dxa"/>
          </w:tcPr>
          <w:p w14:paraId="44B6E0CB" w14:textId="77777777" w:rsidR="000B0692" w:rsidRPr="0016453B" w:rsidRDefault="000B0692" w:rsidP="00192CBF">
            <w:pPr>
              <w:jc w:val="center"/>
              <w:rPr>
                <w:bCs/>
              </w:rPr>
            </w:pPr>
            <w:r w:rsidRPr="001645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GB"/>
              </w:rPr>
              <w:t>Summer holiday</w:t>
            </w:r>
          </w:p>
        </w:tc>
        <w:tc>
          <w:tcPr>
            <w:tcW w:w="2315" w:type="dxa"/>
          </w:tcPr>
          <w:p w14:paraId="36DA9F24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24/07/14 to 01/09/14</w:t>
            </w:r>
          </w:p>
        </w:tc>
        <w:tc>
          <w:tcPr>
            <w:tcW w:w="2314" w:type="dxa"/>
          </w:tcPr>
          <w:p w14:paraId="7C180848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22/07/15 to 02/09/15</w:t>
            </w:r>
          </w:p>
        </w:tc>
        <w:tc>
          <w:tcPr>
            <w:tcW w:w="2315" w:type="dxa"/>
          </w:tcPr>
          <w:p w14:paraId="4102BB0D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23/07/16 to 04/09/16</w:t>
            </w:r>
          </w:p>
        </w:tc>
        <w:tc>
          <w:tcPr>
            <w:tcW w:w="2314" w:type="dxa"/>
          </w:tcPr>
          <w:p w14:paraId="20CEB62B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22/07/17 to 03/09/17</w:t>
            </w:r>
          </w:p>
        </w:tc>
        <w:tc>
          <w:tcPr>
            <w:tcW w:w="2315" w:type="dxa"/>
          </w:tcPr>
          <w:p w14:paraId="352F5E4C" w14:textId="77777777" w:rsidR="000B0692" w:rsidRDefault="000B0692" w:rsidP="00192CBF">
            <w:pPr>
              <w:jc w:val="center"/>
              <w:rPr>
                <w:b/>
                <w:bCs/>
              </w:rPr>
            </w:pPr>
            <w:r w:rsidRPr="000B2F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28/07/18 to 02/09/18</w:t>
            </w:r>
          </w:p>
        </w:tc>
      </w:tr>
    </w:tbl>
    <w:p w14:paraId="66F8D6D0" w14:textId="0B5B805F" w:rsidR="000B0692" w:rsidRDefault="000B0692" w:rsidP="000B0692">
      <w:r>
        <w:t xml:space="preserve">Supplementary </w:t>
      </w:r>
      <w:r w:rsidR="00E75555">
        <w:t>Material</w:t>
      </w:r>
      <w:r>
        <w:t xml:space="preserve"> </w:t>
      </w:r>
      <w:r w:rsidR="00443DC2">
        <w:t>2</w:t>
      </w:r>
      <w:r>
        <w:t xml:space="preserve"> specifies the time periods categorised as term-time (grey shading) versus holidays in this study</w:t>
      </w:r>
      <w:r w:rsidR="009F2BB2">
        <w:t xml:space="preserve"> based on a review of school timetables published online by local authorities</w:t>
      </w:r>
      <w:r>
        <w:t xml:space="preserve">.  </w:t>
      </w:r>
    </w:p>
    <w:p w14:paraId="6C624E56" w14:textId="77777777" w:rsidR="000B0692" w:rsidRDefault="000B0692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1B3E103F" w14:textId="41E5EBFD" w:rsidR="00A1367A" w:rsidRPr="00E75555" w:rsidRDefault="00332B01" w:rsidP="009F2BB2">
      <w:pPr>
        <w:spacing w:after="0"/>
        <w:rPr>
          <w:b/>
          <w:bCs/>
          <w:sz w:val="24"/>
          <w:szCs w:val="24"/>
        </w:rPr>
      </w:pPr>
      <w:r w:rsidRPr="00E75555">
        <w:rPr>
          <w:b/>
          <w:bCs/>
          <w:sz w:val="24"/>
          <w:szCs w:val="24"/>
        </w:rPr>
        <w:lastRenderedPageBreak/>
        <w:t xml:space="preserve">Supplementary </w:t>
      </w:r>
      <w:r w:rsidR="00E75555" w:rsidRPr="00E75555">
        <w:rPr>
          <w:b/>
          <w:bCs/>
          <w:sz w:val="24"/>
          <w:szCs w:val="24"/>
        </w:rPr>
        <w:t>Material</w:t>
      </w:r>
      <w:r w:rsidR="000E41A9" w:rsidRPr="00E75555">
        <w:rPr>
          <w:b/>
          <w:bCs/>
          <w:sz w:val="24"/>
          <w:szCs w:val="24"/>
        </w:rPr>
        <w:t xml:space="preserve"> </w:t>
      </w:r>
      <w:r w:rsidR="00443DC2" w:rsidRPr="00E75555">
        <w:rPr>
          <w:b/>
          <w:bCs/>
          <w:sz w:val="24"/>
          <w:szCs w:val="24"/>
        </w:rPr>
        <w:t>3</w:t>
      </w:r>
    </w:p>
    <w:p w14:paraId="29886C23" w14:textId="1F21C213" w:rsidR="002F16AE" w:rsidRPr="00E75555" w:rsidRDefault="000E41A9" w:rsidP="009F2BB2">
      <w:pPr>
        <w:spacing w:after="0"/>
        <w:rPr>
          <w:bCs/>
          <w:sz w:val="24"/>
          <w:szCs w:val="24"/>
        </w:rPr>
      </w:pPr>
      <w:bookmarkStart w:id="0" w:name="_Hlk70070529"/>
      <w:r w:rsidRPr="00E75555">
        <w:rPr>
          <w:bCs/>
          <w:sz w:val="24"/>
          <w:szCs w:val="24"/>
        </w:rPr>
        <w:t>International Classification of Diseases and Related Health Problems version 10 (ICD-10) code list for s</w:t>
      </w:r>
      <w:r w:rsidR="00F75C29" w:rsidRPr="00E75555">
        <w:rPr>
          <w:bCs/>
          <w:sz w:val="24"/>
          <w:szCs w:val="24"/>
        </w:rPr>
        <w:t>tress-related presentations</w:t>
      </w:r>
    </w:p>
    <w:p w14:paraId="6D1F1626" w14:textId="77777777" w:rsidR="009F2BB2" w:rsidRPr="00E75555" w:rsidRDefault="009F2BB2" w:rsidP="009F2BB2">
      <w:pPr>
        <w:spacing w:after="0"/>
        <w:rPr>
          <w:bCs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8080"/>
      </w:tblGrid>
      <w:tr w:rsidR="000E41A9" w:rsidRPr="008E546E" w14:paraId="06471F74" w14:textId="77777777" w:rsidTr="00F05CDF">
        <w:trPr>
          <w:trHeight w:val="300"/>
          <w:tblHeader/>
        </w:trPr>
        <w:tc>
          <w:tcPr>
            <w:tcW w:w="1980" w:type="dxa"/>
            <w:shd w:val="clear" w:color="auto" w:fill="E7E6E6" w:themeFill="background2"/>
            <w:noWrap/>
            <w:vAlign w:val="center"/>
            <w:hideMark/>
          </w:tcPr>
          <w:bookmarkEnd w:id="0"/>
          <w:p w14:paraId="5D1FFC47" w14:textId="2202095C" w:rsidR="000E41A9" w:rsidRPr="00F05CDF" w:rsidRDefault="000E41A9" w:rsidP="00F0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05C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6D78C9E" w14:textId="2DCB150F" w:rsidR="000E41A9" w:rsidRPr="00F05CDF" w:rsidRDefault="00A1367A" w:rsidP="00F0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en-GB"/>
              </w:rPr>
            </w:pPr>
            <w:r w:rsidRPr="00F05CD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en-GB"/>
              </w:rPr>
              <w:t>Group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  <w:hideMark/>
          </w:tcPr>
          <w:p w14:paraId="305E46C3" w14:textId="6AC79CCE" w:rsidR="000E41A9" w:rsidRPr="00F05CDF" w:rsidRDefault="000E41A9" w:rsidP="00A13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en-GB"/>
              </w:rPr>
            </w:pPr>
            <w:r w:rsidRPr="00F05CD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en-GB"/>
              </w:rPr>
              <w:t>ICD-code</w:t>
            </w:r>
          </w:p>
        </w:tc>
        <w:tc>
          <w:tcPr>
            <w:tcW w:w="8080" w:type="dxa"/>
            <w:shd w:val="clear" w:color="auto" w:fill="E7E6E6" w:themeFill="background2"/>
            <w:vAlign w:val="center"/>
            <w:hideMark/>
          </w:tcPr>
          <w:p w14:paraId="2BCD83D4" w14:textId="62F3BA36" w:rsidR="000E41A9" w:rsidRPr="00F05CDF" w:rsidRDefault="000E41A9" w:rsidP="00A13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en-GB"/>
              </w:rPr>
            </w:pPr>
            <w:r w:rsidRPr="00F05CD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en-GB"/>
              </w:rPr>
              <w:t>ICD-10 Description</w:t>
            </w:r>
          </w:p>
        </w:tc>
      </w:tr>
      <w:tr w:rsidR="00A1367A" w:rsidRPr="008E546E" w14:paraId="1C9DE586" w14:textId="77777777" w:rsidTr="00F05CDF">
        <w:trPr>
          <w:trHeight w:val="300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6A3A52A4" w14:textId="1B3E954C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Pain</w:t>
            </w:r>
            <w:r w:rsidR="00813E6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-</w:t>
            </w:r>
            <w:r w:rsidRPr="00F05C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related presentations</w:t>
            </w:r>
          </w:p>
        </w:tc>
        <w:tc>
          <w:tcPr>
            <w:tcW w:w="2693" w:type="dxa"/>
            <w:vAlign w:val="center"/>
          </w:tcPr>
          <w:p w14:paraId="50F3C96E" w14:textId="53035E47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Abdominal/pelvic pain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962EBF" w14:textId="48EADC03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R10</w:t>
            </w:r>
            <w:r w:rsidR="005A03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A039B" w:rsidRPr="005A039B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8C2615" w14:textId="77777777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Abdominal and pelvic pain</w:t>
            </w:r>
          </w:p>
        </w:tc>
      </w:tr>
      <w:tr w:rsidR="00A1367A" w:rsidRPr="008E546E" w14:paraId="6F7484E9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4547AD47" w14:textId="522D8B92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0AF829C" w14:textId="38504724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Headache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747CEA" w14:textId="3383570E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R51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E9126C" w14:textId="77777777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Headache</w:t>
            </w:r>
          </w:p>
        </w:tc>
      </w:tr>
      <w:tr w:rsidR="00A1367A" w:rsidRPr="008E546E" w14:paraId="0200FC7C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641BCA04" w14:textId="15415F84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44BD7F77" w14:textId="77777777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AF9C85" w14:textId="7832824B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G442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3146F5C" w14:textId="77777777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Tension-type headache</w:t>
            </w:r>
          </w:p>
        </w:tc>
      </w:tr>
      <w:tr w:rsidR="00A1367A" w:rsidRPr="008E546E" w14:paraId="77823C96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7AE2CF46" w14:textId="2AE5D5FB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5083F36" w14:textId="4E4EC42B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Other pain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8D7AD1" w14:textId="34CFDAC3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M54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1AD7C32" w14:textId="77777777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Panniculitis affecting regions of neck and back</w:t>
            </w:r>
          </w:p>
        </w:tc>
      </w:tr>
      <w:tr w:rsidR="00A1367A" w:rsidRPr="008E546E" w14:paraId="31EA0B56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5A5B5010" w14:textId="3BE3292C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5C4BD79" w14:textId="77777777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558522" w14:textId="486DC253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M626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E13CE5" w14:textId="77777777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Muscle strain</w:t>
            </w:r>
          </w:p>
        </w:tc>
      </w:tr>
      <w:tr w:rsidR="00A1367A" w:rsidRPr="008E546E" w14:paraId="78133AED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7AC1BC87" w14:textId="77888F3C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898F8D2" w14:textId="77777777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1E35B6" w14:textId="57A5A432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M796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BFF314E" w14:textId="77777777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Pain in limb</w:t>
            </w:r>
          </w:p>
        </w:tc>
      </w:tr>
      <w:tr w:rsidR="00A1367A" w:rsidRPr="008E546E" w14:paraId="4D927E24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14C87BC7" w14:textId="5E245CD8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EEA51F6" w14:textId="77777777" w:rsidR="00A1367A" w:rsidRPr="00F05CDF" w:rsidRDefault="00A1367A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60DAE8" w14:textId="6F8E3DEB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R52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BAD537" w14:textId="77777777" w:rsidR="00A1367A" w:rsidRPr="00F05CDF" w:rsidRDefault="00A1367A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Acute pain</w:t>
            </w:r>
          </w:p>
        </w:tc>
      </w:tr>
      <w:tr w:rsidR="00F05CDF" w:rsidRPr="008E546E" w14:paraId="75BB29B0" w14:textId="77777777" w:rsidTr="00F05CDF">
        <w:trPr>
          <w:trHeight w:val="300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51977F82" w14:textId="043A3D52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Other somatic presentations</w:t>
            </w:r>
          </w:p>
        </w:tc>
        <w:tc>
          <w:tcPr>
            <w:tcW w:w="2693" w:type="dxa"/>
            <w:vMerge w:val="restart"/>
            <w:vAlign w:val="center"/>
          </w:tcPr>
          <w:p w14:paraId="06D7B33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Circulatory/respiratory signs</w:t>
            </w:r>
          </w:p>
          <w:p w14:paraId="61E43EC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03791D" w14:textId="263BDEEF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R00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C4A3409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Abnormalities of heart beat</w:t>
            </w:r>
          </w:p>
        </w:tc>
      </w:tr>
      <w:tr w:rsidR="00F05CDF" w:rsidRPr="008E546E" w14:paraId="7341CE29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283B3ED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4EBE887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E6D2B1" w14:textId="0C485A58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R03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92D8B32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Abnormal blood pressure reading, without diagnosis</w:t>
            </w:r>
          </w:p>
        </w:tc>
      </w:tr>
      <w:tr w:rsidR="00F05CDF" w:rsidRPr="008E546E" w14:paraId="2112F7FA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3E8EE24C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12457E4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8C4A90" w14:textId="7E86BE75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R05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3153EB2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Cough</w:t>
            </w:r>
          </w:p>
        </w:tc>
      </w:tr>
      <w:tr w:rsidR="00F05CDF" w:rsidRPr="008E546E" w14:paraId="1B65C7C8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6FBFE5F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49BA3EF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E6451E" w14:textId="0F0B03C0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R06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FF66AA3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Abnormalities of breathing</w:t>
            </w:r>
          </w:p>
        </w:tc>
      </w:tr>
      <w:tr w:rsidR="00F05CDF" w:rsidRPr="008E546E" w14:paraId="7A63C7ED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2AAE11F5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51065A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3B6B9" w14:textId="51ECD0BB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R07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AB5C56E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Pain in throat and chest</w:t>
            </w:r>
          </w:p>
        </w:tc>
      </w:tr>
      <w:tr w:rsidR="00F05CDF" w:rsidRPr="008E546E" w14:paraId="67926ED0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60F9CD6D" w14:textId="4E02A752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DD9A619" w14:textId="034543D1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Digestive symptoms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4AB206" w14:textId="6118C20F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R11-14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9C91CE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Nausea and vomiting, Heartburn, Dysphagia, Flatulence and related conditions</w:t>
            </w:r>
          </w:p>
        </w:tc>
      </w:tr>
      <w:tr w:rsidR="00F05CDF" w:rsidRPr="008E546E" w14:paraId="028B6ED4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77B21FB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4CA6A68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78915F" w14:textId="71C5CF1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R194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76D98CB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Change in bowel habit</w:t>
            </w:r>
          </w:p>
        </w:tc>
      </w:tr>
      <w:tr w:rsidR="00F05CDF" w:rsidRPr="008E546E" w14:paraId="4B29ECC3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A276EA4" w14:textId="56D9C9E8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72B7DBA" w14:textId="13475B35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Skin symptoms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CC6931" w14:textId="304F8EF1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R20-21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DEC3E96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Disturbances of skin sensation, rash and other nonspecific skin eruption</w:t>
            </w:r>
          </w:p>
        </w:tc>
      </w:tr>
      <w:tr w:rsidR="00F05CDF" w:rsidRPr="008E546E" w14:paraId="2006B5DE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26CE0B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7888F150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F67BB7" w14:textId="5A83420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R231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BF4F925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Pallor</w:t>
            </w:r>
          </w:p>
        </w:tc>
      </w:tr>
      <w:tr w:rsidR="00F05CDF" w:rsidRPr="008E546E" w14:paraId="1F669E4D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C7BCCAE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43C8F1C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68108A" w14:textId="389E840C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R234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4F7C76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Changes in skin texture</w:t>
            </w:r>
          </w:p>
        </w:tc>
      </w:tr>
      <w:tr w:rsidR="00F05CDF" w:rsidRPr="008E546E" w14:paraId="427438B3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ED3A4DF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61990E1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68E1FE" w14:textId="124AFB58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R238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B2A517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Other and unspecified skin changes</w:t>
            </w:r>
          </w:p>
        </w:tc>
      </w:tr>
      <w:tr w:rsidR="00F05CDF" w:rsidRPr="008E546E" w14:paraId="0769C841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7FB00098" w14:textId="7C23B04E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ABC34B8" w14:textId="3382AF2A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Nervous/musculoskeletal symptoms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13B1B2" w14:textId="47BEB896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R25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494B17C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Abnormal involuntary movements</w:t>
            </w:r>
          </w:p>
        </w:tc>
      </w:tr>
      <w:tr w:rsidR="00F05CDF" w:rsidRPr="008E546E" w14:paraId="33C9E64B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0340FC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1B877085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4EE910" w14:textId="213F7C12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R26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64FF07E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Abnormalities of gait and mobility</w:t>
            </w:r>
          </w:p>
        </w:tc>
      </w:tr>
      <w:tr w:rsidR="00F05CDF" w:rsidRPr="008E546E" w14:paraId="497E19AD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6394A0E3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79D5C033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ED15E8" w14:textId="35F457B6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R27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D6E3F45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Other lack of co-ordination</w:t>
            </w:r>
          </w:p>
        </w:tc>
      </w:tr>
      <w:tr w:rsidR="00F05CDF" w:rsidRPr="008E546E" w14:paraId="09A5AE85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5ABD300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6B72C96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CA4F9D" w14:textId="183B51A0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R292-294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B5CFEBF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Abnormal reflex, Abnormal posture, Clicking hip</w:t>
            </w:r>
          </w:p>
        </w:tc>
      </w:tr>
      <w:tr w:rsidR="00F05CDF" w:rsidRPr="008E546E" w14:paraId="5EBA27C3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424E295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725678C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1545CD" w14:textId="2C363895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R298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9236A83" w14:textId="77777777" w:rsidR="00F05CDF" w:rsidRPr="00F05CDF" w:rsidRDefault="00F05CDF" w:rsidP="000E41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Other and unspecified signs and symptoms involving nervous and musculoskeletal systems</w:t>
            </w:r>
          </w:p>
        </w:tc>
      </w:tr>
      <w:tr w:rsidR="00F05CDF" w:rsidRPr="008E546E" w14:paraId="20DECAFD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6944D91" w14:textId="15C527B8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E8EE4FC" w14:textId="5716ED24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Cognitive symptoms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707278" w14:textId="31024146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R400-401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E42150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Somnolence, Stupor</w:t>
            </w:r>
          </w:p>
        </w:tc>
      </w:tr>
      <w:tr w:rsidR="00F05CDF" w:rsidRPr="008E546E" w14:paraId="211D2261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1E1E05F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6C7E65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D83F43" w14:textId="0AF36720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R41-42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FF8EFD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Other symptoms and signs involving cognitive functions and awareness, Dizziness and giddiness</w:t>
            </w:r>
          </w:p>
        </w:tc>
      </w:tr>
      <w:tr w:rsidR="00F05CDF" w:rsidRPr="008E546E" w14:paraId="69EE8941" w14:textId="77777777" w:rsidTr="00F05CDF">
        <w:trPr>
          <w:trHeight w:val="300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75BCB77D" w14:textId="7F1C3D15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lastRenderedPageBreak/>
              <w:t>Other somatic presentations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 xml:space="preserve"> (continued)</w:t>
            </w:r>
          </w:p>
        </w:tc>
        <w:tc>
          <w:tcPr>
            <w:tcW w:w="2693" w:type="dxa"/>
            <w:vMerge w:val="restart"/>
            <w:vAlign w:val="center"/>
          </w:tcPr>
          <w:p w14:paraId="1245DEC2" w14:textId="25946B1A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Malaise/Fatigue/Syncope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D83C91" w14:textId="2DDCFF96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R53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79987C89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Malaise and fatigue</w:t>
            </w:r>
          </w:p>
        </w:tc>
      </w:tr>
      <w:tr w:rsidR="00F05CDF" w:rsidRPr="008E546E" w14:paraId="3971BDF5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7F147B9E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D90D37A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D76A03" w14:textId="1D7F73F9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R55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160ADA9F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Syncope and collapse</w:t>
            </w:r>
          </w:p>
        </w:tc>
      </w:tr>
      <w:tr w:rsidR="00F05CDF" w:rsidRPr="008E546E" w14:paraId="676914D1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5B9142AF" w14:textId="5E5D45D1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1027D10" w14:textId="49DD82EF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Other/general symptoms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B815E1" w14:textId="780DB5C0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R44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2C3E91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Other symptoms and signs involving general sensations and perceptions</w:t>
            </w:r>
          </w:p>
        </w:tc>
      </w:tr>
      <w:tr w:rsidR="00F05CDF" w:rsidRPr="008E546E" w14:paraId="518E206B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45509574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5632ECC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8262D3" w14:textId="1784A176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R45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1610C6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Symptoms and signs involving emotional state</w:t>
            </w:r>
          </w:p>
        </w:tc>
      </w:tr>
      <w:tr w:rsidR="00F05CDF" w:rsidRPr="008E546E" w14:paraId="1DD398CF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547E945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88DEB66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0CD366" w14:textId="7AB18D7D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R46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16C014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Symptoms and signs involving appearance and behaviour</w:t>
            </w:r>
          </w:p>
        </w:tc>
      </w:tr>
      <w:tr w:rsidR="00F05CDF" w:rsidRPr="008E546E" w14:paraId="3B0ACD45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5999F2FF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712FA497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0C0A84" w14:textId="478C6C9D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R47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2FC1052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Dysphasia and aphasia</w:t>
            </w:r>
          </w:p>
        </w:tc>
      </w:tr>
      <w:tr w:rsidR="00F05CDF" w:rsidRPr="008E546E" w14:paraId="4BC06D76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871926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247CB390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096390" w14:textId="4BCA21BA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R49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B3D5A5E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Voice disturbances</w:t>
            </w:r>
          </w:p>
        </w:tc>
      </w:tr>
      <w:tr w:rsidR="00F05CDF" w:rsidRPr="008E546E" w14:paraId="49779B95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034333E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554E927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9E9029" w14:textId="5F0170BB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Z563-564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0D6F67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Stressful work schedule, Discord with boss and workmates</w:t>
            </w:r>
          </w:p>
        </w:tc>
      </w:tr>
      <w:tr w:rsidR="00F05CDF" w:rsidRPr="008E546E" w14:paraId="5871DC42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C9882D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75498165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DF3DAD" w14:textId="4255EBF2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Z711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C4E0710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Person with feared complaint in whom no diagnosis is made</w:t>
            </w:r>
          </w:p>
        </w:tc>
      </w:tr>
      <w:tr w:rsidR="00F05CDF" w:rsidRPr="008E546E" w14:paraId="0A62463C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31BBC1A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BAEA2A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0BE90A" w14:textId="1FF601C5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Z733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5F81C4B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Stress, not elsewhere classified</w:t>
            </w:r>
          </w:p>
        </w:tc>
      </w:tr>
      <w:tr w:rsidR="00F05CDF" w:rsidRPr="008E546E" w14:paraId="32B3516A" w14:textId="77777777" w:rsidTr="00F05CDF">
        <w:trPr>
          <w:trHeight w:val="300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2996DCA3" w14:textId="26E2038E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Mental health &amp; behavioural presentations</w:t>
            </w:r>
          </w:p>
        </w:tc>
        <w:tc>
          <w:tcPr>
            <w:tcW w:w="2693" w:type="dxa"/>
            <w:vMerge w:val="restart"/>
            <w:vAlign w:val="center"/>
          </w:tcPr>
          <w:p w14:paraId="40A890AB" w14:textId="75067B92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Anxiety/Depression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9B11CA" w14:textId="3EF463E1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F31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27062B2E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Bipolar affective disorder</w:t>
            </w:r>
          </w:p>
        </w:tc>
      </w:tr>
      <w:tr w:rsidR="00F05CDF" w:rsidRPr="008E546E" w14:paraId="2DBF2009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44710D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571DB944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5E174B" w14:textId="1DC2D979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F320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B07682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Mild depressive episode</w:t>
            </w:r>
          </w:p>
        </w:tc>
      </w:tr>
      <w:tr w:rsidR="00F05CDF" w:rsidRPr="008E546E" w14:paraId="56032700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183CC5B3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413A376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7921FE" w14:textId="2A595C64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F321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819EF6E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Moderate depressive episode</w:t>
            </w:r>
          </w:p>
        </w:tc>
      </w:tr>
      <w:tr w:rsidR="00F05CDF" w:rsidRPr="008E546E" w14:paraId="375EE835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51FC153F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CE5AF6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C80174" w14:textId="716B4FEA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F322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9ECAABC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Severe depression without psychotic symptoms</w:t>
            </w:r>
          </w:p>
        </w:tc>
      </w:tr>
      <w:tr w:rsidR="00F05CDF" w:rsidRPr="008E546E" w14:paraId="6A03DA33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4EFF010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79ED5B8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D7908F" w14:textId="52860151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F323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D19312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Severe depression with psychotic symptoms</w:t>
            </w:r>
          </w:p>
        </w:tc>
      </w:tr>
      <w:tr w:rsidR="00F05CDF" w:rsidRPr="008E546E" w14:paraId="45FF5BE8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0D6CD5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4C3DA87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9145C6" w14:textId="21DD922E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F328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2E805D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Other depressive episodes</w:t>
            </w:r>
          </w:p>
        </w:tc>
      </w:tr>
      <w:tr w:rsidR="00F05CDF" w:rsidRPr="008E546E" w14:paraId="51AEF04D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7075B13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53E11360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1D68D1" w14:textId="7475523E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F329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94B1D46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Depressive episode, unspecified</w:t>
            </w:r>
          </w:p>
        </w:tc>
      </w:tr>
      <w:tr w:rsidR="00F05CDF" w:rsidRPr="008E546E" w14:paraId="5D358345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F45AD23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5B092C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0FF885" w14:textId="7CB137A4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F330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2BDFA3B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Recurrent depressive disorder, current episode mild</w:t>
            </w:r>
          </w:p>
        </w:tc>
      </w:tr>
      <w:tr w:rsidR="00F05CDF" w:rsidRPr="008E546E" w14:paraId="5C95A4D8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68F9E61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1AAA3C1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FD4CD5" w14:textId="51FAB979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F331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1797BF7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Recurrent depressive disorder, current episode moderate</w:t>
            </w:r>
          </w:p>
        </w:tc>
      </w:tr>
      <w:tr w:rsidR="00F05CDF" w:rsidRPr="008E546E" w14:paraId="541D7364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73E1E4E2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5B37EE8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1699F4" w14:textId="0FD0E042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F332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1CF630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Recurrent depressive disorder, current episode severe without psychotic symptoms</w:t>
            </w:r>
          </w:p>
        </w:tc>
      </w:tr>
      <w:tr w:rsidR="00F05CDF" w:rsidRPr="008E546E" w14:paraId="14E4657B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8E0A902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674741F6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C077DC" w14:textId="0BC6DE35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F333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C30D5C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Recurrent depressive disorder, current episode severe with psychotic symptoms</w:t>
            </w:r>
          </w:p>
        </w:tc>
      </w:tr>
      <w:tr w:rsidR="00F05CDF" w:rsidRPr="008E546E" w14:paraId="310A10DC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1915D81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1150E37E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105507" w14:textId="33BA68BD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F338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B9AE9D9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Other recurrent depressive disorders</w:t>
            </w:r>
          </w:p>
        </w:tc>
      </w:tr>
      <w:tr w:rsidR="00F05CDF" w:rsidRPr="008E546E" w14:paraId="2E5BE344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6A35987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55F72031" w14:textId="269FA176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27178D" w14:textId="6734218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F339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7BF3B89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Recurrent depressive disorder, unspecified</w:t>
            </w:r>
          </w:p>
        </w:tc>
      </w:tr>
      <w:tr w:rsidR="00F05CDF" w:rsidRPr="008E546E" w14:paraId="5E29DD03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162A8225" w14:textId="2BDF42A2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452C7270" w14:textId="5258B1F4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CF8221" w14:textId="049AE413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F341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EC03122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Dysthymia</w:t>
            </w:r>
          </w:p>
        </w:tc>
      </w:tr>
      <w:tr w:rsidR="00F05CDF" w:rsidRPr="008E546E" w14:paraId="345141C4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7109914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67C85B0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CD57B4" w14:textId="552EFBBE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F40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AAA5A26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Agoraphobia</w:t>
            </w:r>
          </w:p>
        </w:tc>
      </w:tr>
      <w:tr w:rsidR="00F05CDF" w:rsidRPr="008E546E" w14:paraId="72234AB2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2C54CD80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660C4D2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5C8469" w14:textId="7221665C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F410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5092FA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Social phobias</w:t>
            </w:r>
          </w:p>
        </w:tc>
      </w:tr>
      <w:tr w:rsidR="00F05CDF" w:rsidRPr="008E546E" w14:paraId="74BE89F6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4EF5929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86526F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0665EE" w14:textId="496B6742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F411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6812D96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Generalized anxiety disorder</w:t>
            </w:r>
          </w:p>
        </w:tc>
      </w:tr>
      <w:tr w:rsidR="00F05CDF" w:rsidRPr="008E546E" w14:paraId="18DCC1DC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4CBFA49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10728EB5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1A295E" w14:textId="1B93CED5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F412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B1E64B" w14:textId="77777777" w:rsidR="00F05CDF" w:rsidRPr="00F05CDF" w:rsidRDefault="00F05CDF" w:rsidP="00A136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Mixed anxiety and depressive disorder</w:t>
            </w:r>
          </w:p>
        </w:tc>
      </w:tr>
      <w:tr w:rsidR="00F05CDF" w:rsidRPr="008E546E" w14:paraId="61E5FD5A" w14:textId="77777777" w:rsidTr="00F05CDF">
        <w:trPr>
          <w:trHeight w:val="300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6805DD00" w14:textId="60A34C7B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lastRenderedPageBreak/>
              <w:t>Mental health &amp; behavioural presentations (</w:t>
            </w:r>
            <w:r w:rsidR="00813E6F" w:rsidRPr="00F05C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cont.</w:t>
            </w:r>
            <w:r w:rsidRPr="00F05C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693" w:type="dxa"/>
            <w:vAlign w:val="center"/>
          </w:tcPr>
          <w:p w14:paraId="5341B01A" w14:textId="2F6A9EC8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Anxiety/Depression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813E6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cont.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FC3F29" w14:textId="15D97A9E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F43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0FF2E4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Other mixed anxiety disorder</w:t>
            </w:r>
          </w:p>
        </w:tc>
      </w:tr>
      <w:tr w:rsidR="00F05CDF" w:rsidRPr="00D66DC0" w14:paraId="5617D9A0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4F354E72" w14:textId="6E9825E6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A6C10CC" w14:textId="66E68C05" w:rsidR="00F05CDF" w:rsidRPr="00F05CDF" w:rsidRDefault="00F05CDF" w:rsidP="00F05CD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Mental health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0F42B5" w14:textId="1A0DB1D6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cstheme="minorHAnsi"/>
                <w:color w:val="000000"/>
                <w:sz w:val="20"/>
                <w:szCs w:val="20"/>
              </w:rPr>
              <w:t>F20-F29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237EE4AF" w14:textId="58DDD901" w:rsidR="00F05CDF" w:rsidRPr="00F05CDF" w:rsidRDefault="005A039B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it-IT"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it-IT"/>
              </w:rPr>
              <w:t>S</w:t>
            </w:r>
            <w:r w:rsidR="00F05CDF" w:rsidRPr="00F05CDF">
              <w:rPr>
                <w:rFonts w:cstheme="minorHAnsi"/>
                <w:color w:val="000000"/>
                <w:sz w:val="20"/>
                <w:szCs w:val="20"/>
                <w:lang w:val="it-IT"/>
              </w:rPr>
              <w:t>chizophrenia, schizotypal and delusional disorders</w:t>
            </w:r>
          </w:p>
        </w:tc>
      </w:tr>
      <w:tr w:rsidR="00F05CDF" w:rsidRPr="008E546E" w14:paraId="569BF636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6C04B6F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it-IT"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5EB056E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EC6539" w14:textId="3ECD2279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cstheme="minorHAnsi"/>
                <w:color w:val="000000"/>
                <w:sz w:val="20"/>
                <w:szCs w:val="20"/>
              </w:rPr>
              <w:t>F30-F39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06F3EB71" w14:textId="523508F1" w:rsidR="00F05CDF" w:rsidRPr="00F05CDF" w:rsidRDefault="005A039B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F05CDF" w:rsidRPr="00F05CDF">
              <w:rPr>
                <w:rFonts w:cstheme="minorHAnsi"/>
                <w:color w:val="000000"/>
                <w:sz w:val="20"/>
                <w:szCs w:val="20"/>
              </w:rPr>
              <w:t>ood disorders</w:t>
            </w:r>
          </w:p>
        </w:tc>
      </w:tr>
      <w:tr w:rsidR="00F05CDF" w:rsidRPr="008E546E" w14:paraId="4DCFD632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8415D3E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52F3BA6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A2F561" w14:textId="2E0362D8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cstheme="minorHAnsi"/>
                <w:color w:val="000000"/>
                <w:sz w:val="20"/>
                <w:szCs w:val="20"/>
              </w:rPr>
              <w:t>F40-F49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0CAC6C9F" w14:textId="13B68675" w:rsidR="00F05CDF" w:rsidRPr="00F05CDF" w:rsidRDefault="005A039B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Ne</w:t>
            </w:r>
            <w:r w:rsidR="00F05CDF" w:rsidRPr="00F05CDF">
              <w:rPr>
                <w:rFonts w:cstheme="minorHAnsi"/>
                <w:color w:val="000000"/>
                <w:sz w:val="20"/>
                <w:szCs w:val="20"/>
              </w:rPr>
              <w:t>urotic, stress-related and somatoform disorders</w:t>
            </w:r>
          </w:p>
        </w:tc>
      </w:tr>
      <w:tr w:rsidR="00F05CDF" w:rsidRPr="008E546E" w14:paraId="099516DC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9590C1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3BC0CC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32871C" w14:textId="6B42FBA0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cstheme="minorHAnsi"/>
                <w:color w:val="000000"/>
                <w:sz w:val="20"/>
                <w:szCs w:val="20"/>
              </w:rPr>
              <w:t>F50-F59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3575F718" w14:textId="2791AF55" w:rsidR="00F05CDF" w:rsidRPr="00F05CDF" w:rsidRDefault="005A039B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F05CDF" w:rsidRPr="00F05CDF">
              <w:rPr>
                <w:rFonts w:cstheme="minorHAnsi"/>
                <w:color w:val="000000"/>
                <w:sz w:val="20"/>
                <w:szCs w:val="20"/>
              </w:rPr>
              <w:t>ehavioural syndromes associated with physiological disturbances and physical factors</w:t>
            </w:r>
          </w:p>
        </w:tc>
      </w:tr>
      <w:tr w:rsidR="00F05CDF" w:rsidRPr="008E546E" w14:paraId="017420A4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79A9FCF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9FA2B3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F19048" w14:textId="60431E9C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cstheme="minorHAnsi"/>
                <w:color w:val="000000"/>
                <w:sz w:val="20"/>
                <w:szCs w:val="20"/>
              </w:rPr>
              <w:t>F60-F69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6B38E9F4" w14:textId="6BDDDC99" w:rsidR="00F05CDF" w:rsidRPr="00F05CDF" w:rsidRDefault="005A039B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="00F05CDF" w:rsidRPr="00F05CDF">
              <w:rPr>
                <w:rFonts w:cstheme="minorHAnsi"/>
                <w:color w:val="000000"/>
                <w:sz w:val="20"/>
                <w:szCs w:val="20"/>
              </w:rPr>
              <w:t>isorders of adult personality and behaviour</w:t>
            </w:r>
          </w:p>
        </w:tc>
      </w:tr>
      <w:tr w:rsidR="00F05CDF" w:rsidRPr="008E546E" w14:paraId="26C7E2D5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5F14F5B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F4AF11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243C69" w14:textId="5D5920C4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cstheme="minorHAnsi"/>
                <w:color w:val="000000"/>
                <w:sz w:val="20"/>
                <w:szCs w:val="20"/>
              </w:rPr>
              <w:t>F90-F98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032E6AE7" w14:textId="69AE0C40" w:rsidR="00F05CDF" w:rsidRPr="00F05CDF" w:rsidRDefault="005A039B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F05CDF" w:rsidRPr="00F05CDF">
              <w:rPr>
                <w:rFonts w:cstheme="minorHAnsi"/>
                <w:color w:val="000000"/>
                <w:sz w:val="20"/>
                <w:szCs w:val="20"/>
              </w:rPr>
              <w:t>ehavioural and emotional disorders with onset usually occurring in childhood and adolescence</w:t>
            </w:r>
          </w:p>
        </w:tc>
      </w:tr>
      <w:tr w:rsidR="00F05CDF" w:rsidRPr="008E546E" w14:paraId="5A83D19A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5D55C0B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655DC6A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CF64A8" w14:textId="39100328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cstheme="minorHAnsi"/>
                <w:color w:val="000000"/>
                <w:sz w:val="20"/>
                <w:szCs w:val="20"/>
              </w:rPr>
              <w:t>F99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585546A3" w14:textId="34F94C16" w:rsidR="00F05CDF" w:rsidRPr="00F05CDF" w:rsidRDefault="005A039B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="00F05CDF" w:rsidRPr="00F05CDF">
              <w:rPr>
                <w:rFonts w:cstheme="minorHAnsi"/>
                <w:color w:val="000000"/>
                <w:sz w:val="20"/>
                <w:szCs w:val="20"/>
              </w:rPr>
              <w:t>nspecified mental disorder</w:t>
            </w:r>
          </w:p>
        </w:tc>
      </w:tr>
      <w:tr w:rsidR="00F05CDF" w:rsidRPr="008E546E" w14:paraId="3FF66E52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1E26A336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1411FAB" w14:textId="53C82BDA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Obsessive-compulsive / Dissociative / Eating disorders</w:t>
            </w:r>
          </w:p>
          <w:p w14:paraId="6850FB20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501221" w14:textId="16F5A1E8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F42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D448B7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Obsessive-compulsive disorder</w:t>
            </w:r>
          </w:p>
        </w:tc>
      </w:tr>
      <w:tr w:rsidR="00F05CDF" w:rsidRPr="008E546E" w14:paraId="222A3D84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6BF31175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6371BE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F1B541" w14:textId="05BEDD29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F44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C37346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Dissociative [conversation] disorders</w:t>
            </w:r>
          </w:p>
        </w:tc>
      </w:tr>
      <w:tr w:rsidR="00F05CDF" w:rsidRPr="008E546E" w14:paraId="260398E7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4986B8CF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98DB172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6CBE75" w14:textId="0B3634A1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F45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6D35F80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Somatoform disorders</w:t>
            </w:r>
          </w:p>
        </w:tc>
      </w:tr>
      <w:tr w:rsidR="00F05CDF" w:rsidRPr="008E546E" w14:paraId="04671755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730DA2DE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41465C52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2E0D64" w14:textId="0BDD3BA8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F50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AC4A127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Eating disorders</w:t>
            </w:r>
          </w:p>
        </w:tc>
      </w:tr>
      <w:tr w:rsidR="00F05CDF" w:rsidRPr="008E546E" w14:paraId="1F31BBCF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01F6DA45" w14:textId="445706C8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3C2AF40" w14:textId="3734A598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Sleep disorders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2039FE" w14:textId="435089C9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F51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D5DB691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Nonorganic sleep disorders</w:t>
            </w:r>
          </w:p>
        </w:tc>
      </w:tr>
      <w:tr w:rsidR="00F05CDF" w:rsidRPr="008E546E" w14:paraId="3F227A38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51FEB396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36861EF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3C74F5" w14:textId="5EC9EBD0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G47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15FB153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Disorders of initiating and maintaining sleep [insomnias]</w:t>
            </w:r>
          </w:p>
        </w:tc>
      </w:tr>
      <w:tr w:rsidR="00F05CDF" w:rsidRPr="008E546E" w14:paraId="53CEB85F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8B7919C" w14:textId="4DBE1DBD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9B0C65A" w14:textId="7873295C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Drug / Alcohol abuse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59CA4A" w14:textId="5681B95B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F10-F19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00B250B4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Mental and behavioural disorders due to psychoactive substance use</w:t>
            </w:r>
          </w:p>
        </w:tc>
      </w:tr>
      <w:tr w:rsidR="00F05CDF" w:rsidRPr="008E546E" w14:paraId="6F3CA112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C83EA15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7697F49C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B7F734" w14:textId="1DB652EC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F55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4B935BFC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Abuse of non-dependence-producing substances</w:t>
            </w:r>
          </w:p>
        </w:tc>
      </w:tr>
      <w:tr w:rsidR="00F05CDF" w:rsidRPr="008E546E" w14:paraId="658041D8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3FC172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26EC14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118830" w14:textId="3E8FEC73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R780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30A282CA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Finding of alcohol in blood</w:t>
            </w:r>
          </w:p>
        </w:tc>
      </w:tr>
      <w:tr w:rsidR="00F05CDF" w:rsidRPr="008E546E" w14:paraId="299C9A1C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46AD9BC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52849BC3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2FA1BE" w14:textId="5DF9C843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R781-R785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485CC273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Findings of drugs and other substances, not normally found in blood</w:t>
            </w:r>
          </w:p>
        </w:tc>
      </w:tr>
      <w:tr w:rsidR="00F05CDF" w:rsidRPr="008E546E" w14:paraId="49A6C838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77D0DFF6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10EC9C4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2CDEA0" w14:textId="4458777C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T51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0B655627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Toxic effect of alcohol</w:t>
            </w:r>
          </w:p>
        </w:tc>
      </w:tr>
      <w:tr w:rsidR="00F05CDF" w:rsidRPr="008E546E" w14:paraId="5DD05564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1E5BF313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22603F0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88D480" w14:textId="35070812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Y15 </w:t>
            </w:r>
            <w:r w:rsidR="005A039B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444D1FF8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Poisoning by drugs, medicaments and biological substances</w:t>
            </w:r>
          </w:p>
        </w:tc>
      </w:tr>
      <w:tr w:rsidR="00F05CDF" w:rsidRPr="008E546E" w14:paraId="408ABF1C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1C68D78A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696C38DD" w14:textId="7997591F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21866C" w14:textId="4987FC0A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Y90 </w:t>
            </w:r>
            <w:r w:rsidR="005A039B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2, 3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0A2ECD68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Evidence of alcohol involvement determined by blood alcohol level</w:t>
            </w:r>
          </w:p>
        </w:tc>
      </w:tr>
      <w:tr w:rsidR="00F05CDF" w:rsidRPr="008E546E" w14:paraId="28A21F16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5D27515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4326734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E26D4A" w14:textId="00DCDA50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Y91 </w:t>
            </w:r>
            <w:r w:rsidR="005A039B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2, 3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2A876E60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Evidence of alcohol involvement determined by level of intoxication</w:t>
            </w:r>
          </w:p>
        </w:tc>
      </w:tr>
      <w:tr w:rsidR="00F05CDF" w:rsidRPr="008E546E" w14:paraId="20EDCC4C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6E8F4A0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7D1BA4D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181A35" w14:textId="33AFD7E6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Z040 </w:t>
            </w:r>
            <w:r w:rsidR="005A039B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2, 3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59B21C20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Blood-alcohol and blood-drug test</w:t>
            </w:r>
          </w:p>
        </w:tc>
      </w:tr>
      <w:tr w:rsidR="00F05CDF" w:rsidRPr="008E546E" w14:paraId="7AC92563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5DC33CD3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B8A7B1A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0153DB" w14:textId="0F571EFE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Z502 </w:t>
            </w:r>
            <w:r w:rsidR="005A039B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2, 3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1BFAACF0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Alcohol rehabilitation</w:t>
            </w:r>
          </w:p>
        </w:tc>
      </w:tr>
      <w:tr w:rsidR="00F05CDF" w:rsidRPr="008E546E" w14:paraId="64F3621A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11AC3BA2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2E921260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786249" w14:textId="0DD6CED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Z503 </w:t>
            </w:r>
            <w:r w:rsidR="005A039B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2, 3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005F5959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Drug rehabilitation</w:t>
            </w:r>
          </w:p>
        </w:tc>
      </w:tr>
      <w:tr w:rsidR="00F05CDF" w:rsidRPr="008E546E" w14:paraId="77FE6DEF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6807772E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50128426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7411FB" w14:textId="4D89C67A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Z714 </w:t>
            </w:r>
            <w:r w:rsidR="005A039B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2, 3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5CE27DBC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Alcohol abuse counselling and surveillance</w:t>
            </w:r>
          </w:p>
        </w:tc>
      </w:tr>
      <w:tr w:rsidR="00F05CDF" w:rsidRPr="008E546E" w14:paraId="307BE227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76CC70E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3A646D6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14D465" w14:textId="697207EA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Z715 </w:t>
            </w:r>
            <w:r w:rsidR="005A039B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2, 3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6624E541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Drug abuse counselling and surveillance</w:t>
            </w:r>
          </w:p>
        </w:tc>
      </w:tr>
      <w:tr w:rsidR="00F05CDF" w:rsidRPr="008E546E" w14:paraId="0D0A30F8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1B9FCF75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517B05CE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CE67473" w14:textId="4E0ED475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Z721 </w:t>
            </w:r>
            <w:r w:rsidR="005A039B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2, 3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100E3B6B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Alcohol use</w:t>
            </w:r>
          </w:p>
        </w:tc>
      </w:tr>
      <w:tr w:rsidR="00F05CDF" w:rsidRPr="008E546E" w14:paraId="3DD19A1C" w14:textId="77777777" w:rsidTr="00F05CDF">
        <w:trPr>
          <w:trHeight w:val="300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5B055D4E" w14:textId="0B4C3F6A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lastRenderedPageBreak/>
              <w:t>Mental health &amp; behavioural presentations (</w:t>
            </w:r>
            <w:r w:rsidR="00813E6F" w:rsidRPr="00F05C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cont.</w:t>
            </w:r>
            <w:r w:rsidRPr="00F05C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14:paraId="7E3EC7EA" w14:textId="0694ECD5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Drug / Alcohol abuse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813E6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cont.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D9508D" w14:textId="5F22F7C9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Z722 </w:t>
            </w:r>
            <w:r w:rsidR="005A039B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2, 3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66F41B8B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Drug use</w:t>
            </w:r>
          </w:p>
        </w:tc>
      </w:tr>
      <w:tr w:rsidR="00F05CDF" w:rsidRPr="008E546E" w14:paraId="70DFD530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6D4EF10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  <w:vAlign w:val="center"/>
          </w:tcPr>
          <w:p w14:paraId="0D356D2A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81ADFB" w14:textId="770DDD5D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Z915 </w:t>
            </w:r>
            <w:r w:rsidR="005A039B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2, 4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71FC2336" w14:textId="20DCC82A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cstheme="minorHAnsi"/>
                <w:iCs/>
                <w:sz w:val="20"/>
                <w:szCs w:val="20"/>
              </w:rPr>
              <w:t>Personal history of self-harm</w:t>
            </w:r>
          </w:p>
        </w:tc>
      </w:tr>
      <w:tr w:rsidR="00F05CDF" w:rsidRPr="008E546E" w14:paraId="38CC499B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D11EC41" w14:textId="3052C38C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5CFFD3C" w14:textId="7551935D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Self-harm / Poisoning / Cutting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A1496A" w14:textId="07843298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T36-50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7D8A2C24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Poisoning by drugs, medicaments and biological substances</w:t>
            </w:r>
          </w:p>
        </w:tc>
      </w:tr>
      <w:tr w:rsidR="00F05CDF" w:rsidRPr="008E546E" w14:paraId="1C162A15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103081C6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7425BB94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EF40D4" w14:textId="0B31F771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Y10-14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0896CBD4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sz w:val="20"/>
                <w:szCs w:val="20"/>
                <w:lang w:eastAsia="en-GB"/>
              </w:rPr>
              <w:t>Poisoning [drugs], undetermined intent</w:t>
            </w:r>
          </w:p>
        </w:tc>
      </w:tr>
      <w:tr w:rsidR="00F05CDF" w:rsidRPr="008E546E" w14:paraId="5B14B783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1959259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3F67BE16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041A61" w14:textId="4F816CFE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Y16-19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1474ACC5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Poisoning [chemicals], undetermined intent</w:t>
            </w:r>
          </w:p>
        </w:tc>
      </w:tr>
      <w:tr w:rsidR="00F05CDF" w:rsidRPr="008E546E" w14:paraId="5AAF4CDB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44D11466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753A1375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0877E8" w14:textId="7B2610AF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S00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73ECB381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Superficial injury of scalp</w:t>
            </w:r>
          </w:p>
        </w:tc>
      </w:tr>
      <w:tr w:rsidR="00F05CDF" w:rsidRPr="008E546E" w14:paraId="189E87AC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1224441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11CACA10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556B6B" w14:textId="1BB84CCE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S10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2C06B6C6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Superficial injury of neck</w:t>
            </w:r>
          </w:p>
        </w:tc>
      </w:tr>
      <w:tr w:rsidR="00F05CDF" w:rsidRPr="008E546E" w14:paraId="2B40CA28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14C79EB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1411A722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21768D" w14:textId="78DF9E53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S20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23CDDA6A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Superficial injury of thorax</w:t>
            </w:r>
          </w:p>
        </w:tc>
      </w:tr>
      <w:tr w:rsidR="00F05CDF" w:rsidRPr="008E546E" w14:paraId="5E6C1CDF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6F983C77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79E93DC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549C90" w14:textId="12D0111A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S30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4F07198D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Superficial injury of lower back and pelvis</w:t>
            </w:r>
          </w:p>
        </w:tc>
      </w:tr>
      <w:tr w:rsidR="00F05CDF" w:rsidRPr="008E546E" w14:paraId="2873B7DC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749C915E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58DDA1C7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81B4BE" w14:textId="32ABB70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S40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4BFF9E96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Superficial injury of shoulder and upper arm</w:t>
            </w:r>
          </w:p>
        </w:tc>
      </w:tr>
      <w:tr w:rsidR="00F05CDF" w:rsidRPr="008E546E" w14:paraId="492BDDEB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7A6144D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5847BD7E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9F439" w14:textId="28F75C83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S50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2D3AF092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Superficial injury of forearm</w:t>
            </w:r>
          </w:p>
        </w:tc>
      </w:tr>
      <w:tr w:rsidR="00F05CDF" w:rsidRPr="008E546E" w14:paraId="6403589F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32ED4D4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746696EC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BAC1A2" w14:textId="0F503319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S60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1BA35512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Superficial injury of wrist and hand</w:t>
            </w:r>
          </w:p>
        </w:tc>
      </w:tr>
      <w:tr w:rsidR="00F05CDF" w:rsidRPr="008E546E" w14:paraId="70B998AD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6F6BB7B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31D51ACD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747753" w14:textId="06EB21E3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S70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19125E55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Superficial injury of hip and thigh</w:t>
            </w:r>
          </w:p>
        </w:tc>
      </w:tr>
      <w:tr w:rsidR="00F05CDF" w:rsidRPr="008E546E" w14:paraId="0FF72A53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1B230EB9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47C99486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F89C03" w14:textId="11E879FF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S80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1E85D989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Superficial injury of lower leg</w:t>
            </w:r>
          </w:p>
        </w:tc>
      </w:tr>
      <w:tr w:rsidR="00F05CDF" w:rsidRPr="008E546E" w14:paraId="2296AF8B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181F658E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76F1331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87C34B" w14:textId="6E381C99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S90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3</w:t>
            </w: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7E5BCB64" w14:textId="7777777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sz w:val="20"/>
                <w:szCs w:val="20"/>
                <w:lang w:eastAsia="en-GB"/>
              </w:rPr>
              <w:t>Superficial injury of ankle and foot</w:t>
            </w:r>
          </w:p>
        </w:tc>
      </w:tr>
      <w:tr w:rsidR="00F05CDF" w:rsidRPr="008E546E" w14:paraId="384747AC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4929802A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69AA143C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BA3A" w14:textId="1A8322BE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X60-63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60C31D48" w14:textId="6F9D7997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sz w:val="20"/>
                <w:szCs w:val="20"/>
                <w:lang w:eastAsia="en-GB"/>
              </w:rPr>
              <w:t>Intentional self-poisoning (drugs)</w:t>
            </w:r>
          </w:p>
        </w:tc>
      </w:tr>
      <w:tr w:rsidR="00F05CDF" w:rsidRPr="008E546E" w14:paraId="26FBC7B1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7496233E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2798FC5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D2EBC6" w14:textId="1592A3D4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X64-X69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3CABD449" w14:textId="686782AA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sz w:val="20"/>
                <w:szCs w:val="20"/>
                <w:lang w:eastAsia="en-GB"/>
              </w:rPr>
              <w:t>Intentional self-harm (self-poisoning)</w:t>
            </w:r>
          </w:p>
        </w:tc>
      </w:tr>
      <w:tr w:rsidR="00F05CDF" w:rsidRPr="008E546E" w14:paraId="12D360CD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0F83EBF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6E7D1B71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004D81" w14:textId="65D4EC52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X70-X84 </w:t>
            </w:r>
            <w:r w:rsidR="00FE0AE6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4DAA217C" w14:textId="0FF09B16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sz w:val="20"/>
                <w:szCs w:val="20"/>
                <w:lang w:eastAsia="en-GB"/>
              </w:rPr>
              <w:t>Intentional self-harm (hanging, drowning, firearm, explosive material, fire, steam, sharp/blunt object, jumping, crashing motor vehicle, other)</w:t>
            </w:r>
          </w:p>
        </w:tc>
      </w:tr>
      <w:tr w:rsidR="00F05CDF" w:rsidRPr="008E546E" w14:paraId="0B08DB27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703B3568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2594583A" w14:textId="58C8721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7CDC01" w14:textId="211ABFC2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Z642 </w:t>
            </w:r>
            <w:r w:rsidR="00FE0AE6" w:rsidRPr="00FE0AE6">
              <w:rPr>
                <w:rFonts w:eastAsia="Times New Roman" w:cstheme="minorHAnsi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1310EAB5" w14:textId="1C26B780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sz w:val="20"/>
                <w:szCs w:val="20"/>
                <w:lang w:eastAsia="en-GB"/>
              </w:rPr>
              <w:t>Intentional self-poisoning by and exposure to other and unspecified drugs, medicaments and biological substances</w:t>
            </w:r>
          </w:p>
        </w:tc>
      </w:tr>
      <w:tr w:rsidR="00F05CDF" w:rsidRPr="008E546E" w14:paraId="125A10F5" w14:textId="77777777" w:rsidTr="00F05CDF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bottom"/>
          </w:tcPr>
          <w:p w14:paraId="08D79705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/>
          </w:tcPr>
          <w:p w14:paraId="4E9D481B" w14:textId="77777777" w:rsidR="00F05CDF" w:rsidRPr="00F05CDF" w:rsidRDefault="00F05CDF" w:rsidP="00F05CD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C95662" w14:textId="67B8E471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05CDF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Z915 </w:t>
            </w:r>
            <w:r w:rsidR="00FE0AE6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2, 4</w:t>
            </w:r>
          </w:p>
        </w:tc>
        <w:tc>
          <w:tcPr>
            <w:tcW w:w="8080" w:type="dxa"/>
            <w:shd w:val="clear" w:color="auto" w:fill="auto"/>
            <w:noWrap/>
            <w:vAlign w:val="center"/>
          </w:tcPr>
          <w:p w14:paraId="3403D6F4" w14:textId="6AE70665" w:rsidR="00F05CDF" w:rsidRPr="00F05CDF" w:rsidRDefault="00F05CDF" w:rsidP="00F05CD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05CDF">
              <w:rPr>
                <w:rFonts w:cstheme="minorHAnsi"/>
                <w:iCs/>
                <w:sz w:val="20"/>
                <w:szCs w:val="20"/>
              </w:rPr>
              <w:t>Personal history of self-harm</w:t>
            </w:r>
          </w:p>
        </w:tc>
      </w:tr>
    </w:tbl>
    <w:p w14:paraId="24E4F40B" w14:textId="77777777" w:rsidR="005A039B" w:rsidRDefault="005A039B" w:rsidP="000E41A9"/>
    <w:p w14:paraId="6EE32333" w14:textId="7074233F" w:rsidR="00772863" w:rsidRDefault="00232618" w:rsidP="00FE0AE6">
      <w:pPr>
        <w:sectPr w:rsidR="00772863" w:rsidSect="000E41A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ICD-10 = International Classification of Diseases and Related Health Problems version 10. </w:t>
      </w:r>
      <w:r w:rsidR="000E41A9">
        <w:t xml:space="preserve">Supplementary </w:t>
      </w:r>
      <w:r w:rsidR="00E75555">
        <w:t>Material</w:t>
      </w:r>
      <w:r w:rsidR="000E41A9">
        <w:t xml:space="preserve"> </w:t>
      </w:r>
      <w:r w:rsidR="00443DC2">
        <w:t>3</w:t>
      </w:r>
      <w:r w:rsidR="000E41A9">
        <w:t xml:space="preserve"> outlines the ICD-10 c</w:t>
      </w:r>
      <w:r w:rsidR="000E41A9" w:rsidRPr="008E546E">
        <w:t>ode list</w:t>
      </w:r>
      <w:r w:rsidR="000E41A9">
        <w:t xml:space="preserve"> </w:t>
      </w:r>
      <w:r w:rsidR="005A039B">
        <w:t xml:space="preserve">that was developed as part of this study </w:t>
      </w:r>
      <w:r w:rsidR="000E41A9">
        <w:t>to identify a</w:t>
      </w:r>
      <w:r w:rsidR="000E41A9" w:rsidRPr="008E546E">
        <w:t xml:space="preserve"> stress</w:t>
      </w:r>
      <w:r w:rsidR="000E41A9">
        <w:t>-</w:t>
      </w:r>
      <w:r w:rsidR="000E41A9" w:rsidRPr="008E546E">
        <w:t>related presentation in H</w:t>
      </w:r>
      <w:r w:rsidR="000E41A9">
        <w:t xml:space="preserve">ospital </w:t>
      </w:r>
      <w:r w:rsidR="000E41A9" w:rsidRPr="008E546E">
        <w:t>E</w:t>
      </w:r>
      <w:r w:rsidR="000E41A9">
        <w:t xml:space="preserve">pisode </w:t>
      </w:r>
      <w:r w:rsidR="000E41A9" w:rsidRPr="008E546E">
        <w:t>S</w:t>
      </w:r>
      <w:r w:rsidR="000E41A9">
        <w:t>tatistics Admitted Patient Care (HES APC) data based on information recorded in the diagnosis fields</w:t>
      </w:r>
      <w:r w:rsidR="000E41A9" w:rsidRPr="008E546E">
        <w:t>.</w:t>
      </w:r>
      <w:r w:rsidR="000E41A9">
        <w:t xml:space="preserve"> In HES APC up to 20 diagnosis fields can be recorded per admission using </w:t>
      </w:r>
      <w:r w:rsidR="000E41A9" w:rsidRPr="008E546E">
        <w:t>ICD</w:t>
      </w:r>
      <w:r w:rsidR="000E41A9">
        <w:t>-</w:t>
      </w:r>
      <w:r w:rsidR="000E41A9" w:rsidRPr="008E546E">
        <w:t>10</w:t>
      </w:r>
      <w:r w:rsidR="000E41A9">
        <w:t xml:space="preserve"> codes. An admission was categorised as a stress-related presentation if an</w:t>
      </w:r>
      <w:r w:rsidR="000E41A9" w:rsidRPr="008E546E">
        <w:t xml:space="preserve"> </w:t>
      </w:r>
      <w:r w:rsidR="000E41A9">
        <w:t xml:space="preserve">ICD-10 </w:t>
      </w:r>
      <w:r w:rsidR="000E41A9" w:rsidRPr="008E546E">
        <w:t>code</w:t>
      </w:r>
      <w:r w:rsidR="000E41A9">
        <w:t xml:space="preserve"> listed in </w:t>
      </w:r>
      <w:r w:rsidR="007F2866">
        <w:t>S</w:t>
      </w:r>
      <w:r w:rsidR="000E41A9">
        <w:t xml:space="preserve">upplementary </w:t>
      </w:r>
      <w:r w:rsidR="00E75555">
        <w:t>Material</w:t>
      </w:r>
      <w:r w:rsidR="000E41A9">
        <w:t xml:space="preserve"> </w:t>
      </w:r>
      <w:r w:rsidR="009F2BB2">
        <w:t>3</w:t>
      </w:r>
      <w:r w:rsidR="000E41A9" w:rsidRPr="008E546E">
        <w:t xml:space="preserve"> </w:t>
      </w:r>
      <w:r w:rsidR="000E41A9">
        <w:t>was</w:t>
      </w:r>
      <w:r w:rsidR="000E41A9" w:rsidRPr="008E546E">
        <w:t xml:space="preserve"> recorded in the primary diagnostic position, </w:t>
      </w:r>
      <w:r w:rsidR="000E41A9">
        <w:t>or in any diagnostic position</w:t>
      </w:r>
      <w:r w:rsidR="000E41A9" w:rsidRPr="008E546E">
        <w:t xml:space="preserve"> for some mental health and behavioural presentations</w:t>
      </w:r>
      <w:r w:rsidR="000E41A9">
        <w:t>, as indicated</w:t>
      </w:r>
      <w:r w:rsidR="000E41A9" w:rsidRPr="008E546E">
        <w:t xml:space="preserve">. </w:t>
      </w:r>
      <w:r w:rsidR="000E41A9" w:rsidRPr="008E546E">
        <w:rPr>
          <w:vertAlign w:val="superscript"/>
        </w:rPr>
        <w:t>1</w:t>
      </w:r>
      <w:r w:rsidR="00FE0AE6">
        <w:rPr>
          <w:vertAlign w:val="superscript"/>
        </w:rPr>
        <w:t xml:space="preserve"> </w:t>
      </w:r>
      <w:r w:rsidR="00FE0AE6">
        <w:t>Admissions with a primary diagnostic code of R10 (</w:t>
      </w:r>
      <w:r w:rsidR="00FE0AE6" w:rsidRPr="00FE0AE6">
        <w:t xml:space="preserve">Abdominal and </w:t>
      </w:r>
      <w:r w:rsidR="00FE0AE6" w:rsidRPr="00FE0AE6">
        <w:lastRenderedPageBreak/>
        <w:t>pelvic pain</w:t>
      </w:r>
      <w:r w:rsidR="00FE0AE6">
        <w:t>) were not categorised as a stress-related presentation if</w:t>
      </w:r>
      <w:r w:rsidR="00FE0AE6" w:rsidRPr="00FE0AE6">
        <w:t xml:space="preserve"> a medical or surgical cause</w:t>
      </w:r>
      <w:r w:rsidR="00FE0AE6">
        <w:t xml:space="preserve"> </w:t>
      </w:r>
      <w:r w:rsidR="00FE0AE6" w:rsidRPr="00FE0AE6">
        <w:t xml:space="preserve">was </w:t>
      </w:r>
      <w:r w:rsidR="00FE0AE6">
        <w:t xml:space="preserve">indicated by </w:t>
      </w:r>
      <w:r w:rsidR="00813E6F">
        <w:t>an</w:t>
      </w:r>
      <w:r w:rsidR="00FE0AE6">
        <w:t xml:space="preserve"> </w:t>
      </w:r>
      <w:r w:rsidR="00813E6F">
        <w:t>operation</w:t>
      </w:r>
      <w:r w:rsidR="00FE0AE6">
        <w:t xml:space="preserve"> or subsidiary diagnostic code </w:t>
      </w:r>
      <w:r w:rsidR="00FE0AE6" w:rsidRPr="00FE0AE6">
        <w:t>for the same admission</w:t>
      </w:r>
      <w:r w:rsidR="00FE0AE6">
        <w:t xml:space="preserve"> (as detailed in Supplementary </w:t>
      </w:r>
      <w:r w:rsidR="00E75555">
        <w:t>Material</w:t>
      </w:r>
      <w:r w:rsidR="00FE0AE6">
        <w:t xml:space="preserve"> </w:t>
      </w:r>
      <w:r w:rsidR="00443DC2">
        <w:t>4</w:t>
      </w:r>
      <w:r w:rsidR="00FE0AE6">
        <w:t>).</w:t>
      </w:r>
      <w:r w:rsidR="000E41A9" w:rsidRPr="008E546E">
        <w:rPr>
          <w:vertAlign w:val="superscript"/>
        </w:rPr>
        <w:t xml:space="preserve"> </w:t>
      </w:r>
      <w:r w:rsidR="00FE0AE6">
        <w:rPr>
          <w:vertAlign w:val="superscript"/>
        </w:rPr>
        <w:t xml:space="preserve">2 </w:t>
      </w:r>
      <w:r w:rsidR="000E41A9" w:rsidRPr="008E546E">
        <w:t>An</w:t>
      </w:r>
      <w:r w:rsidR="000E41A9">
        <w:t xml:space="preserve"> admission was categorised as a stress-related presentation if this</w:t>
      </w:r>
      <w:r w:rsidR="000E41A9" w:rsidRPr="008E546E">
        <w:t xml:space="preserve"> ICD</w:t>
      </w:r>
      <w:r w:rsidR="000E41A9">
        <w:t>-</w:t>
      </w:r>
      <w:r w:rsidR="000E41A9" w:rsidRPr="008E546E">
        <w:t>10 code</w:t>
      </w:r>
      <w:r w:rsidR="000E41A9">
        <w:t xml:space="preserve"> was</w:t>
      </w:r>
      <w:r w:rsidR="000E41A9" w:rsidRPr="008E546E">
        <w:t xml:space="preserve"> recorded in any diagnostic coding position</w:t>
      </w:r>
      <w:r w:rsidR="000E41A9">
        <w:t xml:space="preserve">. </w:t>
      </w:r>
      <w:r w:rsidR="00FE0AE6">
        <w:rPr>
          <w:vertAlign w:val="superscript"/>
        </w:rPr>
        <w:t>3</w:t>
      </w:r>
      <w:r w:rsidR="000E41A9" w:rsidRPr="008E546E">
        <w:t xml:space="preserve"> An</w:t>
      </w:r>
      <w:r w:rsidR="000E41A9">
        <w:t xml:space="preserve"> admission was categorised as a stress-related presentation if this</w:t>
      </w:r>
      <w:r w:rsidR="000E41A9" w:rsidRPr="008E546E">
        <w:t xml:space="preserve"> ICD</w:t>
      </w:r>
      <w:r w:rsidR="000E41A9">
        <w:t>-</w:t>
      </w:r>
      <w:r w:rsidR="000E41A9" w:rsidRPr="008E546E">
        <w:t>10 code</w:t>
      </w:r>
      <w:r w:rsidR="000E41A9">
        <w:t xml:space="preserve"> was</w:t>
      </w:r>
      <w:r w:rsidR="000E41A9" w:rsidRPr="008E546E">
        <w:t xml:space="preserve"> recorded in </w:t>
      </w:r>
      <w:r w:rsidR="000E41A9">
        <w:t>the primary</w:t>
      </w:r>
      <w:r w:rsidR="000E41A9" w:rsidRPr="008E546E">
        <w:t xml:space="preserve"> diagnostic coding position </w:t>
      </w:r>
      <w:r w:rsidR="000E41A9" w:rsidRPr="000E41A9">
        <w:rPr>
          <w:u w:val="single"/>
        </w:rPr>
        <w:t>and</w:t>
      </w:r>
      <w:r w:rsidR="000E41A9" w:rsidRPr="008E546E">
        <w:t xml:space="preserve"> </w:t>
      </w:r>
      <w:r w:rsidR="000E41A9">
        <w:t>one of the following</w:t>
      </w:r>
      <w:r w:rsidR="000E41A9" w:rsidRPr="008E546E">
        <w:t xml:space="preserve"> self-harm code</w:t>
      </w:r>
      <w:r w:rsidR="000E41A9">
        <w:t>s were also recorded</w:t>
      </w:r>
      <w:r w:rsidR="000E41A9" w:rsidRPr="008E546E">
        <w:t xml:space="preserve"> in an</w:t>
      </w:r>
      <w:r w:rsidR="000E41A9">
        <w:t>other</w:t>
      </w:r>
      <w:r w:rsidR="000E41A9" w:rsidRPr="008E546E">
        <w:t xml:space="preserve"> diagnostic position</w:t>
      </w:r>
      <w:bookmarkStart w:id="1" w:name="_Hlk70067322"/>
      <w:r w:rsidR="000E41A9">
        <w:t xml:space="preserve">: </w:t>
      </w:r>
      <w:r w:rsidR="000E41A9" w:rsidRPr="008E546E">
        <w:t>X60-63</w:t>
      </w:r>
      <w:r w:rsidR="000E41A9">
        <w:t xml:space="preserve"> (</w:t>
      </w:r>
      <w:r w:rsidR="000E41A9" w:rsidRPr="00107C1D">
        <w:t xml:space="preserve">Intentional self-poisoning </w:t>
      </w:r>
      <w:r w:rsidR="000E41A9">
        <w:t>(</w:t>
      </w:r>
      <w:r w:rsidR="000E41A9" w:rsidRPr="00107C1D">
        <w:t>drugs</w:t>
      </w:r>
      <w:r w:rsidR="000E41A9">
        <w:t xml:space="preserve">)), </w:t>
      </w:r>
      <w:r w:rsidR="000E41A9" w:rsidRPr="008E546E">
        <w:t>X64-X69</w:t>
      </w:r>
      <w:r w:rsidR="000E41A9">
        <w:t xml:space="preserve"> (</w:t>
      </w:r>
      <w:r w:rsidR="000E41A9" w:rsidRPr="00107C1D">
        <w:t xml:space="preserve">Intentional self-harm </w:t>
      </w:r>
      <w:r w:rsidR="000E41A9">
        <w:t>(</w:t>
      </w:r>
      <w:r w:rsidR="000E41A9" w:rsidRPr="00107C1D">
        <w:t>self-poisoning</w:t>
      </w:r>
      <w:r w:rsidR="000E41A9">
        <w:t xml:space="preserve">)), </w:t>
      </w:r>
      <w:r w:rsidR="000E41A9" w:rsidRPr="008E546E">
        <w:t>X70-X84</w:t>
      </w:r>
      <w:r w:rsidR="000E41A9">
        <w:t xml:space="preserve"> (</w:t>
      </w:r>
      <w:r w:rsidR="000E41A9" w:rsidRPr="00107C1D">
        <w:t xml:space="preserve">Intentional self-harm </w:t>
      </w:r>
      <w:r w:rsidR="000E41A9">
        <w:t>(</w:t>
      </w:r>
      <w:r w:rsidR="000E41A9" w:rsidRPr="00107C1D">
        <w:t>hanging, drowning, firearm, explosive material, fire, steam, sharp/blunt object, jumping, crashing motor vehicle, other</w:t>
      </w:r>
      <w:r w:rsidR="000E41A9">
        <w:t xml:space="preserve">)), </w:t>
      </w:r>
      <w:r w:rsidR="000E41A9" w:rsidRPr="008E546E">
        <w:t>Z642</w:t>
      </w:r>
      <w:r w:rsidR="000E41A9">
        <w:t xml:space="preserve"> (</w:t>
      </w:r>
      <w:r w:rsidR="000E41A9" w:rsidRPr="00107C1D">
        <w:t>Intentional self-poisoning by and exposure to other and unspecified drugs, medicaments and biological substances</w:t>
      </w:r>
      <w:r w:rsidR="000E41A9">
        <w:t>) or Z915 (personal history of self-harm</w:t>
      </w:r>
      <w:bookmarkEnd w:id="1"/>
      <w:r w:rsidR="000E41A9">
        <w:t>)</w:t>
      </w:r>
      <w:r w:rsidR="000E41A9" w:rsidRPr="008E546E">
        <w:t>.</w:t>
      </w:r>
      <w:r w:rsidR="000E41A9">
        <w:t xml:space="preserve"> </w:t>
      </w:r>
      <w:r w:rsidR="00FE0AE6">
        <w:rPr>
          <w:vertAlign w:val="superscript"/>
        </w:rPr>
        <w:t>4</w:t>
      </w:r>
      <w:r w:rsidR="000E41A9">
        <w:t xml:space="preserve"> For admissions that included Z915 (personal history of self-harm), w</w:t>
      </w:r>
      <w:r w:rsidR="000E41A9" w:rsidRPr="00E86D76">
        <w:t xml:space="preserve">here the </w:t>
      </w:r>
      <w:r w:rsidR="000E41A9">
        <w:t xml:space="preserve">diagnostic </w:t>
      </w:r>
      <w:r w:rsidR="000E41A9" w:rsidRPr="00E86D76">
        <w:t>codes reflect</w:t>
      </w:r>
      <w:r w:rsidR="000E41A9">
        <w:t>ed</w:t>
      </w:r>
      <w:r w:rsidR="000E41A9" w:rsidRPr="00E86D76">
        <w:t xml:space="preserve"> more than one category (e.g.</w:t>
      </w:r>
      <w:r w:rsidR="000E41A9">
        <w:t>,</w:t>
      </w:r>
      <w:r w:rsidR="000E41A9" w:rsidRPr="00E86D76">
        <w:t xml:space="preserve"> drug/alcohol abuse </w:t>
      </w:r>
      <w:r w:rsidR="00FE0AE6" w:rsidRPr="00FE0AE6">
        <w:rPr>
          <w:u w:val="single"/>
        </w:rPr>
        <w:t>and</w:t>
      </w:r>
      <w:r w:rsidR="000E41A9" w:rsidRPr="00E86D76">
        <w:t xml:space="preserve"> self-harm presentations)</w:t>
      </w:r>
      <w:r w:rsidR="000E41A9">
        <w:t>,</w:t>
      </w:r>
      <w:r w:rsidR="000E41A9" w:rsidRPr="00E86D76">
        <w:t xml:space="preserve"> the presentation was classified as Self-harm/ Poisoning / Cutting only, such that </w:t>
      </w:r>
      <w:r w:rsidR="000E41A9">
        <w:t>the</w:t>
      </w:r>
      <w:r w:rsidR="000E41A9" w:rsidRPr="00E86D76">
        <w:t xml:space="preserve"> groups were mutually exclusive</w:t>
      </w:r>
      <w:r w:rsidR="000E41A9">
        <w:t>.</w:t>
      </w:r>
    </w:p>
    <w:p w14:paraId="5567F3C7" w14:textId="13DA3F90" w:rsidR="00CC685B" w:rsidRPr="00E75555" w:rsidRDefault="00332B01" w:rsidP="009F2BB2">
      <w:pPr>
        <w:spacing w:after="0"/>
        <w:rPr>
          <w:b/>
          <w:bCs/>
          <w:sz w:val="24"/>
          <w:szCs w:val="24"/>
        </w:rPr>
      </w:pPr>
      <w:r w:rsidRPr="00E75555">
        <w:rPr>
          <w:b/>
          <w:bCs/>
          <w:sz w:val="24"/>
          <w:szCs w:val="24"/>
        </w:rPr>
        <w:lastRenderedPageBreak/>
        <w:t xml:space="preserve">Supplementary </w:t>
      </w:r>
      <w:r w:rsidR="00E75555" w:rsidRPr="00E75555">
        <w:rPr>
          <w:b/>
          <w:bCs/>
          <w:sz w:val="24"/>
          <w:szCs w:val="24"/>
        </w:rPr>
        <w:t>Material</w:t>
      </w:r>
      <w:r w:rsidRPr="00E75555">
        <w:rPr>
          <w:b/>
          <w:bCs/>
          <w:sz w:val="24"/>
          <w:szCs w:val="24"/>
        </w:rPr>
        <w:t xml:space="preserve"> </w:t>
      </w:r>
      <w:r w:rsidR="00443DC2" w:rsidRPr="00E75555">
        <w:rPr>
          <w:b/>
          <w:bCs/>
          <w:sz w:val="24"/>
          <w:szCs w:val="24"/>
        </w:rPr>
        <w:t>4</w:t>
      </w:r>
    </w:p>
    <w:p w14:paraId="064BCA1C" w14:textId="62A8B154" w:rsidR="008E546E" w:rsidRDefault="00FE0AE6" w:rsidP="009F2BB2">
      <w:pPr>
        <w:spacing w:after="0"/>
        <w:rPr>
          <w:bCs/>
          <w:sz w:val="24"/>
          <w:szCs w:val="24"/>
        </w:rPr>
      </w:pPr>
      <w:r w:rsidRPr="00E75555">
        <w:rPr>
          <w:bCs/>
          <w:sz w:val="24"/>
          <w:szCs w:val="24"/>
        </w:rPr>
        <w:t xml:space="preserve">Diagnostic and </w:t>
      </w:r>
      <w:r w:rsidR="00813E6F">
        <w:rPr>
          <w:bCs/>
          <w:sz w:val="24"/>
          <w:szCs w:val="24"/>
        </w:rPr>
        <w:t>operation</w:t>
      </w:r>
      <w:r w:rsidRPr="00E75555">
        <w:rPr>
          <w:bCs/>
          <w:sz w:val="24"/>
          <w:szCs w:val="24"/>
        </w:rPr>
        <w:t xml:space="preserve"> codes indicating a medical or surgical cause for </w:t>
      </w:r>
      <w:r w:rsidR="008E546E" w:rsidRPr="00E75555">
        <w:rPr>
          <w:bCs/>
          <w:sz w:val="24"/>
          <w:szCs w:val="24"/>
        </w:rPr>
        <w:t>presentations</w:t>
      </w:r>
      <w:r w:rsidR="00700D6A" w:rsidRPr="00E75555">
        <w:rPr>
          <w:bCs/>
          <w:sz w:val="24"/>
          <w:szCs w:val="24"/>
        </w:rPr>
        <w:t xml:space="preserve"> of abdominal pain</w:t>
      </w:r>
    </w:p>
    <w:p w14:paraId="32998E81" w14:textId="77777777" w:rsidR="00E75555" w:rsidRPr="00E75555" w:rsidRDefault="00E75555" w:rsidP="009F2BB2">
      <w:pPr>
        <w:spacing w:after="0"/>
        <w:rPr>
          <w:bCs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115"/>
        <w:gridCol w:w="6627"/>
      </w:tblGrid>
      <w:tr w:rsidR="00772863" w:rsidRPr="00700D6A" w14:paraId="4F67DD07" w14:textId="77777777" w:rsidTr="00772863">
        <w:trPr>
          <w:trHeight w:val="300"/>
        </w:trPr>
        <w:tc>
          <w:tcPr>
            <w:tcW w:w="1143" w:type="dxa"/>
          </w:tcPr>
          <w:p w14:paraId="1D6F26BF" w14:textId="77777777" w:rsidR="00772863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525E33FE" w14:textId="09870FA0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FD6DBF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772863" w:rsidRPr="00700D6A" w14:paraId="043C3280" w14:textId="77777777" w:rsidTr="00772863">
        <w:trPr>
          <w:trHeight w:val="300"/>
        </w:trPr>
        <w:tc>
          <w:tcPr>
            <w:tcW w:w="1143" w:type="dxa"/>
            <w:vMerge w:val="restart"/>
          </w:tcPr>
          <w:p w14:paraId="249AC2D3" w14:textId="2E8D8DBF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Diagnosis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67FC170B" w14:textId="4C2E3B03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N832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CEF11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Other and unspecified ovarian cysts</w:t>
            </w:r>
          </w:p>
        </w:tc>
      </w:tr>
      <w:tr w:rsidR="00772863" w:rsidRPr="00700D6A" w14:paraId="124645DD" w14:textId="77777777" w:rsidTr="00772863">
        <w:trPr>
          <w:trHeight w:val="300"/>
        </w:trPr>
        <w:tc>
          <w:tcPr>
            <w:tcW w:w="1143" w:type="dxa"/>
            <w:vMerge/>
          </w:tcPr>
          <w:p w14:paraId="4DF0DEAE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43434887" w14:textId="6030DF3C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A099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2370B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Gastroenteritis and colitis of unspecified origin</w:t>
            </w:r>
          </w:p>
        </w:tc>
      </w:tr>
      <w:tr w:rsidR="00772863" w:rsidRPr="00700D6A" w14:paraId="6ED7E79A" w14:textId="77777777" w:rsidTr="00772863">
        <w:trPr>
          <w:trHeight w:val="300"/>
        </w:trPr>
        <w:tc>
          <w:tcPr>
            <w:tcW w:w="1143" w:type="dxa"/>
            <w:vMerge/>
          </w:tcPr>
          <w:p w14:paraId="6AD1E3F3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7F0E8C32" w14:textId="2C9BA9E8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K529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5526C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Noninfective gastroenteritis and colitis, unspecified</w:t>
            </w:r>
          </w:p>
        </w:tc>
      </w:tr>
      <w:tr w:rsidR="00772863" w:rsidRPr="00700D6A" w14:paraId="32106348" w14:textId="77777777" w:rsidTr="00772863">
        <w:trPr>
          <w:trHeight w:val="300"/>
        </w:trPr>
        <w:tc>
          <w:tcPr>
            <w:tcW w:w="1143" w:type="dxa"/>
            <w:vMerge/>
          </w:tcPr>
          <w:p w14:paraId="7DBBD0D8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15AB83C8" w14:textId="1122C3BC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E282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B545D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Polycystic ovarian syndrome</w:t>
            </w:r>
          </w:p>
        </w:tc>
      </w:tr>
      <w:tr w:rsidR="00772863" w:rsidRPr="00700D6A" w14:paraId="0E722FF7" w14:textId="77777777" w:rsidTr="00772863">
        <w:trPr>
          <w:trHeight w:val="300"/>
        </w:trPr>
        <w:tc>
          <w:tcPr>
            <w:tcW w:w="1143" w:type="dxa"/>
            <w:vMerge/>
          </w:tcPr>
          <w:p w14:paraId="47992E6F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35CE29E7" w14:textId="2947EE99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N390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A4A53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Urinary tract infection, site not specified</w:t>
            </w:r>
          </w:p>
        </w:tc>
      </w:tr>
      <w:tr w:rsidR="00772863" w:rsidRPr="00700D6A" w14:paraId="094A01A0" w14:textId="77777777" w:rsidTr="00772863">
        <w:trPr>
          <w:trHeight w:val="300"/>
        </w:trPr>
        <w:tc>
          <w:tcPr>
            <w:tcW w:w="1143" w:type="dxa"/>
            <w:vMerge/>
          </w:tcPr>
          <w:p w14:paraId="780FC889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15098983" w14:textId="5A9743C5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K589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D224F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Irritable bowel syndrome without diarrhoea</w:t>
            </w:r>
          </w:p>
        </w:tc>
      </w:tr>
      <w:tr w:rsidR="00772863" w:rsidRPr="00700D6A" w14:paraId="2ED238AC" w14:textId="77777777" w:rsidTr="00772863">
        <w:trPr>
          <w:trHeight w:val="300"/>
        </w:trPr>
        <w:tc>
          <w:tcPr>
            <w:tcW w:w="1143" w:type="dxa"/>
            <w:vMerge w:val="restart"/>
          </w:tcPr>
          <w:p w14:paraId="7C97A8E6" w14:textId="6D82D205" w:rsidR="00772863" w:rsidRPr="00700D6A" w:rsidRDefault="00813E6F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Operation</w:t>
            </w: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5C7F178F" w14:textId="4AD8DCB3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Y752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7C376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Laparoscopic approach to the abdominal cavity not elsewhere classified</w:t>
            </w:r>
          </w:p>
        </w:tc>
      </w:tr>
      <w:tr w:rsidR="00772863" w:rsidRPr="00700D6A" w14:paraId="4A5FF54C" w14:textId="77777777" w:rsidTr="00772863">
        <w:trPr>
          <w:trHeight w:val="300"/>
        </w:trPr>
        <w:tc>
          <w:tcPr>
            <w:tcW w:w="1143" w:type="dxa"/>
            <w:vMerge/>
          </w:tcPr>
          <w:p w14:paraId="2735FDC8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6D67D1F3" w14:textId="613772A5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H013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E487F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Emergency excision of normal appendix</w:t>
            </w:r>
          </w:p>
        </w:tc>
      </w:tr>
      <w:tr w:rsidR="00772863" w:rsidRPr="00700D6A" w14:paraId="0397D7F6" w14:textId="77777777" w:rsidTr="00772863">
        <w:trPr>
          <w:trHeight w:val="300"/>
        </w:trPr>
        <w:tc>
          <w:tcPr>
            <w:tcW w:w="1143" w:type="dxa"/>
            <w:vMerge/>
          </w:tcPr>
          <w:p w14:paraId="3BCD76E8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1235CA58" w14:textId="5D55B354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H029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A04585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Unspecified excision of appendix</w:t>
            </w:r>
          </w:p>
        </w:tc>
      </w:tr>
      <w:tr w:rsidR="00772863" w:rsidRPr="00700D6A" w14:paraId="36A11A52" w14:textId="77777777" w:rsidTr="00772863">
        <w:trPr>
          <w:trHeight w:val="300"/>
        </w:trPr>
        <w:tc>
          <w:tcPr>
            <w:tcW w:w="1143" w:type="dxa"/>
            <w:vMerge/>
          </w:tcPr>
          <w:p w14:paraId="3983F6FB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2BD1F708" w14:textId="54577081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H012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FEB637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Emergency excision of normal appendix not elsewhere classified</w:t>
            </w:r>
          </w:p>
        </w:tc>
      </w:tr>
      <w:tr w:rsidR="00772863" w:rsidRPr="00700D6A" w14:paraId="6943FCB8" w14:textId="77777777" w:rsidTr="00772863">
        <w:trPr>
          <w:trHeight w:val="300"/>
        </w:trPr>
        <w:tc>
          <w:tcPr>
            <w:tcW w:w="1143" w:type="dxa"/>
            <w:vMerge/>
          </w:tcPr>
          <w:p w14:paraId="173350C8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69E00AE2" w14:textId="16A6C72A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H019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E5E49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Unspecified emergency excision of appendix</w:t>
            </w:r>
          </w:p>
        </w:tc>
      </w:tr>
      <w:tr w:rsidR="00772863" w:rsidRPr="00700D6A" w14:paraId="05B11D70" w14:textId="77777777" w:rsidTr="00772863">
        <w:trPr>
          <w:trHeight w:val="300"/>
        </w:trPr>
        <w:tc>
          <w:tcPr>
            <w:tcW w:w="1143" w:type="dxa"/>
            <w:vMerge/>
          </w:tcPr>
          <w:p w14:paraId="17A81F35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58A67111" w14:textId="26AEB6D0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H021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C7F02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Interval appendectomy</w:t>
            </w:r>
          </w:p>
        </w:tc>
      </w:tr>
      <w:tr w:rsidR="00772863" w:rsidRPr="00700D6A" w14:paraId="6D3B30BC" w14:textId="77777777" w:rsidTr="00772863">
        <w:trPr>
          <w:trHeight w:val="300"/>
        </w:trPr>
        <w:tc>
          <w:tcPr>
            <w:tcW w:w="1143" w:type="dxa"/>
            <w:vMerge/>
          </w:tcPr>
          <w:p w14:paraId="586D39DE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3184BB1F" w14:textId="27C1FF55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H023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B6C01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Prophylactic appendectomy NEC</w:t>
            </w:r>
          </w:p>
        </w:tc>
      </w:tr>
      <w:tr w:rsidR="00772863" w:rsidRPr="00700D6A" w14:paraId="1B8F1396" w14:textId="77777777" w:rsidTr="00772863">
        <w:trPr>
          <w:trHeight w:val="300"/>
        </w:trPr>
        <w:tc>
          <w:tcPr>
            <w:tcW w:w="1143" w:type="dxa"/>
            <w:vMerge/>
          </w:tcPr>
          <w:p w14:paraId="6C088A1F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5B7FEC81" w14:textId="7151D941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H024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0F976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Incidental appendectomy</w:t>
            </w:r>
          </w:p>
        </w:tc>
      </w:tr>
      <w:tr w:rsidR="00772863" w:rsidRPr="00700D6A" w14:paraId="40BAEA37" w14:textId="77777777" w:rsidTr="00772863">
        <w:trPr>
          <w:trHeight w:val="300"/>
        </w:trPr>
        <w:tc>
          <w:tcPr>
            <w:tcW w:w="1143" w:type="dxa"/>
            <w:vMerge/>
          </w:tcPr>
          <w:p w14:paraId="23FE049A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25C42910" w14:textId="1EA7BCAD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H028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81357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Other specified excision of appendix</w:t>
            </w:r>
          </w:p>
        </w:tc>
      </w:tr>
      <w:tr w:rsidR="00772863" w:rsidRPr="00700D6A" w14:paraId="55387880" w14:textId="77777777" w:rsidTr="00772863">
        <w:trPr>
          <w:trHeight w:val="300"/>
        </w:trPr>
        <w:tc>
          <w:tcPr>
            <w:tcW w:w="1143" w:type="dxa"/>
            <w:vMerge/>
          </w:tcPr>
          <w:p w14:paraId="11B7659F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14:paraId="79A3EBE4" w14:textId="630353EC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H011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D7FB1" w14:textId="77777777" w:rsidR="00772863" w:rsidRPr="00700D6A" w:rsidRDefault="00772863" w:rsidP="00700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0D6A">
              <w:rPr>
                <w:rFonts w:ascii="Calibri" w:eastAsia="Times New Roman" w:hAnsi="Calibri" w:cs="Calibri"/>
                <w:color w:val="000000"/>
                <w:lang w:eastAsia="en-GB"/>
              </w:rPr>
              <w:t>Emergency excision of abnormal appendix and drainage HFQ</w:t>
            </w:r>
          </w:p>
        </w:tc>
      </w:tr>
    </w:tbl>
    <w:p w14:paraId="1ACFE63D" w14:textId="2107A951" w:rsidR="008E546E" w:rsidRDefault="008E546E" w:rsidP="008E546E">
      <w:pPr>
        <w:rPr>
          <w:b/>
          <w:bCs/>
        </w:rPr>
      </w:pPr>
    </w:p>
    <w:p w14:paraId="3DF7487D" w14:textId="2B1DAB97" w:rsidR="00FE0AE6" w:rsidRPr="007F2866" w:rsidRDefault="007F2866" w:rsidP="007F2866">
      <w:r>
        <w:t>In H</w:t>
      </w:r>
      <w:r w:rsidR="009F2BB2">
        <w:t xml:space="preserve">ospital </w:t>
      </w:r>
      <w:r>
        <w:t>E</w:t>
      </w:r>
      <w:r w:rsidR="009F2BB2">
        <w:t xml:space="preserve">pisode </w:t>
      </w:r>
      <w:r>
        <w:t>S</w:t>
      </w:r>
      <w:r w:rsidR="009F2BB2">
        <w:t>tatistics</w:t>
      </w:r>
      <w:r>
        <w:t xml:space="preserve"> A</w:t>
      </w:r>
      <w:r w:rsidR="009F2BB2">
        <w:t xml:space="preserve">dmitted </w:t>
      </w:r>
      <w:r>
        <w:t>P</w:t>
      </w:r>
      <w:r w:rsidR="009F2BB2">
        <w:t xml:space="preserve">atient </w:t>
      </w:r>
      <w:r>
        <w:t>C</w:t>
      </w:r>
      <w:r w:rsidR="009F2BB2">
        <w:t xml:space="preserve">are data, </w:t>
      </w:r>
      <w:r>
        <w:t xml:space="preserve">up to 20 diagnosis fields and </w:t>
      </w:r>
      <w:r w:rsidR="005D2ACF" w:rsidRPr="00293EF2">
        <w:t>24</w:t>
      </w:r>
      <w:r>
        <w:t xml:space="preserve"> </w:t>
      </w:r>
      <w:r w:rsidR="00813E6F">
        <w:t>operation</w:t>
      </w:r>
      <w:r>
        <w:t xml:space="preserve"> fields can be recorded per admission using standardised coding systems</w:t>
      </w:r>
      <w:r w:rsidRPr="007F2866">
        <w:t xml:space="preserve"> </w:t>
      </w:r>
      <w:r w:rsidR="009F2BB2">
        <w:t>(</w:t>
      </w:r>
      <w:r w:rsidRPr="007F2866">
        <w:t>International Classification of Diseases and Related Health Problems version 10 (ICD-10)</w:t>
      </w:r>
      <w:r>
        <w:t xml:space="preserve"> codes for diagnoses and Office of Population Censuses and Surveys version 4 (OPCS-4) for </w:t>
      </w:r>
      <w:r w:rsidR="00813E6F">
        <w:t>operation</w:t>
      </w:r>
      <w:r>
        <w:t>s</w:t>
      </w:r>
      <w:r w:rsidR="009F2BB2">
        <w:t>)</w:t>
      </w:r>
      <w:r>
        <w:t xml:space="preserve">. </w:t>
      </w:r>
      <w:r w:rsidR="00FE0AE6">
        <w:t>Admissions with a primary diagnostic code of R10 (</w:t>
      </w:r>
      <w:r w:rsidR="00FE0AE6" w:rsidRPr="00FE0AE6">
        <w:t>Abdominal and pelvic pain</w:t>
      </w:r>
      <w:r w:rsidR="00FE0AE6">
        <w:t xml:space="preserve">) were </w:t>
      </w:r>
      <w:r w:rsidR="00FE0AE6" w:rsidRPr="009F2BB2">
        <w:rPr>
          <w:u w:val="single"/>
        </w:rPr>
        <w:t>not</w:t>
      </w:r>
      <w:r w:rsidR="00FE0AE6">
        <w:t xml:space="preserve"> categorised as a stress-related presentation if</w:t>
      </w:r>
      <w:r w:rsidR="00FE0AE6" w:rsidRPr="00FE0AE6">
        <w:t xml:space="preserve"> </w:t>
      </w:r>
      <w:r>
        <w:t>a</w:t>
      </w:r>
      <w:r w:rsidR="00FE0AE6" w:rsidRPr="00FE0AE6">
        <w:t xml:space="preserve"> medical or surgical cause</w:t>
      </w:r>
      <w:r w:rsidR="00FE0AE6">
        <w:t xml:space="preserve"> </w:t>
      </w:r>
      <w:r w:rsidR="00FE0AE6" w:rsidRPr="00FE0AE6">
        <w:t xml:space="preserve">was </w:t>
      </w:r>
      <w:r w:rsidR="00FE0AE6">
        <w:t xml:space="preserve">indicated by a </w:t>
      </w:r>
      <w:r>
        <w:t xml:space="preserve">subsidiary diagnostic code or any </w:t>
      </w:r>
      <w:r w:rsidR="00813E6F">
        <w:t>operation</w:t>
      </w:r>
      <w:r w:rsidR="00FE0AE6">
        <w:t xml:space="preserve"> </w:t>
      </w:r>
      <w:r>
        <w:t xml:space="preserve">code listed in Supplementary </w:t>
      </w:r>
      <w:r w:rsidR="00E75555">
        <w:t>Material</w:t>
      </w:r>
      <w:r>
        <w:t xml:space="preserve"> </w:t>
      </w:r>
      <w:r w:rsidR="00443DC2">
        <w:t>4</w:t>
      </w:r>
      <w:r w:rsidRPr="007F2866">
        <w:t xml:space="preserve"> </w:t>
      </w:r>
      <w:r w:rsidR="002B06D4">
        <w:t xml:space="preserve">recorded </w:t>
      </w:r>
      <w:r w:rsidRPr="00FE0AE6">
        <w:t>for the same admission</w:t>
      </w:r>
      <w:r>
        <w:t xml:space="preserve">. </w:t>
      </w:r>
    </w:p>
    <w:p w14:paraId="7B1C0449" w14:textId="77777777" w:rsidR="00CC685B" w:rsidRDefault="00CC685B" w:rsidP="008E546E"/>
    <w:p w14:paraId="692AB081" w14:textId="77777777" w:rsidR="00CC685B" w:rsidRDefault="00CC685B" w:rsidP="008E546E"/>
    <w:p w14:paraId="4DE9B2AD" w14:textId="77777777" w:rsidR="007F2866" w:rsidRDefault="007F2866">
      <w:pPr>
        <w:rPr>
          <w:b/>
          <w:bCs/>
        </w:rPr>
      </w:pPr>
      <w:r>
        <w:rPr>
          <w:b/>
          <w:bCs/>
        </w:rPr>
        <w:br w:type="page"/>
      </w:r>
    </w:p>
    <w:p w14:paraId="3ABDECB5" w14:textId="77ED6E7B" w:rsidR="009E2EBF" w:rsidRPr="007F2866" w:rsidRDefault="00332B01" w:rsidP="002B06D4">
      <w:pPr>
        <w:spacing w:after="0"/>
        <w:rPr>
          <w:b/>
          <w:bCs/>
          <w:sz w:val="24"/>
          <w:lang w:val="fr-FR"/>
        </w:rPr>
      </w:pPr>
      <w:r w:rsidRPr="007F2866">
        <w:rPr>
          <w:b/>
          <w:bCs/>
          <w:sz w:val="24"/>
        </w:rPr>
        <w:lastRenderedPageBreak/>
        <w:t xml:space="preserve">Supplementary </w:t>
      </w:r>
      <w:r w:rsidR="00E75555">
        <w:rPr>
          <w:b/>
          <w:bCs/>
          <w:sz w:val="24"/>
        </w:rPr>
        <w:t>Material</w:t>
      </w:r>
      <w:r w:rsidR="007F2866">
        <w:rPr>
          <w:b/>
          <w:bCs/>
          <w:sz w:val="24"/>
        </w:rPr>
        <w:t xml:space="preserve"> </w:t>
      </w:r>
      <w:r w:rsidR="00443DC2">
        <w:rPr>
          <w:b/>
          <w:bCs/>
          <w:sz w:val="24"/>
          <w:lang w:val="fr-FR"/>
        </w:rPr>
        <w:t>5</w:t>
      </w:r>
    </w:p>
    <w:p w14:paraId="4914A267" w14:textId="2BDB035F" w:rsidR="00F65D47" w:rsidRPr="00443DC2" w:rsidRDefault="005D2ACF" w:rsidP="002B06D4">
      <w:pPr>
        <w:shd w:val="clear" w:color="auto" w:fill="FFFFFF" w:themeFill="background1"/>
        <w:spacing w:after="0"/>
        <w:rPr>
          <w:bCs/>
          <w:lang w:val="fr-FR"/>
        </w:rPr>
      </w:pPr>
      <w:r w:rsidRPr="00443DC2">
        <w:rPr>
          <w:bCs/>
        </w:rPr>
        <w:t xml:space="preserve">International Classification of Diseases and Related Health Problems version 10 (ICD-10) code list for accidental </w:t>
      </w:r>
      <w:r w:rsidRPr="00443DC2">
        <w:rPr>
          <w:bCs/>
          <w:lang w:val="fr-FR"/>
        </w:rPr>
        <w:t>i</w:t>
      </w:r>
      <w:r w:rsidR="00F65D47" w:rsidRPr="00443DC2">
        <w:rPr>
          <w:bCs/>
          <w:lang w:val="fr-FR"/>
        </w:rPr>
        <w:t xml:space="preserve">njuries </w:t>
      </w:r>
      <w:r w:rsidR="00CC685B" w:rsidRPr="00443DC2">
        <w:rPr>
          <w:bCs/>
          <w:lang w:val="fr-FR"/>
        </w:rPr>
        <w:br/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7352"/>
      </w:tblGrid>
      <w:tr w:rsidR="00F65D47" w:rsidRPr="00F65D47" w14:paraId="1E125302" w14:textId="77777777" w:rsidTr="00F65D47">
        <w:trPr>
          <w:trHeight w:val="315"/>
        </w:trPr>
        <w:tc>
          <w:tcPr>
            <w:tcW w:w="1228" w:type="dxa"/>
            <w:shd w:val="clear" w:color="000000" w:fill="FFFFFF"/>
            <w:noWrap/>
            <w:vAlign w:val="center"/>
            <w:hideMark/>
          </w:tcPr>
          <w:p w14:paraId="35F943DA" w14:textId="555C7201" w:rsidR="00F65D47" w:rsidRPr="00F65D47" w:rsidRDefault="00F65D47" w:rsidP="00F6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65D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ICD</w:t>
            </w:r>
            <w:r w:rsidR="005D2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-10 </w:t>
            </w:r>
            <w:r w:rsidRPr="00F65D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code</w:t>
            </w:r>
          </w:p>
        </w:tc>
        <w:tc>
          <w:tcPr>
            <w:tcW w:w="7352" w:type="dxa"/>
            <w:shd w:val="clear" w:color="000000" w:fill="FFFFFF"/>
            <w:vAlign w:val="center"/>
            <w:hideMark/>
          </w:tcPr>
          <w:p w14:paraId="36ACCBC7" w14:textId="33FCB6FD" w:rsidR="00F65D47" w:rsidRPr="00F65D47" w:rsidRDefault="00F65D47" w:rsidP="00F65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65D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ICD</w:t>
            </w:r>
            <w:r w:rsidR="005D2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-</w:t>
            </w:r>
            <w:r w:rsidRPr="00F65D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10 Description </w:t>
            </w:r>
          </w:p>
        </w:tc>
      </w:tr>
      <w:tr w:rsidR="00F65D47" w:rsidRPr="00F65D47" w14:paraId="0F4501FA" w14:textId="77777777" w:rsidTr="00F65D47">
        <w:trPr>
          <w:trHeight w:val="300"/>
        </w:trPr>
        <w:tc>
          <w:tcPr>
            <w:tcW w:w="1228" w:type="dxa"/>
            <w:shd w:val="clear" w:color="000000" w:fill="FFFFFF"/>
            <w:noWrap/>
            <w:vAlign w:val="center"/>
            <w:hideMark/>
          </w:tcPr>
          <w:p w14:paraId="400732AB" w14:textId="3A403881" w:rsidR="00F65D47" w:rsidRPr="00F65D47" w:rsidRDefault="00F65D47" w:rsidP="00F6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D47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  <w:r w:rsidRPr="008E5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7352" w:type="dxa"/>
            <w:shd w:val="clear" w:color="000000" w:fill="FFFFFF"/>
            <w:vAlign w:val="center"/>
            <w:hideMark/>
          </w:tcPr>
          <w:p w14:paraId="6F2F93C6" w14:textId="77777777" w:rsidR="00F65D47" w:rsidRPr="00F65D47" w:rsidRDefault="00F65D47" w:rsidP="00F6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D47">
              <w:rPr>
                <w:rFonts w:ascii="Calibri" w:eastAsia="Times New Roman" w:hAnsi="Calibri" w:cs="Calibri"/>
                <w:color w:val="000000"/>
                <w:lang w:eastAsia="en-GB"/>
              </w:rPr>
              <w:t>Accidents</w:t>
            </w:r>
          </w:p>
        </w:tc>
      </w:tr>
      <w:tr w:rsidR="00F65D47" w:rsidRPr="00F65D47" w14:paraId="5FC8409C" w14:textId="77777777" w:rsidTr="002650F8">
        <w:trPr>
          <w:trHeight w:val="900"/>
        </w:trPr>
        <w:tc>
          <w:tcPr>
            <w:tcW w:w="1228" w:type="dxa"/>
            <w:shd w:val="clear" w:color="000000" w:fill="FFFFFF"/>
            <w:noWrap/>
            <w:vAlign w:val="center"/>
            <w:hideMark/>
          </w:tcPr>
          <w:p w14:paraId="65698EC9" w14:textId="4B73F30E" w:rsidR="00F65D47" w:rsidRPr="00F65D47" w:rsidRDefault="00F65D47" w:rsidP="00F6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D47">
              <w:rPr>
                <w:rFonts w:ascii="Calibri" w:eastAsia="Times New Roman" w:hAnsi="Calibri" w:cs="Calibri"/>
                <w:color w:val="000000"/>
                <w:lang w:eastAsia="en-GB"/>
              </w:rPr>
              <w:t>W0-W9</w:t>
            </w:r>
            <w:r w:rsidRPr="008E5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735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D97B35A" w14:textId="1A3BFEDF" w:rsidR="00F65D47" w:rsidRPr="00F65D47" w:rsidRDefault="00F65D47" w:rsidP="00F6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D47">
              <w:rPr>
                <w:rFonts w:ascii="Calibri" w:eastAsia="Times New Roman" w:hAnsi="Calibri" w:cs="Calibri"/>
                <w:color w:val="000000"/>
                <w:lang w:eastAsia="en-GB"/>
              </w:rPr>
              <w:t>Falls, exposure to mechanical</w:t>
            </w:r>
            <w:r w:rsidRPr="008E5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65D47">
              <w:rPr>
                <w:rFonts w:ascii="Calibri" w:eastAsia="Times New Roman" w:hAnsi="Calibri" w:cs="Calibri"/>
                <w:color w:val="000000"/>
                <w:lang w:eastAsia="en-GB"/>
              </w:rPr>
              <w:t>forces, accidental drowning, accidental threats to breathing, exposure to electric current, extreme temperature or pressure</w:t>
            </w:r>
          </w:p>
        </w:tc>
      </w:tr>
      <w:tr w:rsidR="00F65D47" w:rsidRPr="00F65D47" w14:paraId="49042902" w14:textId="77777777" w:rsidTr="00F65D47">
        <w:trPr>
          <w:trHeight w:val="900"/>
        </w:trPr>
        <w:tc>
          <w:tcPr>
            <w:tcW w:w="1228" w:type="dxa"/>
            <w:shd w:val="clear" w:color="000000" w:fill="FFFFFF"/>
            <w:noWrap/>
            <w:vAlign w:val="center"/>
            <w:hideMark/>
          </w:tcPr>
          <w:p w14:paraId="2063945D" w14:textId="2E8550A7" w:rsidR="00F65D47" w:rsidRPr="00F65D47" w:rsidRDefault="00F65D47" w:rsidP="00F6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D47">
              <w:rPr>
                <w:rFonts w:ascii="Calibri" w:eastAsia="Times New Roman" w:hAnsi="Calibri" w:cs="Calibri"/>
                <w:color w:val="000000"/>
                <w:lang w:eastAsia="en-GB"/>
              </w:rPr>
              <w:t>X0-X5</w:t>
            </w:r>
            <w:r w:rsidRPr="008E5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7352" w:type="dxa"/>
            <w:shd w:val="clear" w:color="000000" w:fill="FFFFFF"/>
            <w:vAlign w:val="center"/>
            <w:hideMark/>
          </w:tcPr>
          <w:p w14:paraId="273F78A5" w14:textId="77777777" w:rsidR="00F65D47" w:rsidRPr="00F65D47" w:rsidRDefault="00F65D47" w:rsidP="00F6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5D47">
              <w:rPr>
                <w:rFonts w:ascii="Calibri" w:eastAsia="Times New Roman" w:hAnsi="Calibri" w:cs="Calibri"/>
                <w:color w:val="000000"/>
                <w:lang w:eastAsia="en-GB"/>
              </w:rPr>
              <w:t>Exposure to smoke, fire and flames, contact with heat, venomous animals and plants, forces of nature, accidental poisoning, overexertion, other or unspecified accidental exposure</w:t>
            </w:r>
          </w:p>
        </w:tc>
      </w:tr>
    </w:tbl>
    <w:p w14:paraId="2656CC14" w14:textId="3A816512" w:rsidR="00CC685B" w:rsidRDefault="00CC685B" w:rsidP="002650F8"/>
    <w:p w14:paraId="5228F579" w14:textId="4DD5F118" w:rsidR="005D2ACF" w:rsidRDefault="005D2ACF" w:rsidP="005D2ACF">
      <w:pPr>
        <w:sectPr w:rsidR="005D2ACF" w:rsidSect="0077286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Supplementary </w:t>
      </w:r>
      <w:r w:rsidR="00E75555">
        <w:t>Material</w:t>
      </w:r>
      <w:r>
        <w:t xml:space="preserve"> </w:t>
      </w:r>
      <w:r w:rsidR="00443DC2">
        <w:t>5</w:t>
      </w:r>
      <w:r>
        <w:t xml:space="preserve"> outlines the ICD-10 c</w:t>
      </w:r>
      <w:r w:rsidRPr="008E546E">
        <w:t>ode list</w:t>
      </w:r>
      <w:r>
        <w:t xml:space="preserve"> that was used to identify </w:t>
      </w:r>
      <w:r w:rsidRPr="005D2ACF">
        <w:rPr>
          <w:bCs/>
        </w:rPr>
        <w:t xml:space="preserve">accidental </w:t>
      </w:r>
      <w:r w:rsidRPr="005D2ACF">
        <w:rPr>
          <w:bCs/>
          <w:lang w:val="fr-FR"/>
        </w:rPr>
        <w:t>injuries</w:t>
      </w:r>
      <w:r w:rsidRPr="00D66DC0">
        <w:rPr>
          <w:b/>
          <w:bCs/>
          <w:lang w:val="fr-FR"/>
        </w:rPr>
        <w:t xml:space="preserve"> </w:t>
      </w:r>
      <w:r>
        <w:t>admissions</w:t>
      </w:r>
      <w:r w:rsidRPr="008E546E">
        <w:t xml:space="preserve"> in H</w:t>
      </w:r>
      <w:r>
        <w:t xml:space="preserve">ospital </w:t>
      </w:r>
      <w:r w:rsidRPr="008E546E">
        <w:t>E</w:t>
      </w:r>
      <w:r>
        <w:t xml:space="preserve">pisode </w:t>
      </w:r>
      <w:r w:rsidRPr="008E546E">
        <w:t>S</w:t>
      </w:r>
      <w:r>
        <w:t>tatistics Admitted Patient Care (HES APC) data based on information recorded in the diagnosis fields</w:t>
      </w:r>
      <w:r w:rsidRPr="008E546E">
        <w:t>.</w:t>
      </w:r>
      <w:r>
        <w:t xml:space="preserve"> In HES APC up to 20 diagnosis fields can be recorded per admission using </w:t>
      </w:r>
      <w:r w:rsidRPr="008E546E">
        <w:t>ICD</w:t>
      </w:r>
      <w:r>
        <w:t>-</w:t>
      </w:r>
      <w:r w:rsidRPr="008E546E">
        <w:t>10</w:t>
      </w:r>
      <w:r>
        <w:t xml:space="preserve"> codes. An admission was categorised as an accidental injury if an</w:t>
      </w:r>
      <w:r w:rsidRPr="008E546E">
        <w:t xml:space="preserve"> </w:t>
      </w:r>
      <w:r>
        <w:t xml:space="preserve">ICD-10 </w:t>
      </w:r>
      <w:r w:rsidRPr="008E546E">
        <w:t>code</w:t>
      </w:r>
      <w:r>
        <w:t xml:space="preserve"> listed in Supplementary </w:t>
      </w:r>
      <w:r w:rsidR="00E75555">
        <w:t>Material</w:t>
      </w:r>
      <w:r>
        <w:t xml:space="preserve"> </w:t>
      </w:r>
      <w:r w:rsidR="00443DC2">
        <w:t>5</w:t>
      </w:r>
      <w:r w:rsidRPr="008E546E">
        <w:t xml:space="preserve"> </w:t>
      </w:r>
      <w:r>
        <w:t>was</w:t>
      </w:r>
      <w:r w:rsidRPr="008E546E">
        <w:t xml:space="preserve"> recorded in </w:t>
      </w:r>
      <w:r w:rsidR="000B0692" w:rsidRPr="000B0692">
        <w:t>any</w:t>
      </w:r>
      <w:r w:rsidRPr="008E546E">
        <w:t xml:space="preserve"> diagnostic position</w:t>
      </w:r>
      <w:r>
        <w:t xml:space="preserve">. </w:t>
      </w:r>
      <w:r w:rsidR="000B0692" w:rsidRPr="000B0692">
        <w:t xml:space="preserve">Admissions where these accidental injury codes were identified were not categorised as </w:t>
      </w:r>
      <w:r w:rsidR="000B0692">
        <w:t>stress-related presentations</w:t>
      </w:r>
      <w:r w:rsidR="000B0692" w:rsidRPr="000B0692">
        <w:t xml:space="preserve"> such that the two groups were mutually exclusive.  </w:t>
      </w:r>
    </w:p>
    <w:p w14:paraId="1CAA7C41" w14:textId="336465E7" w:rsidR="00DA5D80" w:rsidRPr="00E75555" w:rsidRDefault="0071404E" w:rsidP="002B06D4">
      <w:pPr>
        <w:spacing w:after="0"/>
        <w:rPr>
          <w:b/>
          <w:bCs/>
          <w:sz w:val="24"/>
          <w:szCs w:val="24"/>
        </w:rPr>
      </w:pPr>
      <w:r w:rsidRPr="00E75555">
        <w:rPr>
          <w:b/>
          <w:bCs/>
          <w:sz w:val="24"/>
          <w:szCs w:val="24"/>
        </w:rPr>
        <w:lastRenderedPageBreak/>
        <w:t>S</w:t>
      </w:r>
      <w:r w:rsidR="00332B01" w:rsidRPr="00E75555">
        <w:rPr>
          <w:b/>
          <w:bCs/>
          <w:sz w:val="24"/>
          <w:szCs w:val="24"/>
        </w:rPr>
        <w:t xml:space="preserve">upplementary </w:t>
      </w:r>
      <w:r w:rsidR="00E75555">
        <w:rPr>
          <w:b/>
          <w:bCs/>
          <w:sz w:val="24"/>
          <w:szCs w:val="24"/>
        </w:rPr>
        <w:t>M</w:t>
      </w:r>
      <w:r w:rsidR="00332B01" w:rsidRPr="00E75555">
        <w:rPr>
          <w:b/>
          <w:bCs/>
          <w:sz w:val="24"/>
          <w:szCs w:val="24"/>
        </w:rPr>
        <w:t>aterial</w:t>
      </w:r>
      <w:r w:rsidR="00DA5D80" w:rsidRPr="00E75555">
        <w:rPr>
          <w:b/>
          <w:bCs/>
          <w:sz w:val="24"/>
          <w:szCs w:val="24"/>
        </w:rPr>
        <w:t xml:space="preserve"> </w:t>
      </w:r>
      <w:r w:rsidR="00443DC2" w:rsidRPr="00E75555">
        <w:rPr>
          <w:b/>
          <w:bCs/>
          <w:sz w:val="24"/>
          <w:szCs w:val="24"/>
        </w:rPr>
        <w:t>6</w:t>
      </w:r>
    </w:p>
    <w:p w14:paraId="5B08E771" w14:textId="7B7FF58D" w:rsidR="00CD36A6" w:rsidRPr="00E75555" w:rsidRDefault="00CD36A6" w:rsidP="002B06D4">
      <w:pPr>
        <w:spacing w:after="0"/>
        <w:rPr>
          <w:sz w:val="24"/>
          <w:szCs w:val="24"/>
        </w:rPr>
      </w:pPr>
      <w:r w:rsidRPr="00E75555">
        <w:rPr>
          <w:sz w:val="24"/>
          <w:szCs w:val="24"/>
        </w:rPr>
        <w:t>Mean weekly rates (per 100,000 adolescents) of stress-related presentations occurring in term or holiday time by academic year, age and sex</w:t>
      </w:r>
    </w:p>
    <w:p w14:paraId="76FC1802" w14:textId="77777777" w:rsidR="002B06D4" w:rsidRDefault="002B06D4" w:rsidP="002B06D4">
      <w:pPr>
        <w:spacing w:after="0"/>
      </w:pPr>
    </w:p>
    <w:tbl>
      <w:tblPr>
        <w:tblW w:w="9865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988"/>
        <w:gridCol w:w="1568"/>
        <w:gridCol w:w="841"/>
        <w:gridCol w:w="986"/>
        <w:gridCol w:w="857"/>
        <w:gridCol w:w="970"/>
        <w:gridCol w:w="873"/>
        <w:gridCol w:w="954"/>
        <w:gridCol w:w="889"/>
        <w:gridCol w:w="939"/>
      </w:tblGrid>
      <w:tr w:rsidR="006B122C" w:rsidRPr="00F80A0E" w14:paraId="126E7693" w14:textId="77777777" w:rsidTr="007C523C">
        <w:trPr>
          <w:trHeight w:val="336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B47C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2" w:name="_Hlk70082488"/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500277" w14:textId="34C2EFB6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Age (years) 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6E2B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Mean weekly rates of stress-related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presentations</w:t>
            </w: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per 100,000 adolescents</w:t>
            </w:r>
          </w:p>
        </w:tc>
      </w:tr>
      <w:tr w:rsidR="005C326C" w:rsidRPr="00F80A0E" w14:paraId="46EAD29A" w14:textId="77777777" w:rsidTr="007C523C">
        <w:trPr>
          <w:trHeight w:val="264"/>
        </w:trPr>
        <w:tc>
          <w:tcPr>
            <w:tcW w:w="988" w:type="dxa"/>
            <w:vMerge/>
            <w:vAlign w:val="center"/>
            <w:hideMark/>
          </w:tcPr>
          <w:p w14:paraId="32C7A6BE" w14:textId="77777777" w:rsidR="005C326C" w:rsidRPr="00F80A0E" w:rsidRDefault="005C326C" w:rsidP="000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054897C" w14:textId="77777777" w:rsidR="005C326C" w:rsidRPr="00F80A0E" w:rsidRDefault="005C326C" w:rsidP="000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384F" w14:textId="77777777" w:rsidR="005C326C" w:rsidRPr="00F80A0E" w:rsidRDefault="005C326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2014/15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F582" w14:textId="77777777" w:rsidR="005C326C" w:rsidRPr="00F80A0E" w:rsidRDefault="005C326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2015/16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48A7" w14:textId="77777777" w:rsidR="005C326C" w:rsidRPr="00F80A0E" w:rsidRDefault="005C326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2016/17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A2CA" w14:textId="44D5EC69" w:rsidR="005C326C" w:rsidRPr="00F80A0E" w:rsidRDefault="005C326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2017/18</w:t>
            </w:r>
          </w:p>
        </w:tc>
      </w:tr>
      <w:tr w:rsidR="005C326C" w:rsidRPr="00F80A0E" w14:paraId="2B8A07EA" w14:textId="77777777" w:rsidTr="007C523C">
        <w:trPr>
          <w:trHeight w:val="26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99E365D" w14:textId="77777777" w:rsidR="005C326C" w:rsidRPr="00F80A0E" w:rsidRDefault="005C326C" w:rsidP="000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5984E27" w14:textId="77777777" w:rsidR="005C326C" w:rsidRPr="00F80A0E" w:rsidRDefault="005C326C" w:rsidP="000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E2C5" w14:textId="77777777" w:rsidR="005C326C" w:rsidRPr="00F80A0E" w:rsidRDefault="005C326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66AD" w14:textId="77777777" w:rsidR="005C326C" w:rsidRPr="00F80A0E" w:rsidRDefault="005C326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Holiday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BCCA" w14:textId="77777777" w:rsidR="005C326C" w:rsidRPr="00F80A0E" w:rsidRDefault="005C326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3EDC" w14:textId="77777777" w:rsidR="005C326C" w:rsidRPr="00F80A0E" w:rsidRDefault="005C326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Holiday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87F0" w14:textId="77777777" w:rsidR="005C326C" w:rsidRPr="00F80A0E" w:rsidRDefault="005C326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F281" w14:textId="77777777" w:rsidR="005C326C" w:rsidRPr="00F80A0E" w:rsidRDefault="005C326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Holiday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236B" w14:textId="77777777" w:rsidR="005C326C" w:rsidRPr="00F80A0E" w:rsidRDefault="005C326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FC92" w14:textId="7F3CE0D9" w:rsidR="005C326C" w:rsidRPr="00F80A0E" w:rsidRDefault="005C326C" w:rsidP="000E4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Holiday</w:t>
            </w:r>
          </w:p>
        </w:tc>
      </w:tr>
      <w:tr w:rsidR="006B122C" w:rsidRPr="00F80A0E" w14:paraId="4A136357" w14:textId="77777777" w:rsidTr="007C523C">
        <w:trPr>
          <w:trHeight w:val="264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582C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Girls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8AB7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C8C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008A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ADBC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EBF2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9D45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51BC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61E6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B521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</w:tr>
      <w:tr w:rsidR="006B122C" w:rsidRPr="00F80A0E" w14:paraId="14B098B2" w14:textId="77777777" w:rsidTr="007C523C">
        <w:trPr>
          <w:trHeight w:val="264"/>
        </w:trPr>
        <w:tc>
          <w:tcPr>
            <w:tcW w:w="988" w:type="dxa"/>
            <w:vMerge/>
            <w:vAlign w:val="center"/>
            <w:hideMark/>
          </w:tcPr>
          <w:p w14:paraId="64D6E755" w14:textId="77777777" w:rsidR="006B122C" w:rsidRPr="007C523C" w:rsidRDefault="006B122C" w:rsidP="000E41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237582D8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E295F93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44472B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0F1373D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0E0DC7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1D7617F3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56817588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F86BB59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2ECE101D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</w:tr>
      <w:tr w:rsidR="006B122C" w:rsidRPr="00F80A0E" w14:paraId="426F6F83" w14:textId="77777777" w:rsidTr="007C523C">
        <w:trPr>
          <w:trHeight w:val="264"/>
        </w:trPr>
        <w:tc>
          <w:tcPr>
            <w:tcW w:w="988" w:type="dxa"/>
            <w:vMerge/>
            <w:vAlign w:val="center"/>
            <w:hideMark/>
          </w:tcPr>
          <w:p w14:paraId="55DEB43D" w14:textId="77777777" w:rsidR="006B122C" w:rsidRPr="007C523C" w:rsidRDefault="006B122C" w:rsidP="000E41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5BB55E40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57EDB223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4D7D057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6607B75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E6D403F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70469DC1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601EF277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E48BB17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673E1E7F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</w:tr>
      <w:tr w:rsidR="006B122C" w:rsidRPr="00F80A0E" w14:paraId="584A1D1A" w14:textId="77777777" w:rsidTr="007C523C">
        <w:trPr>
          <w:trHeight w:val="264"/>
        </w:trPr>
        <w:tc>
          <w:tcPr>
            <w:tcW w:w="988" w:type="dxa"/>
            <w:vMerge/>
            <w:vAlign w:val="center"/>
            <w:hideMark/>
          </w:tcPr>
          <w:p w14:paraId="4815DC24" w14:textId="77777777" w:rsidR="006B122C" w:rsidRPr="007C523C" w:rsidRDefault="006B122C" w:rsidP="000E41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09AB2BF8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6C2893C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01788DA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1EA0D07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B02ACDF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50AEACFE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582F7F23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12D4D03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31F04A20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</w:tr>
      <w:tr w:rsidR="006B122C" w:rsidRPr="00F80A0E" w14:paraId="1C622521" w14:textId="77777777" w:rsidTr="007C523C">
        <w:trPr>
          <w:trHeight w:val="264"/>
        </w:trPr>
        <w:tc>
          <w:tcPr>
            <w:tcW w:w="988" w:type="dxa"/>
            <w:vMerge/>
            <w:vAlign w:val="center"/>
            <w:hideMark/>
          </w:tcPr>
          <w:p w14:paraId="2E4B4524" w14:textId="77777777" w:rsidR="006B122C" w:rsidRPr="007C523C" w:rsidRDefault="006B122C" w:rsidP="000E41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18A82FA0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737D3C9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3C4848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51C5BCD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BFA828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646DE0E3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6659439F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9841ED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2C9F6C5B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</w:tr>
      <w:tr w:rsidR="006B122C" w:rsidRPr="00F80A0E" w14:paraId="24EF569F" w14:textId="77777777" w:rsidTr="007C523C">
        <w:trPr>
          <w:trHeight w:val="264"/>
        </w:trPr>
        <w:tc>
          <w:tcPr>
            <w:tcW w:w="988" w:type="dxa"/>
            <w:vMerge/>
            <w:vAlign w:val="center"/>
            <w:hideMark/>
          </w:tcPr>
          <w:p w14:paraId="7C371F87" w14:textId="77777777" w:rsidR="006B122C" w:rsidRPr="007C523C" w:rsidRDefault="006B122C" w:rsidP="000E41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69C17540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DBC1827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3F76C5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603BC63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85F1522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42BA73DF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05FC0689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093650D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21986ECE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</w:tr>
      <w:tr w:rsidR="006B122C" w:rsidRPr="00F80A0E" w14:paraId="6BAB44CA" w14:textId="77777777" w:rsidTr="007C523C">
        <w:trPr>
          <w:trHeight w:val="26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CDAD6C6" w14:textId="77777777" w:rsidR="006B122C" w:rsidRPr="007C523C" w:rsidRDefault="006B122C" w:rsidP="000E41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2892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3D30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0D3C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BCD8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82A9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5F37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84E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A4AE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9A1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</w:tr>
      <w:tr w:rsidR="006B122C" w:rsidRPr="00F80A0E" w14:paraId="03638AE7" w14:textId="77777777" w:rsidTr="007C523C">
        <w:trPr>
          <w:trHeight w:val="264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E61B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Boys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62DE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95F1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40B3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006C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1091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62A5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10DB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9540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7D1B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6B122C" w:rsidRPr="00F80A0E" w14:paraId="7E7E7484" w14:textId="77777777" w:rsidTr="007C523C">
        <w:trPr>
          <w:trHeight w:val="26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CD47FFC" w14:textId="77777777" w:rsidR="006B122C" w:rsidRPr="007C523C" w:rsidRDefault="006B122C" w:rsidP="000E41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1F3EA5A4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416535CE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2CE06A3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4E17D26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98ADDCB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4F6B770F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68C34AC5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7185CFB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6CB3D4DC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</w:tr>
      <w:tr w:rsidR="006B122C" w:rsidRPr="00F80A0E" w14:paraId="41813F38" w14:textId="77777777" w:rsidTr="007C523C">
        <w:trPr>
          <w:trHeight w:val="26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448EDE1" w14:textId="77777777" w:rsidR="006B122C" w:rsidRPr="007C523C" w:rsidRDefault="006B122C" w:rsidP="000E41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0CDAA962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BA0C382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17920D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EED2D3F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BEDA7A0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5744618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755DEE39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F8908C7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37228EBD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</w:tr>
      <w:tr w:rsidR="006B122C" w:rsidRPr="00F80A0E" w14:paraId="378C9E93" w14:textId="77777777" w:rsidTr="007C523C">
        <w:trPr>
          <w:trHeight w:val="26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6631499" w14:textId="77777777" w:rsidR="006B122C" w:rsidRPr="007C523C" w:rsidRDefault="006B122C" w:rsidP="000E41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7219EF78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804D025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BB1F788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571D8F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B9CB320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5590AC17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A26C38D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C28BFDB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325500E9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</w:tr>
      <w:tr w:rsidR="006B122C" w:rsidRPr="00F80A0E" w14:paraId="7914440F" w14:textId="77777777" w:rsidTr="007C523C">
        <w:trPr>
          <w:trHeight w:val="26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8AC30D7" w14:textId="77777777" w:rsidR="006B122C" w:rsidRPr="007C523C" w:rsidRDefault="006B122C" w:rsidP="000E41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70DA6DDC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6B59540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F2B6355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E8E9EBA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06C2050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4F204F4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58DB202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7F2AE8C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441F1710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6B122C" w:rsidRPr="00F80A0E" w14:paraId="38512549" w14:textId="77777777" w:rsidTr="007C523C">
        <w:trPr>
          <w:trHeight w:val="26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983FDB2" w14:textId="77777777" w:rsidR="006B122C" w:rsidRPr="007C523C" w:rsidRDefault="006B122C" w:rsidP="000E41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14:paraId="77A84E15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EC87338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AF8DAED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7F376AF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21D0771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3EB35B3C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01BFD6D5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7A1482D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415AB2ED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</w:tr>
      <w:tr w:rsidR="006B122C" w:rsidRPr="00F80A0E" w14:paraId="7B4BB3E4" w14:textId="77777777" w:rsidTr="007C523C">
        <w:trPr>
          <w:trHeight w:val="26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C102DE0" w14:textId="77777777" w:rsidR="006B122C" w:rsidRPr="007C523C" w:rsidRDefault="006B122C" w:rsidP="000E41A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A160" w14:textId="77777777" w:rsidR="006B122C" w:rsidRPr="007C523C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9FC9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DFE5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5A6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6E18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584D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43AF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75E0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0264" w14:textId="77777777" w:rsidR="006B122C" w:rsidRPr="00F80A0E" w:rsidRDefault="006B122C" w:rsidP="000E4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0A0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</w:tr>
      <w:bookmarkEnd w:id="2"/>
    </w:tbl>
    <w:p w14:paraId="4717BE49" w14:textId="77777777" w:rsidR="002B06D4" w:rsidRDefault="002B06D4" w:rsidP="00DA5D80"/>
    <w:p w14:paraId="6887F485" w14:textId="5569636A" w:rsidR="00CD36A6" w:rsidRPr="00E75555" w:rsidRDefault="007C523C" w:rsidP="00DA5D80">
      <w:pPr>
        <w:rPr>
          <w:sz w:val="24"/>
        </w:rPr>
      </w:pPr>
      <w:r w:rsidRPr="00E75555">
        <w:rPr>
          <w:sz w:val="24"/>
        </w:rPr>
        <w:t xml:space="preserve">Age was defined as age at the start of the academic year. Office for National Statistics mid-year population estimates were used as denominator data. </w:t>
      </w:r>
    </w:p>
    <w:p w14:paraId="32D9584C" w14:textId="77777777" w:rsidR="006B122C" w:rsidRDefault="006B122C">
      <w:r>
        <w:br w:type="page"/>
      </w:r>
    </w:p>
    <w:p w14:paraId="666D5E1A" w14:textId="0B366335" w:rsidR="0071404E" w:rsidRPr="00E75555" w:rsidRDefault="0071404E" w:rsidP="002B06D4">
      <w:pPr>
        <w:spacing w:after="0"/>
        <w:rPr>
          <w:b/>
          <w:bCs/>
          <w:sz w:val="24"/>
          <w:szCs w:val="24"/>
        </w:rPr>
      </w:pPr>
      <w:r w:rsidRPr="00E75555">
        <w:rPr>
          <w:b/>
          <w:bCs/>
          <w:sz w:val="24"/>
          <w:szCs w:val="24"/>
        </w:rPr>
        <w:lastRenderedPageBreak/>
        <w:t xml:space="preserve">Supplementary </w:t>
      </w:r>
      <w:r w:rsidR="00E75555">
        <w:rPr>
          <w:b/>
          <w:bCs/>
          <w:sz w:val="24"/>
          <w:szCs w:val="24"/>
        </w:rPr>
        <w:t>M</w:t>
      </w:r>
      <w:r w:rsidRPr="00E75555">
        <w:rPr>
          <w:b/>
          <w:bCs/>
          <w:sz w:val="24"/>
          <w:szCs w:val="24"/>
        </w:rPr>
        <w:t xml:space="preserve">aterial </w:t>
      </w:r>
      <w:r w:rsidR="00443DC2" w:rsidRPr="00E75555">
        <w:rPr>
          <w:b/>
          <w:bCs/>
          <w:sz w:val="24"/>
          <w:szCs w:val="24"/>
        </w:rPr>
        <w:t>7</w:t>
      </w:r>
    </w:p>
    <w:p w14:paraId="42017389" w14:textId="4E18ECA1" w:rsidR="00DA5D80" w:rsidRPr="00E75555" w:rsidRDefault="00DA5D80" w:rsidP="002B06D4">
      <w:pPr>
        <w:spacing w:after="0"/>
        <w:rPr>
          <w:sz w:val="24"/>
          <w:szCs w:val="24"/>
        </w:rPr>
      </w:pPr>
      <w:r w:rsidRPr="00E75555">
        <w:rPr>
          <w:sz w:val="24"/>
          <w:szCs w:val="24"/>
        </w:rPr>
        <w:t>Mean weekly rates (per 100,000 adolescents) of accidental injur</w:t>
      </w:r>
      <w:r w:rsidR="005C326C" w:rsidRPr="00E75555">
        <w:rPr>
          <w:sz w:val="24"/>
          <w:szCs w:val="24"/>
        </w:rPr>
        <w:t>y admissions</w:t>
      </w:r>
      <w:r w:rsidRPr="00E75555">
        <w:rPr>
          <w:sz w:val="24"/>
          <w:szCs w:val="24"/>
        </w:rPr>
        <w:t xml:space="preserve"> occurring in term or holiday time by academic year, </w:t>
      </w:r>
      <w:r w:rsidR="005C326C" w:rsidRPr="00E75555">
        <w:rPr>
          <w:sz w:val="24"/>
          <w:szCs w:val="24"/>
        </w:rPr>
        <w:t>a</w:t>
      </w:r>
      <w:r w:rsidRPr="00E75555">
        <w:rPr>
          <w:sz w:val="24"/>
          <w:szCs w:val="24"/>
        </w:rPr>
        <w:t>ge and sex</w:t>
      </w:r>
    </w:p>
    <w:p w14:paraId="2D3AC2C4" w14:textId="77777777" w:rsidR="002B06D4" w:rsidRDefault="002B06D4" w:rsidP="002B06D4">
      <w:pPr>
        <w:spacing w:after="0"/>
      </w:pPr>
    </w:p>
    <w:tbl>
      <w:tblPr>
        <w:tblW w:w="920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961"/>
        <w:gridCol w:w="1580"/>
        <w:gridCol w:w="706"/>
        <w:gridCol w:w="968"/>
        <w:gridCol w:w="706"/>
        <w:gridCol w:w="968"/>
        <w:gridCol w:w="706"/>
        <w:gridCol w:w="968"/>
        <w:gridCol w:w="706"/>
        <w:gridCol w:w="940"/>
      </w:tblGrid>
      <w:tr w:rsidR="007C523C" w:rsidRPr="00441ED3" w14:paraId="3CA659F8" w14:textId="77777777" w:rsidTr="007C523C">
        <w:trPr>
          <w:trHeight w:val="336"/>
        </w:trPr>
        <w:tc>
          <w:tcPr>
            <w:tcW w:w="96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1D38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FFCE01" w14:textId="1B8ABEB5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Age (years)</w:t>
            </w:r>
          </w:p>
        </w:tc>
        <w:tc>
          <w:tcPr>
            <w:tcW w:w="66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1255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Mean weekly rates of accident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al injury</w:t>
            </w: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admissions per 100,000 adolescents</w:t>
            </w:r>
          </w:p>
        </w:tc>
      </w:tr>
      <w:tr w:rsidR="007C523C" w:rsidRPr="00441ED3" w14:paraId="1BDDB7D3" w14:textId="77777777" w:rsidTr="007C523C">
        <w:trPr>
          <w:trHeight w:val="264"/>
        </w:trPr>
        <w:tc>
          <w:tcPr>
            <w:tcW w:w="961" w:type="dxa"/>
            <w:vMerge/>
            <w:vAlign w:val="center"/>
            <w:hideMark/>
          </w:tcPr>
          <w:p w14:paraId="54D663A6" w14:textId="77777777" w:rsidR="007C523C" w:rsidRPr="00441ED3" w:rsidRDefault="007C523C" w:rsidP="00332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14:paraId="3FB9A801" w14:textId="77777777" w:rsidR="007C523C" w:rsidRPr="00441ED3" w:rsidRDefault="007C523C" w:rsidP="00332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F9E4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2014/15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7D43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2015/16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6096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2016/17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2DE3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2017/18</w:t>
            </w:r>
          </w:p>
        </w:tc>
      </w:tr>
      <w:tr w:rsidR="007C523C" w:rsidRPr="00441ED3" w14:paraId="4E2822E6" w14:textId="77777777" w:rsidTr="007C523C">
        <w:trPr>
          <w:trHeight w:val="264"/>
        </w:trPr>
        <w:tc>
          <w:tcPr>
            <w:tcW w:w="96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E1E15C" w14:textId="77777777" w:rsidR="007C523C" w:rsidRPr="00441ED3" w:rsidRDefault="007C523C" w:rsidP="00332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B8F59BE" w14:textId="77777777" w:rsidR="007C523C" w:rsidRPr="00441ED3" w:rsidRDefault="007C523C" w:rsidP="00332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A744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9BFF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Holiday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3345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A94C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Holiday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8A2C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9159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Holiday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FB99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BE3A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Holiday</w:t>
            </w:r>
          </w:p>
        </w:tc>
      </w:tr>
      <w:tr w:rsidR="007C523C" w:rsidRPr="00441ED3" w14:paraId="340E22F4" w14:textId="77777777" w:rsidTr="007C523C">
        <w:trPr>
          <w:trHeight w:val="264"/>
        </w:trPr>
        <w:tc>
          <w:tcPr>
            <w:tcW w:w="96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B8E1" w14:textId="5BCDFE36" w:rsidR="007C523C" w:rsidRPr="007C523C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Girls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7C15" w14:textId="77777777" w:rsidR="007C523C" w:rsidRPr="007C523C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4A5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A0D0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215B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7914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9FA6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83AA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DB04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DC28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</w:tr>
      <w:tr w:rsidR="007C523C" w:rsidRPr="00441ED3" w14:paraId="41E4DAC0" w14:textId="77777777" w:rsidTr="007C523C">
        <w:trPr>
          <w:trHeight w:val="264"/>
        </w:trPr>
        <w:tc>
          <w:tcPr>
            <w:tcW w:w="961" w:type="dxa"/>
            <w:vMerge/>
            <w:vAlign w:val="center"/>
            <w:hideMark/>
          </w:tcPr>
          <w:p w14:paraId="1D5FB0B3" w14:textId="77777777" w:rsidR="007C523C" w:rsidRPr="007C523C" w:rsidRDefault="007C523C" w:rsidP="005C32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B0A967F" w14:textId="77777777" w:rsidR="007C523C" w:rsidRPr="007C523C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03C6D50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93A748D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295FA93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EBA9977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79E4FB0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F63C450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16F25CE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00A0329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</w:tr>
      <w:tr w:rsidR="007C523C" w:rsidRPr="00441ED3" w14:paraId="46C5AA51" w14:textId="77777777" w:rsidTr="007C523C">
        <w:trPr>
          <w:trHeight w:val="264"/>
        </w:trPr>
        <w:tc>
          <w:tcPr>
            <w:tcW w:w="961" w:type="dxa"/>
            <w:vMerge/>
            <w:vAlign w:val="center"/>
            <w:hideMark/>
          </w:tcPr>
          <w:p w14:paraId="03A8C933" w14:textId="77777777" w:rsidR="007C523C" w:rsidRPr="007C523C" w:rsidRDefault="007C523C" w:rsidP="005C32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D3B6E02" w14:textId="77777777" w:rsidR="007C523C" w:rsidRPr="007C523C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BF843AD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E4934EA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97FD298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7BEE60A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18BD8CA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D0877F9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8EF8D4E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90CECD6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</w:tr>
      <w:tr w:rsidR="007C523C" w:rsidRPr="00441ED3" w14:paraId="2FC495FB" w14:textId="77777777" w:rsidTr="007C523C">
        <w:trPr>
          <w:trHeight w:val="264"/>
        </w:trPr>
        <w:tc>
          <w:tcPr>
            <w:tcW w:w="961" w:type="dxa"/>
            <w:vMerge/>
            <w:vAlign w:val="center"/>
            <w:hideMark/>
          </w:tcPr>
          <w:p w14:paraId="2823B4B4" w14:textId="77777777" w:rsidR="007C523C" w:rsidRPr="007C523C" w:rsidRDefault="007C523C" w:rsidP="005C32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CD8179B" w14:textId="77777777" w:rsidR="007C523C" w:rsidRPr="007C523C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90E9AAF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050EB57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B613230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ACF1D27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69E201B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B429BD3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560DCB3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FFF79D9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</w:tr>
      <w:tr w:rsidR="007C523C" w:rsidRPr="00441ED3" w14:paraId="312611A5" w14:textId="77777777" w:rsidTr="007C523C">
        <w:trPr>
          <w:trHeight w:val="264"/>
        </w:trPr>
        <w:tc>
          <w:tcPr>
            <w:tcW w:w="961" w:type="dxa"/>
            <w:vMerge/>
            <w:vAlign w:val="center"/>
            <w:hideMark/>
          </w:tcPr>
          <w:p w14:paraId="23BA9374" w14:textId="77777777" w:rsidR="007C523C" w:rsidRPr="007C523C" w:rsidRDefault="007C523C" w:rsidP="005C32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7B797BE" w14:textId="77777777" w:rsidR="007C523C" w:rsidRPr="007C523C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9451C41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B59C75A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E418416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2752945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3BCF769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36C4B96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C9CAE88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1E066C1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</w:tr>
      <w:tr w:rsidR="007C523C" w:rsidRPr="00441ED3" w14:paraId="773767B1" w14:textId="77777777" w:rsidTr="007C523C">
        <w:trPr>
          <w:trHeight w:val="264"/>
        </w:trPr>
        <w:tc>
          <w:tcPr>
            <w:tcW w:w="961" w:type="dxa"/>
            <w:vMerge/>
            <w:vAlign w:val="center"/>
            <w:hideMark/>
          </w:tcPr>
          <w:p w14:paraId="1C7FC13C" w14:textId="77777777" w:rsidR="007C523C" w:rsidRPr="007C523C" w:rsidRDefault="007C523C" w:rsidP="005C32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C24C98D" w14:textId="77777777" w:rsidR="007C523C" w:rsidRPr="007C523C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A550D3F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BEA20CD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FF91611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1D0497F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EA02CE8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1E79AB9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D277EE7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F3C39A3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</w:tr>
      <w:tr w:rsidR="007C523C" w:rsidRPr="00441ED3" w14:paraId="371EDF78" w14:textId="77777777" w:rsidTr="007C523C">
        <w:trPr>
          <w:trHeight w:val="264"/>
        </w:trPr>
        <w:tc>
          <w:tcPr>
            <w:tcW w:w="96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91F58D" w14:textId="77777777" w:rsidR="007C523C" w:rsidRPr="007C523C" w:rsidRDefault="007C523C" w:rsidP="005C32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ECA1" w14:textId="77777777" w:rsidR="007C523C" w:rsidRPr="007C523C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9E1F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0FF6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1E37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199F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A2FC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5632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7BED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230A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</w:tr>
      <w:tr w:rsidR="007C523C" w:rsidRPr="00441ED3" w14:paraId="4F66FEFA" w14:textId="77777777" w:rsidTr="007C523C">
        <w:trPr>
          <w:trHeight w:val="264"/>
        </w:trPr>
        <w:tc>
          <w:tcPr>
            <w:tcW w:w="96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C075" w14:textId="3D1AC321" w:rsidR="007C523C" w:rsidRPr="007C523C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Boys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1561" w14:textId="77777777" w:rsidR="007C523C" w:rsidRPr="007C523C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1203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ECF5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542F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7F78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E3C0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2FB2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6535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55CD" w14:textId="77777777" w:rsidR="007C523C" w:rsidRPr="00441ED3" w:rsidRDefault="007C523C" w:rsidP="005C3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</w:tr>
      <w:tr w:rsidR="007C523C" w:rsidRPr="00441ED3" w14:paraId="07E7CF88" w14:textId="77777777" w:rsidTr="007C523C">
        <w:trPr>
          <w:trHeight w:val="264"/>
        </w:trPr>
        <w:tc>
          <w:tcPr>
            <w:tcW w:w="961" w:type="dxa"/>
            <w:vMerge/>
            <w:vAlign w:val="center"/>
            <w:hideMark/>
          </w:tcPr>
          <w:p w14:paraId="3D509131" w14:textId="77777777" w:rsidR="007C523C" w:rsidRPr="007C523C" w:rsidRDefault="007C523C" w:rsidP="00332B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6DECC82" w14:textId="77777777" w:rsidR="007C523C" w:rsidRPr="007C523C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C586A8C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6FC561A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97FE3BC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A50774A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BFD4379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E1260E2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21B958B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44CE5C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</w:tr>
      <w:tr w:rsidR="007C523C" w:rsidRPr="00441ED3" w14:paraId="2F0D196C" w14:textId="77777777" w:rsidTr="007C523C">
        <w:trPr>
          <w:trHeight w:val="264"/>
        </w:trPr>
        <w:tc>
          <w:tcPr>
            <w:tcW w:w="961" w:type="dxa"/>
            <w:vMerge/>
            <w:vAlign w:val="center"/>
            <w:hideMark/>
          </w:tcPr>
          <w:p w14:paraId="631141A9" w14:textId="77777777" w:rsidR="007C523C" w:rsidRPr="007C523C" w:rsidRDefault="007C523C" w:rsidP="00332B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810E582" w14:textId="77777777" w:rsidR="007C523C" w:rsidRPr="007C523C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2B418265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B343230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C761894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999C800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B9A6092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C77A033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4499261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816284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7C523C" w:rsidRPr="00441ED3" w14:paraId="48F6B3EF" w14:textId="77777777" w:rsidTr="007C523C">
        <w:trPr>
          <w:trHeight w:val="264"/>
        </w:trPr>
        <w:tc>
          <w:tcPr>
            <w:tcW w:w="961" w:type="dxa"/>
            <w:vMerge/>
            <w:vAlign w:val="center"/>
            <w:hideMark/>
          </w:tcPr>
          <w:p w14:paraId="24950DE4" w14:textId="77777777" w:rsidR="007C523C" w:rsidRPr="007C523C" w:rsidRDefault="007C523C" w:rsidP="00332B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542AC83" w14:textId="77777777" w:rsidR="007C523C" w:rsidRPr="007C523C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9E0D868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1DAFE2C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955C981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B204CE0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13226AF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C02E46A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66016C01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F9956BA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</w:tr>
      <w:tr w:rsidR="007C523C" w:rsidRPr="00441ED3" w14:paraId="3978ADBE" w14:textId="77777777" w:rsidTr="007C523C">
        <w:trPr>
          <w:trHeight w:val="264"/>
        </w:trPr>
        <w:tc>
          <w:tcPr>
            <w:tcW w:w="961" w:type="dxa"/>
            <w:vMerge/>
            <w:vAlign w:val="center"/>
            <w:hideMark/>
          </w:tcPr>
          <w:p w14:paraId="3B61A899" w14:textId="77777777" w:rsidR="007C523C" w:rsidRPr="007C523C" w:rsidRDefault="007C523C" w:rsidP="00332B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C8DC814" w14:textId="77777777" w:rsidR="007C523C" w:rsidRPr="007C523C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56418094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9EE9B63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41CBF4D7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87CA7B5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713AAF28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35E7AA7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A9452E1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73C3F1A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</w:tr>
      <w:tr w:rsidR="007C523C" w:rsidRPr="00441ED3" w14:paraId="0DE684D4" w14:textId="77777777" w:rsidTr="007C523C">
        <w:trPr>
          <w:trHeight w:val="264"/>
        </w:trPr>
        <w:tc>
          <w:tcPr>
            <w:tcW w:w="961" w:type="dxa"/>
            <w:vMerge/>
            <w:vAlign w:val="center"/>
            <w:hideMark/>
          </w:tcPr>
          <w:p w14:paraId="65AE33A7" w14:textId="77777777" w:rsidR="007C523C" w:rsidRPr="007C523C" w:rsidRDefault="007C523C" w:rsidP="00332B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7008181" w14:textId="77777777" w:rsidR="007C523C" w:rsidRPr="007C523C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9752B06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F005401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AA38781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E920ADF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03B7F0E5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2A1398A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3E292D63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CBF0907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</w:tr>
      <w:tr w:rsidR="007C523C" w:rsidRPr="00441ED3" w14:paraId="74C4311A" w14:textId="77777777" w:rsidTr="007C523C">
        <w:trPr>
          <w:trHeight w:val="264"/>
        </w:trPr>
        <w:tc>
          <w:tcPr>
            <w:tcW w:w="96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F827F12" w14:textId="77777777" w:rsidR="007C523C" w:rsidRPr="007C523C" w:rsidRDefault="007C523C" w:rsidP="00332B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CF60" w14:textId="77777777" w:rsidR="007C523C" w:rsidRPr="007C523C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C523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56B0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7C59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3714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BE73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26DA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7AC0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CD7A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7DDE" w14:textId="77777777" w:rsidR="007C523C" w:rsidRPr="00441ED3" w:rsidRDefault="007C523C" w:rsidP="0033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1E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</w:tr>
    </w:tbl>
    <w:p w14:paraId="5FDE62AD" w14:textId="77777777" w:rsidR="002B06D4" w:rsidRDefault="002B06D4" w:rsidP="00DA5D80"/>
    <w:p w14:paraId="04367852" w14:textId="424EB0B8" w:rsidR="00DA5D80" w:rsidRPr="00E75555" w:rsidRDefault="007C523C" w:rsidP="00DA5D80">
      <w:pPr>
        <w:rPr>
          <w:sz w:val="24"/>
        </w:rPr>
      </w:pPr>
      <w:r w:rsidRPr="00E75555">
        <w:rPr>
          <w:sz w:val="24"/>
        </w:rPr>
        <w:t>Age was defined as age at the start of the academic year. Office for National Statistics mid-year population estimates were used as denominator data.</w:t>
      </w:r>
    </w:p>
    <w:p w14:paraId="38B2A36D" w14:textId="77777777" w:rsidR="00DA5D80" w:rsidRDefault="00DA5D80" w:rsidP="00DA5D80"/>
    <w:p w14:paraId="489CC197" w14:textId="77777777" w:rsidR="008E001A" w:rsidRDefault="008E001A" w:rsidP="00864FBA">
      <w:pPr>
        <w:sectPr w:rsidR="008E001A" w:rsidSect="005C326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C5A83B" w14:textId="77777777" w:rsidR="00E45B17" w:rsidRDefault="00E45B17" w:rsidP="00864FBA"/>
    <w:p w14:paraId="4E3C15F5" w14:textId="2BA09EC5" w:rsidR="006C7DC3" w:rsidRPr="006C7DC3" w:rsidRDefault="006C7DC3" w:rsidP="006C7DC3">
      <w:pPr>
        <w:spacing w:after="0"/>
        <w:rPr>
          <w:b/>
          <w:bCs/>
          <w:sz w:val="24"/>
          <w:highlight w:val="yellow"/>
        </w:rPr>
      </w:pPr>
      <w:r w:rsidRPr="006C7DC3">
        <w:rPr>
          <w:b/>
          <w:bCs/>
          <w:sz w:val="24"/>
          <w:highlight w:val="yellow"/>
        </w:rPr>
        <w:t>Supplementary Material 8</w:t>
      </w:r>
    </w:p>
    <w:p w14:paraId="72233B22" w14:textId="3991CCEE" w:rsidR="006C7DC3" w:rsidRPr="00E75555" w:rsidRDefault="006C7DC3" w:rsidP="006C7DC3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lang w:eastAsia="en-GB"/>
        </w:rPr>
      </w:pPr>
      <w:r w:rsidRPr="006C7DC3">
        <w:rPr>
          <w:rFonts w:ascii="Calibri" w:eastAsia="Times New Roman" w:hAnsi="Calibri" w:cs="Calibri"/>
          <w:bCs/>
          <w:color w:val="000000"/>
          <w:sz w:val="24"/>
          <w:highlight w:val="yellow"/>
          <w:lang w:eastAsia="en-GB"/>
        </w:rPr>
        <w:t>Summary of stress-related presentations (SRPs) among adolescents aged 11-17 years in England in 2017/18, by sex</w:t>
      </w:r>
    </w:p>
    <w:p w14:paraId="4CA06D1B" w14:textId="77777777" w:rsidR="006C7DC3" w:rsidRPr="007C523C" w:rsidRDefault="006C7DC3" w:rsidP="006C7DC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en-GB"/>
        </w:rPr>
      </w:pPr>
    </w:p>
    <w:tbl>
      <w:tblPr>
        <w:tblW w:w="0" w:type="auto"/>
        <w:tblCellMar>
          <w:top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C7DC3" w:rsidRPr="00706871" w14:paraId="010955D9" w14:textId="77777777" w:rsidTr="00F52E5D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6220" w:type="dxa"/>
              <w:tblBorders>
                <w:top w:val="single" w:sz="4" w:space="0" w:color="auto"/>
              </w:tblBorders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559"/>
              <w:gridCol w:w="1559"/>
              <w:gridCol w:w="1543"/>
            </w:tblGrid>
            <w:tr w:rsidR="006C7DC3" w:rsidRPr="00C7317B" w14:paraId="277C2C82" w14:textId="77777777" w:rsidTr="006C7DC3">
              <w:trPr>
                <w:trHeight w:val="900"/>
              </w:trPr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</w:tcPr>
                <w:p w14:paraId="1D69EA75" w14:textId="77777777" w:rsidR="006C7DC3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8F52DF" w14:textId="77777777" w:rsidR="006C7DC3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Overall</w:t>
                  </w:r>
                </w:p>
                <w:p w14:paraId="317CC2C7" w14:textId="7C68834E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N = 45 169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2797B3" w14:textId="77777777" w:rsidR="006C7DC3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Girls </w:t>
                  </w:r>
                </w:p>
                <w:p w14:paraId="1A49283C" w14:textId="49FFC5D3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N = 30 707</w:t>
                  </w: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907CB0" w14:textId="77777777" w:rsidR="006C7DC3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Boys</w:t>
                  </w:r>
                </w:p>
                <w:p w14:paraId="03993468" w14:textId="32382AA6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N = 14 462</w:t>
                  </w:r>
                </w:p>
              </w:tc>
            </w:tr>
            <w:tr w:rsidR="006C7DC3" w:rsidRPr="00C7317B" w14:paraId="2D7A8097" w14:textId="77777777" w:rsidTr="006C7DC3">
              <w:trPr>
                <w:trHeight w:val="300"/>
              </w:trPr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000000" w:fill="FFFFFF"/>
                </w:tcPr>
                <w:p w14:paraId="549AD82B" w14:textId="2FF62E4C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Range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E265E5" w14:textId="54553B56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 to 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6BB60B" w14:textId="21931825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 to 68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339226" w14:textId="0FC8C6C5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 to 31</w:t>
                  </w:r>
                </w:p>
              </w:tc>
            </w:tr>
            <w:tr w:rsidR="006C7DC3" w:rsidRPr="00C7317B" w14:paraId="21046355" w14:textId="77777777" w:rsidTr="006C7DC3">
              <w:trPr>
                <w:trHeight w:val="300"/>
              </w:trPr>
              <w:tc>
                <w:tcPr>
                  <w:tcW w:w="1559" w:type="dxa"/>
                  <w:tcBorders>
                    <w:top w:val="nil"/>
                  </w:tcBorders>
                  <w:shd w:val="clear" w:color="000000" w:fill="FFFFFF"/>
                </w:tcPr>
                <w:p w14:paraId="3928622F" w14:textId="3E1D5C21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Mean</w:t>
                  </w:r>
                </w:p>
              </w:tc>
              <w:tc>
                <w:tcPr>
                  <w:tcW w:w="1559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C3176B7" w14:textId="74DA06ED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1.57</w:t>
                  </w:r>
                </w:p>
              </w:tc>
              <w:tc>
                <w:tcPr>
                  <w:tcW w:w="1559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A43A33" w14:textId="759A372D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1.68</w:t>
                  </w:r>
                </w:p>
              </w:tc>
              <w:tc>
                <w:tcPr>
                  <w:tcW w:w="1543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75989B2" w14:textId="16877D18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1.36</w:t>
                  </w:r>
                </w:p>
              </w:tc>
            </w:tr>
            <w:tr w:rsidR="006C7DC3" w:rsidRPr="00C7317B" w14:paraId="098FFB8A" w14:textId="77777777" w:rsidTr="006C7DC3">
              <w:trPr>
                <w:trHeight w:val="300"/>
              </w:trPr>
              <w:tc>
                <w:tcPr>
                  <w:tcW w:w="1559" w:type="dxa"/>
                  <w:tcBorders>
                    <w:bottom w:val="nil"/>
                  </w:tcBorders>
                  <w:shd w:val="clear" w:color="000000" w:fill="FFFFFF"/>
                </w:tcPr>
                <w:p w14:paraId="33C6AEE3" w14:textId="46592363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Median</w:t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A2615B" w14:textId="2B6AE2A1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7DB3AE" w14:textId="3E850ABD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1543" w:type="dxa"/>
                  <w:tcBorders>
                    <w:bottom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C62E8F6" w14:textId="57CA94D2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</w:p>
              </w:tc>
            </w:tr>
            <w:tr w:rsidR="006C7DC3" w:rsidRPr="00C7317B" w14:paraId="4F4DAEB9" w14:textId="77777777" w:rsidTr="006C7DC3">
              <w:trPr>
                <w:trHeight w:val="300"/>
              </w:trPr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</w:tcPr>
                <w:p w14:paraId="185C7C71" w14:textId="6F6E20FF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% with 1+ SRP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E8C2F7" w14:textId="6845DB84" w:rsidR="006C7DC3" w:rsidRPr="00C7317B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25.2%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8C3688" w14:textId="4F77C80F" w:rsidR="006C7DC3" w:rsidRPr="006C7DC3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</w:pPr>
                  <w:r w:rsidRPr="006C7DC3"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  <w:t>28.7%</w:t>
                  </w:r>
                </w:p>
              </w:tc>
              <w:tc>
                <w:tcPr>
                  <w:tcW w:w="1543" w:type="dxa"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14A6BE" w14:textId="21947B7E" w:rsidR="006C7DC3" w:rsidRPr="006C7DC3" w:rsidRDefault="006C7DC3" w:rsidP="00F52E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</w:pPr>
                  <w:r w:rsidRPr="006C7DC3"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  <w:t>18.2%</w:t>
                  </w:r>
                </w:p>
              </w:tc>
            </w:tr>
          </w:tbl>
          <w:p w14:paraId="4F1F5B95" w14:textId="77777777" w:rsidR="006C7DC3" w:rsidRPr="00706871" w:rsidRDefault="006C7DC3" w:rsidP="00F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C7DC3" w:rsidRPr="00706871" w14:paraId="25B5F7E3" w14:textId="77777777" w:rsidTr="00F52E5D">
        <w:trPr>
          <w:trHeight w:val="45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F1CD4" w14:textId="77777777" w:rsidR="006C7DC3" w:rsidRDefault="006C7DC3" w:rsidP="00F52E5D"/>
          <w:p w14:paraId="3A5D3B3A" w14:textId="77777777" w:rsidR="006C7DC3" w:rsidRPr="00706871" w:rsidRDefault="006C7DC3" w:rsidP="006C7DC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C7DC3" w:rsidRPr="00706871" w14:paraId="3C31DB50" w14:textId="77777777" w:rsidTr="00F52E5D">
        <w:trPr>
          <w:trHeight w:val="45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556DB" w14:textId="0E8D700E" w:rsidR="006C7DC3" w:rsidRDefault="006C7DC3" w:rsidP="00F52E5D">
            <w:r>
              <w:t xml:space="preserve">SRP = Stress-related presentation. Bold indicates </w:t>
            </w:r>
            <w:r w:rsidRPr="006C7DC3">
              <w:rPr>
                <w:i/>
              </w:rPr>
              <w:t>P</w:t>
            </w:r>
            <w:r>
              <w:t>&lt;0.001.</w:t>
            </w:r>
          </w:p>
        </w:tc>
      </w:tr>
    </w:tbl>
    <w:p w14:paraId="0C372D0A" w14:textId="77777777" w:rsidR="006C7DC3" w:rsidRDefault="006C7DC3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095D399C" w14:textId="0A3138C4" w:rsidR="00DD3F4F" w:rsidRPr="00E75555" w:rsidRDefault="00DD3F4F" w:rsidP="002B06D4">
      <w:pPr>
        <w:spacing w:after="0"/>
        <w:rPr>
          <w:b/>
          <w:bCs/>
          <w:sz w:val="24"/>
        </w:rPr>
      </w:pPr>
      <w:r w:rsidRPr="00E75555">
        <w:rPr>
          <w:b/>
          <w:bCs/>
          <w:sz w:val="24"/>
        </w:rPr>
        <w:lastRenderedPageBreak/>
        <w:t xml:space="preserve">Supplementary </w:t>
      </w:r>
      <w:r w:rsidR="00E75555">
        <w:rPr>
          <w:b/>
          <w:bCs/>
          <w:sz w:val="24"/>
        </w:rPr>
        <w:t>M</w:t>
      </w:r>
      <w:r w:rsidRPr="00E75555">
        <w:rPr>
          <w:b/>
          <w:bCs/>
          <w:sz w:val="24"/>
        </w:rPr>
        <w:t xml:space="preserve">aterial </w:t>
      </w:r>
      <w:r w:rsidR="006C7DC3" w:rsidRPr="00233D3C">
        <w:rPr>
          <w:b/>
          <w:bCs/>
          <w:sz w:val="24"/>
          <w:highlight w:val="yellow"/>
        </w:rPr>
        <w:t>9</w:t>
      </w:r>
    </w:p>
    <w:p w14:paraId="5877DBA7" w14:textId="77777777" w:rsidR="00DD3F4F" w:rsidRPr="00E75555" w:rsidRDefault="00DD3F4F" w:rsidP="002B06D4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lang w:eastAsia="en-GB"/>
        </w:rPr>
      </w:pPr>
      <w:r w:rsidRPr="00E75555">
        <w:rPr>
          <w:rFonts w:ascii="Calibri" w:eastAsia="Times New Roman" w:hAnsi="Calibri" w:cs="Calibri"/>
          <w:bCs/>
          <w:color w:val="000000"/>
          <w:sz w:val="24"/>
          <w:lang w:eastAsia="en-GB"/>
        </w:rPr>
        <w:t>Age-specific and estimated cumulative incidence of a stress-related presentation (SRP) among adolescents aged 11-17 years in England in 2017/18, by sex</w:t>
      </w:r>
    </w:p>
    <w:p w14:paraId="09328889" w14:textId="77777777" w:rsidR="00DD3F4F" w:rsidRPr="007C523C" w:rsidRDefault="00DD3F4F" w:rsidP="00DD3F4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en-GB"/>
        </w:rPr>
      </w:pPr>
    </w:p>
    <w:tbl>
      <w:tblPr>
        <w:tblW w:w="0" w:type="auto"/>
        <w:tblCellMar>
          <w:top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D3F4F" w:rsidRPr="00706871" w14:paraId="5F426918" w14:textId="77777777" w:rsidTr="002107F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8800" w:type="dxa"/>
              <w:tblBorders>
                <w:top w:val="single" w:sz="4" w:space="0" w:color="auto"/>
              </w:tblBorders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1539"/>
              <w:gridCol w:w="1701"/>
              <w:gridCol w:w="1559"/>
              <w:gridCol w:w="1559"/>
              <w:gridCol w:w="1543"/>
            </w:tblGrid>
            <w:tr w:rsidR="00DD3F4F" w:rsidRPr="00C7317B" w14:paraId="3393C4A1" w14:textId="77777777" w:rsidTr="002107FB">
              <w:trPr>
                <w:trHeight w:val="900"/>
              </w:trPr>
              <w:tc>
                <w:tcPr>
                  <w:tcW w:w="899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ACB4B3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Sex</w:t>
                  </w:r>
                </w:p>
              </w:tc>
              <w:tc>
                <w:tcPr>
                  <w:tcW w:w="1539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9D3B6C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Age </w:t>
                  </w:r>
                  <w:bookmarkStart w:id="3" w:name="_GoBack"/>
                  <w:bookmarkEnd w:id="3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(years)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FD9CF0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Population denominator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A82F1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with a first SRP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FE5D00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Age-specific incidence </w:t>
                  </w: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428FCF" w14:textId="662D0916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Est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imated</w:t>
                  </w:r>
                  <w:r w:rsidRPr="00C7317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c</w:t>
                  </w:r>
                  <w:r w:rsidRPr="00C7317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um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ulative incidence</w:t>
                  </w:r>
                  <w:r w:rsidRPr="00C7317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 </w:t>
                  </w:r>
                  <w:r w:rsidR="007D4C9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*</w:t>
                  </w:r>
                </w:p>
              </w:tc>
            </w:tr>
            <w:tr w:rsidR="00DD3F4F" w:rsidRPr="00C7317B" w14:paraId="55EB94FD" w14:textId="77777777" w:rsidTr="002107FB">
              <w:trPr>
                <w:trHeight w:val="300"/>
              </w:trPr>
              <w:tc>
                <w:tcPr>
                  <w:tcW w:w="899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EB1274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Girls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2FCE4C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0A1181" w14:textId="6675996C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319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4E37D0" w14:textId="488BA1E5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049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BFF802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0.64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9A4F93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0.64</w:t>
                  </w:r>
                </w:p>
              </w:tc>
            </w:tr>
            <w:tr w:rsidR="00DD3F4F" w:rsidRPr="00C7317B" w14:paraId="149F39BA" w14:textId="77777777" w:rsidTr="002107FB">
              <w:trPr>
                <w:trHeight w:val="300"/>
              </w:trPr>
              <w:tc>
                <w:tcPr>
                  <w:tcW w:w="899" w:type="dxa"/>
                  <w:vMerge/>
                  <w:tcBorders>
                    <w:top w:val="nil"/>
                  </w:tcBorders>
                  <w:shd w:val="clear" w:color="000000" w:fill="FFFFFF"/>
                  <w:vAlign w:val="center"/>
                  <w:hideMark/>
                </w:tcPr>
                <w:p w14:paraId="49BF9EE7" w14:textId="77777777" w:rsidR="00DD3F4F" w:rsidRPr="007C523C" w:rsidRDefault="00DD3F4F" w:rsidP="002107FB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3FDA76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7ACB2D7" w14:textId="2FCEA9FB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306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248</w:t>
                  </w:r>
                </w:p>
              </w:tc>
              <w:tc>
                <w:tcPr>
                  <w:tcW w:w="1559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55B101" w14:textId="265BC938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475</w:t>
                  </w:r>
                </w:p>
              </w:tc>
              <w:tc>
                <w:tcPr>
                  <w:tcW w:w="1559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745778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0.81</w:t>
                  </w:r>
                </w:p>
              </w:tc>
              <w:tc>
                <w:tcPr>
                  <w:tcW w:w="1543" w:type="dxa"/>
                  <w:tcBorders>
                    <w:top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34C63D9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1.46</w:t>
                  </w:r>
                </w:p>
              </w:tc>
            </w:tr>
            <w:tr w:rsidR="00DD3F4F" w:rsidRPr="00C7317B" w14:paraId="3A9B5433" w14:textId="77777777" w:rsidTr="002107FB">
              <w:trPr>
                <w:trHeight w:val="300"/>
              </w:trPr>
              <w:tc>
                <w:tcPr>
                  <w:tcW w:w="899" w:type="dxa"/>
                  <w:vMerge/>
                  <w:shd w:val="clear" w:color="000000" w:fill="FFFFFF"/>
                  <w:vAlign w:val="center"/>
                  <w:hideMark/>
                </w:tcPr>
                <w:p w14:paraId="3B764965" w14:textId="77777777" w:rsidR="00DD3F4F" w:rsidRPr="007C523C" w:rsidRDefault="00DD3F4F" w:rsidP="002107FB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39" w:type="dxa"/>
                  <w:shd w:val="clear" w:color="000000" w:fill="FFFFFF"/>
                  <w:noWrap/>
                  <w:vAlign w:val="bottom"/>
                  <w:hideMark/>
                </w:tcPr>
                <w:p w14:paraId="43EA83B4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13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center"/>
                  <w:hideMark/>
                </w:tcPr>
                <w:p w14:paraId="16CB6C55" w14:textId="2A432450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301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164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1507A77D" w14:textId="6CD4E90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430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61B11923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1.14</w:t>
                  </w:r>
                </w:p>
              </w:tc>
              <w:tc>
                <w:tcPr>
                  <w:tcW w:w="1543" w:type="dxa"/>
                  <w:shd w:val="clear" w:color="000000" w:fill="FFFFFF"/>
                  <w:noWrap/>
                  <w:vAlign w:val="center"/>
                  <w:hideMark/>
                </w:tcPr>
                <w:p w14:paraId="621E2C6E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2.60</w:t>
                  </w:r>
                </w:p>
              </w:tc>
            </w:tr>
            <w:tr w:rsidR="00DD3F4F" w:rsidRPr="00C7317B" w14:paraId="3B029B22" w14:textId="77777777" w:rsidTr="002107FB">
              <w:trPr>
                <w:trHeight w:val="300"/>
              </w:trPr>
              <w:tc>
                <w:tcPr>
                  <w:tcW w:w="899" w:type="dxa"/>
                  <w:vMerge/>
                  <w:shd w:val="clear" w:color="000000" w:fill="FFFFFF"/>
                  <w:vAlign w:val="center"/>
                  <w:hideMark/>
                </w:tcPr>
                <w:p w14:paraId="73F9F301" w14:textId="77777777" w:rsidR="00DD3F4F" w:rsidRPr="007C523C" w:rsidRDefault="00DD3F4F" w:rsidP="002107FB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39" w:type="dxa"/>
                  <w:shd w:val="clear" w:color="000000" w:fill="FFFFFF"/>
                  <w:noWrap/>
                  <w:vAlign w:val="bottom"/>
                  <w:hideMark/>
                </w:tcPr>
                <w:p w14:paraId="56EC5C55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14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center"/>
                  <w:hideMark/>
                </w:tcPr>
                <w:p w14:paraId="449F032B" w14:textId="3EFC94D3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292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004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23495DBE" w14:textId="7AE6300D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337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509E02B0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1.49</w:t>
                  </w:r>
                </w:p>
              </w:tc>
              <w:tc>
                <w:tcPr>
                  <w:tcW w:w="1543" w:type="dxa"/>
                  <w:shd w:val="clear" w:color="000000" w:fill="FFFFFF"/>
                  <w:noWrap/>
                  <w:vAlign w:val="center"/>
                  <w:hideMark/>
                </w:tcPr>
                <w:p w14:paraId="58D9EA69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4.11</w:t>
                  </w:r>
                </w:p>
              </w:tc>
            </w:tr>
            <w:tr w:rsidR="00DD3F4F" w:rsidRPr="00C7317B" w14:paraId="328CEF7F" w14:textId="77777777" w:rsidTr="002107FB">
              <w:trPr>
                <w:trHeight w:val="300"/>
              </w:trPr>
              <w:tc>
                <w:tcPr>
                  <w:tcW w:w="899" w:type="dxa"/>
                  <w:vMerge/>
                  <w:shd w:val="clear" w:color="000000" w:fill="FFFFFF"/>
                  <w:vAlign w:val="center"/>
                  <w:hideMark/>
                </w:tcPr>
                <w:p w14:paraId="6E062AC9" w14:textId="77777777" w:rsidR="00DD3F4F" w:rsidRPr="007C523C" w:rsidRDefault="00DD3F4F" w:rsidP="002107FB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39" w:type="dxa"/>
                  <w:shd w:val="clear" w:color="000000" w:fill="FFFFFF"/>
                  <w:noWrap/>
                  <w:vAlign w:val="bottom"/>
                  <w:hideMark/>
                </w:tcPr>
                <w:p w14:paraId="7DA44D23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15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center"/>
                  <w:hideMark/>
                </w:tcPr>
                <w:p w14:paraId="23303C1D" w14:textId="6BCE54E9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287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102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0C7EFCE1" w14:textId="659C67F4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942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7EB7FD21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1.37</w:t>
                  </w:r>
                </w:p>
              </w:tc>
              <w:tc>
                <w:tcPr>
                  <w:tcW w:w="1543" w:type="dxa"/>
                  <w:shd w:val="clear" w:color="000000" w:fill="FFFFFF"/>
                  <w:noWrap/>
                  <w:vAlign w:val="center"/>
                  <w:hideMark/>
                </w:tcPr>
                <w:p w14:paraId="7376E06F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5.50</w:t>
                  </w:r>
                </w:p>
              </w:tc>
            </w:tr>
            <w:tr w:rsidR="00DD3F4F" w:rsidRPr="00C7317B" w14:paraId="6750392A" w14:textId="77777777" w:rsidTr="002107FB">
              <w:trPr>
                <w:trHeight w:val="300"/>
              </w:trPr>
              <w:tc>
                <w:tcPr>
                  <w:tcW w:w="899" w:type="dxa"/>
                  <w:vMerge/>
                  <w:shd w:val="clear" w:color="000000" w:fill="FFFFFF"/>
                  <w:vAlign w:val="center"/>
                  <w:hideMark/>
                </w:tcPr>
                <w:p w14:paraId="63CCA7A3" w14:textId="77777777" w:rsidR="00DD3F4F" w:rsidRPr="007C523C" w:rsidRDefault="00DD3F4F" w:rsidP="002107FB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39" w:type="dxa"/>
                  <w:shd w:val="clear" w:color="000000" w:fill="FFFFFF"/>
                  <w:noWrap/>
                  <w:vAlign w:val="bottom"/>
                  <w:hideMark/>
                </w:tcPr>
                <w:p w14:paraId="3D480383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16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center"/>
                  <w:hideMark/>
                </w:tcPr>
                <w:p w14:paraId="0EBB96A1" w14:textId="3C4CD87A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295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689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4D8E5064" w14:textId="6B199C2E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495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67AEE51E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1.18</w:t>
                  </w:r>
                </w:p>
              </w:tc>
              <w:tc>
                <w:tcPr>
                  <w:tcW w:w="1543" w:type="dxa"/>
                  <w:shd w:val="clear" w:color="000000" w:fill="FFFFFF"/>
                  <w:noWrap/>
                  <w:vAlign w:val="center"/>
                  <w:hideMark/>
                </w:tcPr>
                <w:p w14:paraId="3B98931B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6.70</w:t>
                  </w:r>
                </w:p>
              </w:tc>
            </w:tr>
            <w:tr w:rsidR="00DD3F4F" w:rsidRPr="00C7317B" w14:paraId="48421104" w14:textId="77777777" w:rsidTr="002107FB">
              <w:trPr>
                <w:trHeight w:val="300"/>
              </w:trPr>
              <w:tc>
                <w:tcPr>
                  <w:tcW w:w="899" w:type="dxa"/>
                  <w:vMerge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ADEF9B" w14:textId="77777777" w:rsidR="00DD3F4F" w:rsidRPr="007C523C" w:rsidRDefault="00DD3F4F" w:rsidP="002107FB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39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CDBDA4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F0F620" w14:textId="50898513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302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735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1EF049" w14:textId="46C30730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713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F4DF03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1.23</w:t>
                  </w: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1C3C4D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7.94</w:t>
                  </w:r>
                </w:p>
              </w:tc>
            </w:tr>
            <w:tr w:rsidR="00DD3F4F" w:rsidRPr="00C7317B" w14:paraId="69F78A04" w14:textId="77777777" w:rsidTr="002107FB">
              <w:trPr>
                <w:trHeight w:val="300"/>
              </w:trPr>
              <w:tc>
                <w:tcPr>
                  <w:tcW w:w="89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93A564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Boys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3CA620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BDE753" w14:textId="42F79BBF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335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137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6042DA" w14:textId="301ECA06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927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F18E04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0.57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E23426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0.57</w:t>
                  </w:r>
                </w:p>
              </w:tc>
            </w:tr>
            <w:tr w:rsidR="00DD3F4F" w:rsidRPr="00C7317B" w14:paraId="56D2C607" w14:textId="77777777" w:rsidTr="002107FB">
              <w:trPr>
                <w:trHeight w:val="300"/>
              </w:trPr>
              <w:tc>
                <w:tcPr>
                  <w:tcW w:w="899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76B12A" w14:textId="77777777" w:rsidR="00DD3F4F" w:rsidRPr="007C523C" w:rsidRDefault="00DD3F4F" w:rsidP="002107FB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39" w:type="dxa"/>
                  <w:shd w:val="clear" w:color="000000" w:fill="FFFFFF"/>
                  <w:noWrap/>
                  <w:vAlign w:val="bottom"/>
                  <w:hideMark/>
                </w:tcPr>
                <w:p w14:paraId="5C777FCF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12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center"/>
                  <w:hideMark/>
                </w:tcPr>
                <w:p w14:paraId="6F6F0316" w14:textId="283927A4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321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159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10D6497F" w14:textId="33B281CA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659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07CE5333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0.52</w:t>
                  </w:r>
                </w:p>
              </w:tc>
              <w:tc>
                <w:tcPr>
                  <w:tcW w:w="1543" w:type="dxa"/>
                  <w:shd w:val="clear" w:color="000000" w:fill="FFFFFF"/>
                  <w:noWrap/>
                  <w:vAlign w:val="center"/>
                  <w:hideMark/>
                </w:tcPr>
                <w:p w14:paraId="115A78A3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1.09</w:t>
                  </w:r>
                </w:p>
              </w:tc>
            </w:tr>
            <w:tr w:rsidR="00DD3F4F" w:rsidRPr="00C7317B" w14:paraId="3F9D99A4" w14:textId="77777777" w:rsidTr="002107FB">
              <w:trPr>
                <w:trHeight w:val="300"/>
              </w:trPr>
              <w:tc>
                <w:tcPr>
                  <w:tcW w:w="899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03D8F3" w14:textId="77777777" w:rsidR="00DD3F4F" w:rsidRPr="007C523C" w:rsidRDefault="00DD3F4F" w:rsidP="002107FB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39" w:type="dxa"/>
                  <w:shd w:val="clear" w:color="000000" w:fill="FFFFFF"/>
                  <w:noWrap/>
                  <w:vAlign w:val="bottom"/>
                  <w:hideMark/>
                </w:tcPr>
                <w:p w14:paraId="01A6DD63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13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center"/>
                  <w:hideMark/>
                </w:tcPr>
                <w:p w14:paraId="7987E339" w14:textId="6229F999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315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6D24EDC1" w14:textId="7F594CE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734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3CC1E7A5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0.55</w:t>
                  </w:r>
                </w:p>
              </w:tc>
              <w:tc>
                <w:tcPr>
                  <w:tcW w:w="1543" w:type="dxa"/>
                  <w:shd w:val="clear" w:color="000000" w:fill="FFFFFF"/>
                  <w:noWrap/>
                  <w:vAlign w:val="center"/>
                  <w:hideMark/>
                </w:tcPr>
                <w:p w14:paraId="75E07962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1.65</w:t>
                  </w:r>
                </w:p>
              </w:tc>
            </w:tr>
            <w:tr w:rsidR="00DD3F4F" w:rsidRPr="00C7317B" w14:paraId="66106F46" w14:textId="77777777" w:rsidTr="002107FB">
              <w:trPr>
                <w:trHeight w:val="300"/>
              </w:trPr>
              <w:tc>
                <w:tcPr>
                  <w:tcW w:w="899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1BF7EE" w14:textId="77777777" w:rsidR="00DD3F4F" w:rsidRPr="007C523C" w:rsidRDefault="00DD3F4F" w:rsidP="002107FB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39" w:type="dxa"/>
                  <w:shd w:val="clear" w:color="000000" w:fill="FFFFFF"/>
                  <w:noWrap/>
                  <w:vAlign w:val="bottom"/>
                  <w:hideMark/>
                </w:tcPr>
                <w:p w14:paraId="780326A5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14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center"/>
                  <w:hideMark/>
                </w:tcPr>
                <w:p w14:paraId="2BEE8932" w14:textId="1FE83075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307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468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79120360" w14:textId="2997B9C5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930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43186D44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0.63</w:t>
                  </w:r>
                </w:p>
              </w:tc>
              <w:tc>
                <w:tcPr>
                  <w:tcW w:w="1543" w:type="dxa"/>
                  <w:shd w:val="clear" w:color="000000" w:fill="FFFFFF"/>
                  <w:noWrap/>
                  <w:vAlign w:val="center"/>
                  <w:hideMark/>
                </w:tcPr>
                <w:p w14:paraId="1B24990E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2.28</w:t>
                  </w:r>
                </w:p>
              </w:tc>
            </w:tr>
            <w:tr w:rsidR="00DD3F4F" w:rsidRPr="00C7317B" w14:paraId="4AE48B5A" w14:textId="77777777" w:rsidTr="002107FB">
              <w:trPr>
                <w:trHeight w:val="300"/>
              </w:trPr>
              <w:tc>
                <w:tcPr>
                  <w:tcW w:w="899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89AB52" w14:textId="77777777" w:rsidR="00DD3F4F" w:rsidRPr="007C523C" w:rsidRDefault="00DD3F4F" w:rsidP="002107FB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39" w:type="dxa"/>
                  <w:shd w:val="clear" w:color="000000" w:fill="FFFFFF"/>
                  <w:noWrap/>
                  <w:vAlign w:val="bottom"/>
                  <w:hideMark/>
                </w:tcPr>
                <w:p w14:paraId="7F7E28ED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15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center"/>
                  <w:hideMark/>
                </w:tcPr>
                <w:p w14:paraId="25F4F885" w14:textId="3CBE760F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302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504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41EED9DD" w14:textId="71C3FFD4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820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0328BB12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0.60</w:t>
                  </w:r>
                </w:p>
              </w:tc>
              <w:tc>
                <w:tcPr>
                  <w:tcW w:w="1543" w:type="dxa"/>
                  <w:shd w:val="clear" w:color="000000" w:fill="FFFFFF"/>
                  <w:noWrap/>
                  <w:vAlign w:val="center"/>
                  <w:hideMark/>
                </w:tcPr>
                <w:p w14:paraId="4C9D5577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2.88</w:t>
                  </w:r>
                </w:p>
              </w:tc>
            </w:tr>
            <w:tr w:rsidR="00DD3F4F" w:rsidRPr="00C7317B" w14:paraId="132C6E26" w14:textId="77777777" w:rsidTr="002107FB">
              <w:trPr>
                <w:trHeight w:val="300"/>
              </w:trPr>
              <w:tc>
                <w:tcPr>
                  <w:tcW w:w="899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C2D35D" w14:textId="77777777" w:rsidR="00DD3F4F" w:rsidRPr="007C523C" w:rsidRDefault="00DD3F4F" w:rsidP="002107FB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39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335E32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2B15B9C" w14:textId="073A54D1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310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035</w:t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145965" w14:textId="63D47F82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B65CD9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0.58</w:t>
                  </w:r>
                </w:p>
              </w:tc>
              <w:tc>
                <w:tcPr>
                  <w:tcW w:w="1543" w:type="dxa"/>
                  <w:tcBorders>
                    <w:bottom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B14AC8C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3.47</w:t>
                  </w:r>
                </w:p>
              </w:tc>
            </w:tr>
            <w:tr w:rsidR="00DD3F4F" w:rsidRPr="00C7317B" w14:paraId="590A8B5F" w14:textId="77777777" w:rsidTr="002107FB">
              <w:trPr>
                <w:trHeight w:val="300"/>
              </w:trPr>
              <w:tc>
                <w:tcPr>
                  <w:tcW w:w="899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8A61E0" w14:textId="77777777" w:rsidR="00DD3F4F" w:rsidRPr="007C523C" w:rsidRDefault="00DD3F4F" w:rsidP="002107FB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D99F73" w14:textId="77777777" w:rsidR="00DD3F4F" w:rsidRPr="007C523C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</w:pPr>
                  <w:r w:rsidRPr="007C523C">
                    <w:rPr>
                      <w:rFonts w:ascii="Calibri" w:eastAsia="Times New Roman" w:hAnsi="Calibri" w:cs="Calibri"/>
                      <w:bCs/>
                      <w:color w:val="000000"/>
                      <w:lang w:eastAsia="en-GB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C6C6C8" w14:textId="6A2C9729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320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527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C4D5DB" w14:textId="4BAFE02D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  <w:r w:rsidR="0048719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933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4CD4F4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0.60</w:t>
                  </w:r>
                </w:p>
              </w:tc>
              <w:tc>
                <w:tcPr>
                  <w:tcW w:w="1543" w:type="dxa"/>
                  <w:tcBorders>
                    <w:top w:val="nil"/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92566F" w14:textId="77777777" w:rsidR="00DD3F4F" w:rsidRPr="00C7317B" w:rsidRDefault="00DD3F4F" w:rsidP="002107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7317B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4.08</w:t>
                  </w:r>
                </w:p>
              </w:tc>
            </w:tr>
          </w:tbl>
          <w:p w14:paraId="04918FB3" w14:textId="77777777" w:rsidR="00DD3F4F" w:rsidRPr="00706871" w:rsidRDefault="00DD3F4F" w:rsidP="0021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3F4F" w:rsidRPr="00706871" w14:paraId="0070C6B8" w14:textId="77777777" w:rsidTr="002107FB">
        <w:trPr>
          <w:trHeight w:val="45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E3983" w14:textId="77777777" w:rsidR="00E75555" w:rsidRDefault="00E75555" w:rsidP="002107FB"/>
          <w:p w14:paraId="11C697DC" w14:textId="1D5B7B17" w:rsidR="00DD3F4F" w:rsidRPr="00E75555" w:rsidRDefault="00DD3F4F" w:rsidP="002107FB">
            <w:pPr>
              <w:rPr>
                <w:sz w:val="24"/>
              </w:rPr>
            </w:pPr>
            <w:r w:rsidRPr="00E75555">
              <w:rPr>
                <w:sz w:val="24"/>
              </w:rPr>
              <w:t>Age was defined as age at the start of the academic year. Office for National Statistics mid-year population estimates were used as denominator data.</w:t>
            </w:r>
            <w:r w:rsidR="007D4C95" w:rsidRPr="00E75555">
              <w:rPr>
                <w:sz w:val="24"/>
              </w:rPr>
              <w:t xml:space="preserve"> *The estimated cumulative incidence was calculated by summing the age-specific incidences. The figures presented in Supplementary Material </w:t>
            </w:r>
            <w:r w:rsidR="006C7DC3" w:rsidRPr="00233D3C">
              <w:rPr>
                <w:sz w:val="24"/>
                <w:highlight w:val="yellow"/>
              </w:rPr>
              <w:t>9</w:t>
            </w:r>
            <w:r w:rsidR="006C7DC3">
              <w:rPr>
                <w:sz w:val="24"/>
              </w:rPr>
              <w:t xml:space="preserve"> </w:t>
            </w:r>
            <w:r w:rsidR="007D4C95" w:rsidRPr="00E75555">
              <w:rPr>
                <w:sz w:val="24"/>
              </w:rPr>
              <w:t xml:space="preserve">are rounded to </w:t>
            </w:r>
            <w:r w:rsidR="005C6EDA">
              <w:rPr>
                <w:sz w:val="24"/>
              </w:rPr>
              <w:t xml:space="preserve">2 </w:t>
            </w:r>
            <w:r w:rsidR="007D4C95" w:rsidRPr="00E75555">
              <w:rPr>
                <w:sz w:val="24"/>
              </w:rPr>
              <w:t xml:space="preserve">decimal places and so the cumulative incidence may not exactly equal the sum of the preceding age-specific incidences. </w:t>
            </w:r>
          </w:p>
          <w:p w14:paraId="0ABC9A1B" w14:textId="77777777" w:rsidR="00DD3F4F" w:rsidRPr="00706871" w:rsidRDefault="00DD3F4F" w:rsidP="0021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1842A35" w14:textId="77777777" w:rsidR="00DD3F4F" w:rsidRDefault="00DD3F4F" w:rsidP="00DD3F4F"/>
    <w:p w14:paraId="31CF6766" w14:textId="1D4E5F85" w:rsidR="00864FBA" w:rsidRPr="00D66DC0" w:rsidRDefault="00864FBA" w:rsidP="00DD3F4F"/>
    <w:sectPr w:rsidR="00864FBA" w:rsidRPr="00D66DC0" w:rsidSect="00DD3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898FB" w14:textId="77777777" w:rsidR="00142F93" w:rsidRDefault="00142F93">
      <w:pPr>
        <w:spacing w:after="0" w:line="240" w:lineRule="auto"/>
      </w:pPr>
      <w:r>
        <w:separator/>
      </w:r>
    </w:p>
  </w:endnote>
  <w:endnote w:type="continuationSeparator" w:id="0">
    <w:p w14:paraId="1B95439D" w14:textId="77777777" w:rsidR="00142F93" w:rsidRDefault="0014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2FC1" w14:textId="77777777" w:rsidR="009F2BB2" w:rsidRDefault="009F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48DD6" w14:textId="77777777" w:rsidR="00142F93" w:rsidRDefault="00142F93">
      <w:pPr>
        <w:spacing w:after="0" w:line="240" w:lineRule="auto"/>
      </w:pPr>
      <w:r>
        <w:separator/>
      </w:r>
    </w:p>
  </w:footnote>
  <w:footnote w:type="continuationSeparator" w:id="0">
    <w:p w14:paraId="4E1AA7C0" w14:textId="77777777" w:rsidR="00142F93" w:rsidRDefault="00142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8211C"/>
    <w:multiLevelType w:val="hybridMultilevel"/>
    <w:tmpl w:val="580C311A"/>
    <w:lvl w:ilvl="0" w:tplc="74BCB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711B"/>
    <w:multiLevelType w:val="hybridMultilevel"/>
    <w:tmpl w:val="F8F809B6"/>
    <w:lvl w:ilvl="0" w:tplc="43FEF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C2F8D"/>
    <w:multiLevelType w:val="hybridMultilevel"/>
    <w:tmpl w:val="F9F6DE8C"/>
    <w:lvl w:ilvl="0" w:tplc="AF70F5F2">
      <w:start w:val="1"/>
      <w:numFmt w:val="lowerRoman"/>
      <w:lvlText w:val="%1)"/>
      <w:lvlJc w:val="left"/>
      <w:pPr>
        <w:ind w:left="1080" w:hanging="720"/>
      </w:pPr>
      <w:rPr>
        <w:rFonts w:ascii="Calibri" w:eastAsia="Times New Roman" w:hAnsi="Calibri" w:cs="Calibri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AE"/>
    <w:rsid w:val="000125E9"/>
    <w:rsid w:val="000269BF"/>
    <w:rsid w:val="000505C9"/>
    <w:rsid w:val="000526F3"/>
    <w:rsid w:val="00090785"/>
    <w:rsid w:val="000B0620"/>
    <w:rsid w:val="000B0692"/>
    <w:rsid w:val="000B2F55"/>
    <w:rsid w:val="000E41A9"/>
    <w:rsid w:val="00142F93"/>
    <w:rsid w:val="0016453B"/>
    <w:rsid w:val="00170BE4"/>
    <w:rsid w:val="00192CBF"/>
    <w:rsid w:val="001A3398"/>
    <w:rsid w:val="002107FB"/>
    <w:rsid w:val="00232618"/>
    <w:rsid w:val="00233D3C"/>
    <w:rsid w:val="002650F8"/>
    <w:rsid w:val="00293EF2"/>
    <w:rsid w:val="002B06D4"/>
    <w:rsid w:val="002F16AE"/>
    <w:rsid w:val="002F6834"/>
    <w:rsid w:val="00301A66"/>
    <w:rsid w:val="00332B01"/>
    <w:rsid w:val="00357B7C"/>
    <w:rsid w:val="0036607E"/>
    <w:rsid w:val="00380D21"/>
    <w:rsid w:val="00390F0A"/>
    <w:rsid w:val="0039288D"/>
    <w:rsid w:val="003A0955"/>
    <w:rsid w:val="00425DC5"/>
    <w:rsid w:val="00430606"/>
    <w:rsid w:val="00443DC2"/>
    <w:rsid w:val="00455ED6"/>
    <w:rsid w:val="00484E2D"/>
    <w:rsid w:val="00487195"/>
    <w:rsid w:val="005A039B"/>
    <w:rsid w:val="005C326C"/>
    <w:rsid w:val="005C6EDA"/>
    <w:rsid w:val="005D2ACF"/>
    <w:rsid w:val="005E2073"/>
    <w:rsid w:val="00600C5E"/>
    <w:rsid w:val="00625BA0"/>
    <w:rsid w:val="006333A9"/>
    <w:rsid w:val="00641B1B"/>
    <w:rsid w:val="006B122C"/>
    <w:rsid w:val="006C7DC3"/>
    <w:rsid w:val="006F0893"/>
    <w:rsid w:val="00700D6A"/>
    <w:rsid w:val="007105EF"/>
    <w:rsid w:val="0071404E"/>
    <w:rsid w:val="00725E62"/>
    <w:rsid w:val="00746D94"/>
    <w:rsid w:val="00772863"/>
    <w:rsid w:val="007B2EAE"/>
    <w:rsid w:val="007C523C"/>
    <w:rsid w:val="007D4C95"/>
    <w:rsid w:val="007F2866"/>
    <w:rsid w:val="00813E6F"/>
    <w:rsid w:val="00857781"/>
    <w:rsid w:val="00864FBA"/>
    <w:rsid w:val="008E001A"/>
    <w:rsid w:val="008E546E"/>
    <w:rsid w:val="009042F4"/>
    <w:rsid w:val="00923F1E"/>
    <w:rsid w:val="0094508A"/>
    <w:rsid w:val="0095141B"/>
    <w:rsid w:val="00970C2B"/>
    <w:rsid w:val="00982603"/>
    <w:rsid w:val="00990B7C"/>
    <w:rsid w:val="009E2EBF"/>
    <w:rsid w:val="009F2BB2"/>
    <w:rsid w:val="00A1367A"/>
    <w:rsid w:val="00AD1A9A"/>
    <w:rsid w:val="00AE2BFA"/>
    <w:rsid w:val="00BA491D"/>
    <w:rsid w:val="00BB0881"/>
    <w:rsid w:val="00BE1401"/>
    <w:rsid w:val="00CC685B"/>
    <w:rsid w:val="00CD36A6"/>
    <w:rsid w:val="00D66DC0"/>
    <w:rsid w:val="00D7248E"/>
    <w:rsid w:val="00DA5D80"/>
    <w:rsid w:val="00DD3F4F"/>
    <w:rsid w:val="00DF6E96"/>
    <w:rsid w:val="00E07B51"/>
    <w:rsid w:val="00E41540"/>
    <w:rsid w:val="00E45B17"/>
    <w:rsid w:val="00E75555"/>
    <w:rsid w:val="00E92429"/>
    <w:rsid w:val="00F05CDF"/>
    <w:rsid w:val="00F65D47"/>
    <w:rsid w:val="00F75C29"/>
    <w:rsid w:val="00F92F4D"/>
    <w:rsid w:val="00F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EA79"/>
  <w15:chartTrackingRefBased/>
  <w15:docId w15:val="{CB16EB57-8665-4B2F-B07B-A2130591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FBA"/>
    <w:rPr>
      <w:sz w:val="20"/>
      <w:szCs w:val="20"/>
    </w:rPr>
  </w:style>
  <w:style w:type="table" w:styleId="TableGrid">
    <w:name w:val="Table Grid"/>
    <w:basedOn w:val="TableNormal"/>
    <w:uiPriority w:val="39"/>
    <w:rsid w:val="005D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3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12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Blackburn</dc:creator>
  <cp:keywords/>
  <dc:description/>
  <cp:lastModifiedBy>Mc Grath-Lone, Louise</cp:lastModifiedBy>
  <cp:revision>2</cp:revision>
  <dcterms:created xsi:type="dcterms:W3CDTF">2021-10-08T10:27:00Z</dcterms:created>
  <dcterms:modified xsi:type="dcterms:W3CDTF">2021-10-08T10:27:00Z</dcterms:modified>
</cp:coreProperties>
</file>