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horzAnchor="page" w:tblpX="439" w:tblpY="-1106"/>
        <w:tblW w:w="15871" w:type="dxa"/>
        <w:tblLook w:val="04A0" w:firstRow="1" w:lastRow="0" w:firstColumn="1" w:lastColumn="0" w:noHBand="0" w:noVBand="1"/>
      </w:tblPr>
      <w:tblGrid>
        <w:gridCol w:w="1936"/>
        <w:gridCol w:w="2040"/>
        <w:gridCol w:w="2195"/>
        <w:gridCol w:w="1904"/>
        <w:gridCol w:w="2410"/>
        <w:gridCol w:w="2126"/>
        <w:gridCol w:w="3260"/>
      </w:tblGrid>
      <w:tr w:rsidR="008E1F4A" w:rsidRPr="00386667" w14:paraId="729FD8E4" w14:textId="77777777" w:rsidTr="00593202">
        <w:trPr>
          <w:trHeight w:val="23"/>
        </w:trPr>
        <w:tc>
          <w:tcPr>
            <w:tcW w:w="12611" w:type="dxa"/>
            <w:gridSpan w:val="6"/>
            <w:tcBorders>
              <w:top w:val="single" w:sz="4" w:space="0" w:color="auto"/>
              <w:left w:val="nil"/>
              <w:bottom w:val="single" w:sz="4" w:space="0" w:color="auto"/>
              <w:right w:val="nil"/>
            </w:tcBorders>
          </w:tcPr>
          <w:p w14:paraId="63CA55DC" w14:textId="71DB3ECD" w:rsidR="008E1F4A" w:rsidRPr="00341DE8" w:rsidRDefault="008E1F4A" w:rsidP="00EB1648">
            <w:pPr>
              <w:rPr>
                <w:b/>
                <w:bCs/>
                <w:sz w:val="16"/>
                <w:szCs w:val="16"/>
              </w:rPr>
            </w:pPr>
            <w:r>
              <w:rPr>
                <w:b/>
                <w:bCs/>
                <w:sz w:val="16"/>
                <w:szCs w:val="16"/>
              </w:rPr>
              <w:t xml:space="preserve">Table 6: </w:t>
            </w:r>
            <w:r w:rsidRPr="002F6B68">
              <w:rPr>
                <w:rFonts w:cs="Times New Roman"/>
                <w:sz w:val="16"/>
                <w:szCs w:val="16"/>
              </w:rPr>
              <w:t xml:space="preserve"> </w:t>
            </w:r>
            <w:r w:rsidRPr="002F6B68">
              <w:rPr>
                <w:rFonts w:cs="Times New Roman"/>
                <w:sz w:val="16"/>
                <w:szCs w:val="16"/>
              </w:rPr>
              <w:t xml:space="preserve">Characteristics and results of included studies on </w:t>
            </w:r>
            <w:r>
              <w:rPr>
                <w:rFonts w:cs="Times New Roman"/>
                <w:sz w:val="16"/>
                <w:szCs w:val="16"/>
              </w:rPr>
              <w:t xml:space="preserve">PTSD </w:t>
            </w:r>
          </w:p>
        </w:tc>
        <w:tc>
          <w:tcPr>
            <w:tcW w:w="3260" w:type="dxa"/>
            <w:tcBorders>
              <w:top w:val="single" w:sz="4" w:space="0" w:color="auto"/>
              <w:left w:val="nil"/>
              <w:bottom w:val="single" w:sz="4" w:space="0" w:color="auto"/>
              <w:right w:val="nil"/>
            </w:tcBorders>
          </w:tcPr>
          <w:p w14:paraId="644CD54D" w14:textId="77777777" w:rsidR="008E1F4A" w:rsidRPr="00341DE8" w:rsidRDefault="008E1F4A" w:rsidP="00EB1648">
            <w:pPr>
              <w:rPr>
                <w:b/>
                <w:bCs/>
                <w:sz w:val="16"/>
                <w:szCs w:val="16"/>
              </w:rPr>
            </w:pPr>
          </w:p>
        </w:tc>
      </w:tr>
      <w:tr w:rsidR="00386667" w:rsidRPr="00386667" w14:paraId="166EFDFC" w14:textId="77777777" w:rsidTr="00D53564">
        <w:trPr>
          <w:trHeight w:val="23"/>
        </w:trPr>
        <w:tc>
          <w:tcPr>
            <w:tcW w:w="1936" w:type="dxa"/>
            <w:tcBorders>
              <w:top w:val="single" w:sz="4" w:space="0" w:color="auto"/>
              <w:left w:val="nil"/>
              <w:bottom w:val="single" w:sz="4" w:space="0" w:color="auto"/>
              <w:right w:val="nil"/>
            </w:tcBorders>
          </w:tcPr>
          <w:p w14:paraId="378305A7" w14:textId="77777777" w:rsidR="00386667" w:rsidRPr="00341DE8" w:rsidRDefault="00386667" w:rsidP="00E15583">
            <w:pPr>
              <w:rPr>
                <w:b/>
                <w:bCs/>
                <w:sz w:val="16"/>
                <w:szCs w:val="16"/>
              </w:rPr>
            </w:pPr>
            <w:r w:rsidRPr="00341DE8">
              <w:rPr>
                <w:b/>
                <w:bCs/>
                <w:sz w:val="16"/>
                <w:szCs w:val="16"/>
              </w:rPr>
              <w:t>Authors, date &amp; design</w:t>
            </w:r>
          </w:p>
        </w:tc>
        <w:tc>
          <w:tcPr>
            <w:tcW w:w="2040" w:type="dxa"/>
            <w:tcBorders>
              <w:top w:val="single" w:sz="4" w:space="0" w:color="auto"/>
              <w:left w:val="nil"/>
              <w:bottom w:val="single" w:sz="4" w:space="0" w:color="auto"/>
              <w:right w:val="nil"/>
            </w:tcBorders>
          </w:tcPr>
          <w:p w14:paraId="387CB76D" w14:textId="77777777" w:rsidR="00386667" w:rsidRPr="00341DE8" w:rsidRDefault="00386667" w:rsidP="00EB1648">
            <w:pPr>
              <w:rPr>
                <w:b/>
                <w:bCs/>
                <w:sz w:val="16"/>
                <w:szCs w:val="16"/>
              </w:rPr>
            </w:pPr>
            <w:r w:rsidRPr="00341DE8">
              <w:rPr>
                <w:b/>
                <w:bCs/>
                <w:sz w:val="16"/>
                <w:szCs w:val="16"/>
              </w:rPr>
              <w:t xml:space="preserve">Patient demographics </w:t>
            </w:r>
          </w:p>
        </w:tc>
        <w:tc>
          <w:tcPr>
            <w:tcW w:w="2195" w:type="dxa"/>
            <w:tcBorders>
              <w:top w:val="single" w:sz="4" w:space="0" w:color="auto"/>
              <w:left w:val="nil"/>
              <w:bottom w:val="single" w:sz="4" w:space="0" w:color="auto"/>
              <w:right w:val="nil"/>
            </w:tcBorders>
          </w:tcPr>
          <w:p w14:paraId="2395AFAF" w14:textId="77777777" w:rsidR="00386667" w:rsidRPr="00341DE8" w:rsidRDefault="00386667" w:rsidP="00EB1648">
            <w:pPr>
              <w:rPr>
                <w:b/>
                <w:bCs/>
                <w:sz w:val="16"/>
                <w:szCs w:val="16"/>
              </w:rPr>
            </w:pPr>
            <w:r w:rsidRPr="00341DE8">
              <w:rPr>
                <w:b/>
                <w:bCs/>
                <w:sz w:val="16"/>
                <w:szCs w:val="16"/>
              </w:rPr>
              <w:t xml:space="preserve">Ketamine treatment </w:t>
            </w:r>
          </w:p>
        </w:tc>
        <w:tc>
          <w:tcPr>
            <w:tcW w:w="1904" w:type="dxa"/>
            <w:tcBorders>
              <w:top w:val="single" w:sz="4" w:space="0" w:color="auto"/>
              <w:left w:val="nil"/>
              <w:bottom w:val="single" w:sz="4" w:space="0" w:color="auto"/>
              <w:right w:val="nil"/>
            </w:tcBorders>
          </w:tcPr>
          <w:p w14:paraId="4081934F" w14:textId="77777777" w:rsidR="00386667" w:rsidRPr="00341DE8" w:rsidRDefault="00386667" w:rsidP="00EB1648">
            <w:pPr>
              <w:rPr>
                <w:b/>
                <w:bCs/>
                <w:sz w:val="16"/>
                <w:szCs w:val="16"/>
              </w:rPr>
            </w:pPr>
            <w:r w:rsidRPr="00341DE8">
              <w:rPr>
                <w:b/>
                <w:bCs/>
                <w:sz w:val="16"/>
                <w:szCs w:val="16"/>
              </w:rPr>
              <w:t xml:space="preserve">Control </w:t>
            </w:r>
          </w:p>
        </w:tc>
        <w:tc>
          <w:tcPr>
            <w:tcW w:w="2410" w:type="dxa"/>
            <w:tcBorders>
              <w:top w:val="single" w:sz="4" w:space="0" w:color="auto"/>
              <w:left w:val="nil"/>
              <w:bottom w:val="single" w:sz="4" w:space="0" w:color="auto"/>
              <w:right w:val="nil"/>
            </w:tcBorders>
          </w:tcPr>
          <w:p w14:paraId="73EA2F47" w14:textId="52B41220" w:rsidR="00386667" w:rsidRPr="00341DE8" w:rsidRDefault="00386667" w:rsidP="00EB1648">
            <w:pPr>
              <w:rPr>
                <w:b/>
                <w:bCs/>
                <w:sz w:val="16"/>
                <w:szCs w:val="16"/>
              </w:rPr>
            </w:pPr>
            <w:r w:rsidRPr="00341DE8">
              <w:rPr>
                <w:b/>
                <w:bCs/>
                <w:sz w:val="16"/>
                <w:szCs w:val="16"/>
              </w:rPr>
              <w:t xml:space="preserve">Adjunct treatments </w:t>
            </w:r>
          </w:p>
        </w:tc>
        <w:tc>
          <w:tcPr>
            <w:tcW w:w="2126" w:type="dxa"/>
            <w:tcBorders>
              <w:top w:val="single" w:sz="4" w:space="0" w:color="auto"/>
              <w:left w:val="nil"/>
              <w:bottom w:val="single" w:sz="4" w:space="0" w:color="auto"/>
              <w:right w:val="nil"/>
            </w:tcBorders>
          </w:tcPr>
          <w:p w14:paraId="2E8C096B" w14:textId="1F2F1123" w:rsidR="00386667" w:rsidRPr="00341DE8" w:rsidRDefault="00386667" w:rsidP="00EB1648">
            <w:pPr>
              <w:rPr>
                <w:b/>
                <w:bCs/>
                <w:sz w:val="16"/>
                <w:szCs w:val="16"/>
              </w:rPr>
            </w:pPr>
            <w:r w:rsidRPr="00341DE8">
              <w:rPr>
                <w:b/>
                <w:bCs/>
                <w:sz w:val="16"/>
                <w:szCs w:val="16"/>
              </w:rPr>
              <w:t>Outcome measures</w:t>
            </w:r>
          </w:p>
        </w:tc>
        <w:tc>
          <w:tcPr>
            <w:tcW w:w="3260" w:type="dxa"/>
            <w:tcBorders>
              <w:top w:val="single" w:sz="4" w:space="0" w:color="auto"/>
              <w:left w:val="nil"/>
              <w:bottom w:val="single" w:sz="4" w:space="0" w:color="auto"/>
              <w:right w:val="nil"/>
            </w:tcBorders>
          </w:tcPr>
          <w:p w14:paraId="45FD0328" w14:textId="574C8B62" w:rsidR="00386667" w:rsidRPr="00341DE8" w:rsidRDefault="00386667" w:rsidP="00EB1648">
            <w:pPr>
              <w:rPr>
                <w:b/>
                <w:bCs/>
                <w:sz w:val="16"/>
                <w:szCs w:val="16"/>
              </w:rPr>
            </w:pPr>
            <w:r w:rsidRPr="00341DE8">
              <w:rPr>
                <w:b/>
                <w:bCs/>
                <w:sz w:val="16"/>
                <w:szCs w:val="16"/>
              </w:rPr>
              <w:t xml:space="preserve">Results </w:t>
            </w:r>
          </w:p>
        </w:tc>
      </w:tr>
      <w:tr w:rsidR="00386667" w:rsidRPr="00386667" w14:paraId="21BC6F98" w14:textId="77777777" w:rsidTr="00D53564">
        <w:trPr>
          <w:trHeight w:val="100"/>
        </w:trPr>
        <w:tc>
          <w:tcPr>
            <w:tcW w:w="1936" w:type="dxa"/>
            <w:tcBorders>
              <w:top w:val="single" w:sz="4" w:space="0" w:color="auto"/>
              <w:left w:val="nil"/>
              <w:bottom w:val="single" w:sz="4" w:space="0" w:color="auto"/>
              <w:right w:val="nil"/>
            </w:tcBorders>
          </w:tcPr>
          <w:p w14:paraId="2AD2CBE2" w14:textId="749AD175" w:rsidR="00386667" w:rsidRPr="00386667" w:rsidRDefault="00386667" w:rsidP="00EB1648">
            <w:pPr>
              <w:rPr>
                <w:b/>
                <w:bCs/>
                <w:sz w:val="16"/>
                <w:szCs w:val="16"/>
              </w:rPr>
            </w:pPr>
            <w:r w:rsidRPr="00386667">
              <w:rPr>
                <w:b/>
                <w:bCs/>
                <w:sz w:val="16"/>
                <w:szCs w:val="16"/>
              </w:rPr>
              <w:t>Schonenberg et al., 2005</w:t>
            </w:r>
          </w:p>
          <w:p w14:paraId="7262703C" w14:textId="25C4A52E" w:rsidR="00386667" w:rsidRPr="00386667" w:rsidRDefault="00386667" w:rsidP="00EB1648">
            <w:pPr>
              <w:rPr>
                <w:sz w:val="16"/>
                <w:szCs w:val="16"/>
              </w:rPr>
            </w:pPr>
            <w:r>
              <w:rPr>
                <w:sz w:val="16"/>
                <w:szCs w:val="16"/>
              </w:rPr>
              <w:t>R</w:t>
            </w:r>
            <w:r w:rsidRPr="00386667">
              <w:rPr>
                <w:sz w:val="16"/>
                <w:szCs w:val="16"/>
              </w:rPr>
              <w:t xml:space="preserve">etrospective chart review </w:t>
            </w:r>
          </w:p>
          <w:p w14:paraId="1E189435" w14:textId="77777777" w:rsidR="00386667" w:rsidRPr="00386667" w:rsidRDefault="00386667" w:rsidP="00EB1648">
            <w:pPr>
              <w:rPr>
                <w:sz w:val="16"/>
                <w:szCs w:val="16"/>
              </w:rPr>
            </w:pPr>
          </w:p>
          <w:p w14:paraId="3919EB5C" w14:textId="77777777" w:rsidR="00386667" w:rsidRPr="00386667" w:rsidRDefault="00386667" w:rsidP="00EB1648">
            <w:pPr>
              <w:rPr>
                <w:sz w:val="16"/>
                <w:szCs w:val="16"/>
              </w:rPr>
            </w:pPr>
          </w:p>
          <w:p w14:paraId="48B7D59A" w14:textId="2FFA8701" w:rsidR="00386667" w:rsidRPr="00386667" w:rsidRDefault="00386667" w:rsidP="00EB1648">
            <w:pPr>
              <w:rPr>
                <w:sz w:val="16"/>
                <w:szCs w:val="16"/>
              </w:rPr>
            </w:pPr>
          </w:p>
        </w:tc>
        <w:tc>
          <w:tcPr>
            <w:tcW w:w="2040" w:type="dxa"/>
            <w:tcBorders>
              <w:top w:val="single" w:sz="4" w:space="0" w:color="auto"/>
              <w:left w:val="nil"/>
              <w:bottom w:val="single" w:sz="4" w:space="0" w:color="auto"/>
              <w:right w:val="nil"/>
            </w:tcBorders>
          </w:tcPr>
          <w:p w14:paraId="4F8A4FC2" w14:textId="03116761" w:rsidR="00386667" w:rsidRPr="00386667" w:rsidRDefault="00386667" w:rsidP="00A8545E">
            <w:pPr>
              <w:rPr>
                <w:sz w:val="16"/>
                <w:szCs w:val="16"/>
              </w:rPr>
            </w:pPr>
            <w:r w:rsidRPr="00386667">
              <w:rPr>
                <w:sz w:val="16"/>
                <w:szCs w:val="16"/>
              </w:rPr>
              <w:t>56 moderately injured accident victims screened for PTSD approx. 1-year post</w:t>
            </w:r>
            <w:r w:rsidR="00BF19E2">
              <w:rPr>
                <w:sz w:val="16"/>
                <w:szCs w:val="16"/>
              </w:rPr>
              <w:t>-</w:t>
            </w:r>
            <w:r w:rsidRPr="00386667">
              <w:rPr>
                <w:sz w:val="16"/>
                <w:szCs w:val="16"/>
              </w:rPr>
              <w:t>accident</w:t>
            </w:r>
            <w:r w:rsidR="00BF19E2">
              <w:rPr>
                <w:sz w:val="16"/>
                <w:szCs w:val="16"/>
              </w:rPr>
              <w:t>.</w:t>
            </w:r>
          </w:p>
        </w:tc>
        <w:tc>
          <w:tcPr>
            <w:tcW w:w="2195" w:type="dxa"/>
            <w:tcBorders>
              <w:top w:val="single" w:sz="4" w:space="0" w:color="auto"/>
              <w:left w:val="nil"/>
              <w:bottom w:val="single" w:sz="4" w:space="0" w:color="auto"/>
              <w:right w:val="nil"/>
            </w:tcBorders>
          </w:tcPr>
          <w:p w14:paraId="0822A504" w14:textId="2C211F97" w:rsidR="00386667" w:rsidRPr="00386667" w:rsidRDefault="00386667" w:rsidP="00A8545E">
            <w:pPr>
              <w:rPr>
                <w:sz w:val="16"/>
                <w:szCs w:val="16"/>
              </w:rPr>
            </w:pPr>
            <w:r w:rsidRPr="00386667">
              <w:rPr>
                <w:sz w:val="16"/>
                <w:szCs w:val="16"/>
              </w:rPr>
              <w:t>(S)-ketamine (n=12) or racemic ketamine (n=17) during ambulance transportation immediately post</w:t>
            </w:r>
            <w:r w:rsidR="00A038E6">
              <w:rPr>
                <w:sz w:val="16"/>
                <w:szCs w:val="16"/>
              </w:rPr>
              <w:t>-</w:t>
            </w:r>
            <w:r w:rsidRPr="00386667">
              <w:rPr>
                <w:sz w:val="16"/>
                <w:szCs w:val="16"/>
              </w:rPr>
              <w:t xml:space="preserve">accident </w:t>
            </w:r>
          </w:p>
        </w:tc>
        <w:tc>
          <w:tcPr>
            <w:tcW w:w="1904" w:type="dxa"/>
            <w:tcBorders>
              <w:top w:val="single" w:sz="4" w:space="0" w:color="auto"/>
              <w:left w:val="nil"/>
              <w:bottom w:val="single" w:sz="4" w:space="0" w:color="auto"/>
              <w:right w:val="nil"/>
            </w:tcBorders>
          </w:tcPr>
          <w:p w14:paraId="34212E45" w14:textId="3915A70C" w:rsidR="00386667" w:rsidRPr="00386667" w:rsidRDefault="00386667" w:rsidP="00A8545E">
            <w:pPr>
              <w:rPr>
                <w:sz w:val="16"/>
                <w:szCs w:val="16"/>
              </w:rPr>
            </w:pPr>
            <w:r w:rsidRPr="00386667">
              <w:rPr>
                <w:sz w:val="16"/>
                <w:szCs w:val="16"/>
              </w:rPr>
              <w:t>Those treated with opiates only during ambulance transportation immediately pos</w:t>
            </w:r>
            <w:r w:rsidR="00A038E6">
              <w:rPr>
                <w:sz w:val="16"/>
                <w:szCs w:val="16"/>
              </w:rPr>
              <w:t>t-</w:t>
            </w:r>
            <w:r w:rsidRPr="00386667">
              <w:rPr>
                <w:sz w:val="16"/>
                <w:szCs w:val="16"/>
              </w:rPr>
              <w:t>accident (n=27)</w:t>
            </w:r>
          </w:p>
        </w:tc>
        <w:tc>
          <w:tcPr>
            <w:tcW w:w="2410" w:type="dxa"/>
            <w:tcBorders>
              <w:top w:val="single" w:sz="4" w:space="0" w:color="auto"/>
              <w:left w:val="nil"/>
              <w:bottom w:val="single" w:sz="4" w:space="0" w:color="auto"/>
              <w:right w:val="nil"/>
            </w:tcBorders>
          </w:tcPr>
          <w:p w14:paraId="33BDC7E0" w14:textId="6562579B" w:rsidR="00386667" w:rsidRDefault="00F63B63" w:rsidP="004A5A2F">
            <w:pPr>
              <w:rPr>
                <w:sz w:val="16"/>
                <w:szCs w:val="16"/>
              </w:rPr>
            </w:pPr>
            <w:r>
              <w:rPr>
                <w:sz w:val="16"/>
                <w:szCs w:val="16"/>
              </w:rPr>
              <w:t xml:space="preserve">S-ketamine and racemic ketamine paired with </w:t>
            </w:r>
            <w:r w:rsidR="00BC11D9">
              <w:rPr>
                <w:sz w:val="16"/>
                <w:szCs w:val="16"/>
              </w:rPr>
              <w:t xml:space="preserve">benzodiazepine </w:t>
            </w:r>
            <w:r>
              <w:rPr>
                <w:sz w:val="16"/>
                <w:szCs w:val="16"/>
              </w:rPr>
              <w:t>midazolam (</w:t>
            </w:r>
            <w:proofErr w:type="spellStart"/>
            <w:r>
              <w:rPr>
                <w:sz w:val="16"/>
                <w:szCs w:val="16"/>
              </w:rPr>
              <w:t>ataranalgesia</w:t>
            </w:r>
            <w:proofErr w:type="spellEnd"/>
            <w:r>
              <w:rPr>
                <w:sz w:val="16"/>
                <w:szCs w:val="16"/>
              </w:rPr>
              <w:t>)</w:t>
            </w:r>
          </w:p>
          <w:p w14:paraId="1397EF77" w14:textId="77777777" w:rsidR="00F63B63" w:rsidRDefault="00F63B63" w:rsidP="004A5A2F">
            <w:pPr>
              <w:rPr>
                <w:sz w:val="16"/>
                <w:szCs w:val="16"/>
              </w:rPr>
            </w:pPr>
          </w:p>
          <w:p w14:paraId="7568D45B" w14:textId="78B7F8B8" w:rsidR="00F63B63" w:rsidRDefault="00F63B63" w:rsidP="00F63B63">
            <w:r>
              <w:rPr>
                <w:sz w:val="16"/>
                <w:szCs w:val="16"/>
              </w:rPr>
              <w:t xml:space="preserve">Short anaesthesia for surgery or analgesics administered for severe pain during hospitalisation (typically fentanyl combined with midazolam for surgery and </w:t>
            </w:r>
            <w:r w:rsidRPr="00F63B63">
              <w:rPr>
                <w:sz w:val="16"/>
                <w:szCs w:val="16"/>
              </w:rPr>
              <w:t>tramadol or piritramide against moderate to severe pain</w:t>
            </w:r>
            <w:r>
              <w:rPr>
                <w:sz w:val="16"/>
                <w:szCs w:val="16"/>
              </w:rPr>
              <w:t>.)</w:t>
            </w:r>
          </w:p>
          <w:p w14:paraId="73C4665D" w14:textId="77777777" w:rsidR="00F63B63" w:rsidRDefault="00F63B63" w:rsidP="004A5A2F">
            <w:pPr>
              <w:rPr>
                <w:sz w:val="16"/>
                <w:szCs w:val="16"/>
              </w:rPr>
            </w:pPr>
          </w:p>
          <w:p w14:paraId="73C6646F" w14:textId="4E26CA7D" w:rsidR="00BC11D9" w:rsidRPr="00D53564" w:rsidRDefault="00BC11D9" w:rsidP="00BC11D9">
            <w:pPr>
              <w:rPr>
                <w:sz w:val="16"/>
                <w:szCs w:val="16"/>
              </w:rPr>
            </w:pPr>
            <w:r w:rsidRPr="00D53564">
              <w:rPr>
                <w:sz w:val="16"/>
                <w:szCs w:val="16"/>
              </w:rPr>
              <w:t>3 patients in opioid condition received beta-blockers</w:t>
            </w:r>
            <w:r w:rsidR="00754DEA" w:rsidRPr="00D53564">
              <w:rPr>
                <w:sz w:val="16"/>
                <w:szCs w:val="16"/>
              </w:rPr>
              <w:t xml:space="preserve">. </w:t>
            </w:r>
            <w:r w:rsidRPr="00D53564">
              <w:rPr>
                <w:sz w:val="16"/>
                <w:szCs w:val="16"/>
              </w:rPr>
              <w:t xml:space="preserve">3 patients in the ketamine group and 8 patients in the opioid group received lormetazepam, flunitrazepam, or oxazepam </w:t>
            </w:r>
            <w:r w:rsidR="00754DEA" w:rsidRPr="00D53564">
              <w:rPr>
                <w:sz w:val="16"/>
                <w:szCs w:val="16"/>
              </w:rPr>
              <w:t>once</w:t>
            </w:r>
            <w:r w:rsidRPr="00D53564">
              <w:rPr>
                <w:sz w:val="16"/>
                <w:szCs w:val="16"/>
              </w:rPr>
              <w:t xml:space="preserve"> or twice against sleeplessness during hospitalisation.</w:t>
            </w:r>
          </w:p>
          <w:p w14:paraId="6C599425" w14:textId="08C7CB06" w:rsidR="00BC11D9" w:rsidRPr="00BF19E2" w:rsidRDefault="00BC11D9" w:rsidP="004A5A2F">
            <w:pPr>
              <w:rPr>
                <w:sz w:val="16"/>
                <w:szCs w:val="16"/>
              </w:rPr>
            </w:pPr>
          </w:p>
        </w:tc>
        <w:tc>
          <w:tcPr>
            <w:tcW w:w="2126" w:type="dxa"/>
            <w:tcBorders>
              <w:top w:val="single" w:sz="4" w:space="0" w:color="auto"/>
              <w:left w:val="nil"/>
              <w:bottom w:val="single" w:sz="4" w:space="0" w:color="auto"/>
              <w:right w:val="nil"/>
            </w:tcBorders>
          </w:tcPr>
          <w:p w14:paraId="5EE4FB2C" w14:textId="459C46CA" w:rsidR="00386667" w:rsidRPr="006925DC" w:rsidRDefault="00BF19E2" w:rsidP="004A5A2F">
            <w:pPr>
              <w:rPr>
                <w:sz w:val="16"/>
                <w:szCs w:val="16"/>
              </w:rPr>
            </w:pPr>
            <w:r>
              <w:rPr>
                <w:sz w:val="16"/>
                <w:szCs w:val="16"/>
              </w:rPr>
              <w:t>Impact of Event Scale-Revised, Acute Stress Disorder Scale and Peritraumatic Dissociative Experiences Questionnaire.</w:t>
            </w:r>
          </w:p>
        </w:tc>
        <w:tc>
          <w:tcPr>
            <w:tcW w:w="3260" w:type="dxa"/>
            <w:tcBorders>
              <w:top w:val="single" w:sz="4" w:space="0" w:color="auto"/>
              <w:left w:val="nil"/>
              <w:bottom w:val="single" w:sz="4" w:space="0" w:color="auto"/>
              <w:right w:val="nil"/>
            </w:tcBorders>
          </w:tcPr>
          <w:p w14:paraId="0F88BAB6" w14:textId="5F2BFF6B" w:rsidR="005400DE" w:rsidRDefault="005400DE" w:rsidP="004A5A2F">
            <w:pPr>
              <w:rPr>
                <w:sz w:val="16"/>
                <w:szCs w:val="16"/>
              </w:rPr>
            </w:pPr>
            <w:r w:rsidRPr="005400DE">
              <w:rPr>
                <w:sz w:val="16"/>
                <w:szCs w:val="16"/>
                <w:u w:val="single"/>
              </w:rPr>
              <w:t>Retrospective</w:t>
            </w:r>
            <w:r>
              <w:rPr>
                <w:sz w:val="16"/>
                <w:szCs w:val="16"/>
              </w:rPr>
              <w:t xml:space="preserve">: </w:t>
            </w:r>
            <w:r w:rsidR="00BF19E2">
              <w:rPr>
                <w:sz w:val="16"/>
                <w:szCs w:val="16"/>
              </w:rPr>
              <w:t>S-ketamine group displayed significantly elevated ASDS scores (on dissociation, reexperiencing &amp; avoidance subscales), compared to opioid group</w:t>
            </w:r>
            <w:r>
              <w:rPr>
                <w:sz w:val="16"/>
                <w:szCs w:val="16"/>
              </w:rPr>
              <w:t>. Also, higher (though not significantly) dissociation and reexperiencing scores amongst S-ketamine relative to racemic. Racemic ketamine group displayed elevated dissociation and reexperience symptoms, relative to opioid group.</w:t>
            </w:r>
          </w:p>
          <w:p w14:paraId="5596771E" w14:textId="77777777" w:rsidR="005400DE" w:rsidRDefault="005400DE" w:rsidP="004A5A2F">
            <w:pPr>
              <w:rPr>
                <w:sz w:val="16"/>
                <w:szCs w:val="16"/>
              </w:rPr>
            </w:pPr>
          </w:p>
          <w:p w14:paraId="77F8E029" w14:textId="27075F29" w:rsidR="005400DE" w:rsidRPr="00341DE8" w:rsidRDefault="005400DE" w:rsidP="004A5A2F">
            <w:pPr>
              <w:rPr>
                <w:sz w:val="16"/>
                <w:szCs w:val="16"/>
              </w:rPr>
            </w:pPr>
            <w:r w:rsidRPr="005400DE">
              <w:rPr>
                <w:sz w:val="16"/>
                <w:szCs w:val="16"/>
                <w:u w:val="single"/>
              </w:rPr>
              <w:t>Current:</w:t>
            </w:r>
            <w:r>
              <w:rPr>
                <w:sz w:val="16"/>
                <w:szCs w:val="16"/>
              </w:rPr>
              <w:t xml:space="preserve"> S-ketamine group displayed significant heightened current PTSD symptoms (IES-R scores) compared to opioid and racemic groups. No significant differences in present symptomatology between racemic ketamine and opioid groups.</w:t>
            </w:r>
          </w:p>
        </w:tc>
      </w:tr>
      <w:tr w:rsidR="00CF2B80" w:rsidRPr="00386667" w14:paraId="1A3DA556" w14:textId="77777777" w:rsidTr="00D53564">
        <w:trPr>
          <w:trHeight w:val="100"/>
        </w:trPr>
        <w:tc>
          <w:tcPr>
            <w:tcW w:w="1936" w:type="dxa"/>
            <w:tcBorders>
              <w:top w:val="single" w:sz="4" w:space="0" w:color="auto"/>
              <w:left w:val="nil"/>
              <w:bottom w:val="single" w:sz="4" w:space="0" w:color="auto"/>
              <w:right w:val="nil"/>
            </w:tcBorders>
          </w:tcPr>
          <w:p w14:paraId="7C2FC1EB" w14:textId="77777777" w:rsidR="00CF2B80" w:rsidRPr="00386667" w:rsidRDefault="00CF2B80" w:rsidP="00CF2B80">
            <w:pPr>
              <w:rPr>
                <w:b/>
                <w:bCs/>
                <w:sz w:val="16"/>
                <w:szCs w:val="16"/>
              </w:rPr>
            </w:pPr>
            <w:proofErr w:type="spellStart"/>
            <w:r w:rsidRPr="00386667">
              <w:rPr>
                <w:b/>
                <w:bCs/>
                <w:sz w:val="16"/>
                <w:szCs w:val="16"/>
              </w:rPr>
              <w:t>Schonenberg</w:t>
            </w:r>
            <w:proofErr w:type="spellEnd"/>
            <w:r w:rsidRPr="00386667">
              <w:rPr>
                <w:b/>
                <w:bCs/>
                <w:sz w:val="16"/>
                <w:szCs w:val="16"/>
              </w:rPr>
              <w:t xml:space="preserve"> et al., 2008 </w:t>
            </w:r>
          </w:p>
          <w:p w14:paraId="4F2F5CE4" w14:textId="77777777" w:rsidR="00CF2B80" w:rsidRPr="00386667" w:rsidRDefault="00CF2B80" w:rsidP="00CF2B80">
            <w:pPr>
              <w:rPr>
                <w:sz w:val="16"/>
                <w:szCs w:val="16"/>
              </w:rPr>
            </w:pPr>
            <w:r>
              <w:rPr>
                <w:sz w:val="16"/>
                <w:szCs w:val="16"/>
              </w:rPr>
              <w:t>Retrospective chart review</w:t>
            </w:r>
          </w:p>
          <w:p w14:paraId="50E924E1" w14:textId="77777777" w:rsidR="00CF2B80" w:rsidRPr="00386667" w:rsidRDefault="00CF2B80" w:rsidP="00CF2B80">
            <w:pPr>
              <w:rPr>
                <w:b/>
                <w:bCs/>
                <w:sz w:val="16"/>
                <w:szCs w:val="16"/>
              </w:rPr>
            </w:pPr>
          </w:p>
        </w:tc>
        <w:tc>
          <w:tcPr>
            <w:tcW w:w="2040" w:type="dxa"/>
            <w:tcBorders>
              <w:top w:val="single" w:sz="4" w:space="0" w:color="auto"/>
              <w:left w:val="nil"/>
              <w:bottom w:val="single" w:sz="4" w:space="0" w:color="auto"/>
              <w:right w:val="nil"/>
            </w:tcBorders>
          </w:tcPr>
          <w:p w14:paraId="670B6EDE" w14:textId="77777777" w:rsidR="00CF2B80" w:rsidRPr="00386667" w:rsidRDefault="00CF2B80" w:rsidP="00CF2B80">
            <w:pPr>
              <w:rPr>
                <w:sz w:val="16"/>
                <w:szCs w:val="16"/>
              </w:rPr>
            </w:pPr>
            <w:r w:rsidRPr="00386667">
              <w:rPr>
                <w:sz w:val="16"/>
                <w:szCs w:val="16"/>
              </w:rPr>
              <w:t xml:space="preserve">50 moderately injured accident victims, screened for acute stress disorder and dissociative symptoms within 3 days of hospital admission </w:t>
            </w:r>
          </w:p>
          <w:p w14:paraId="1B389E9D" w14:textId="77777777" w:rsidR="00CF2B80" w:rsidRPr="00386667" w:rsidRDefault="00CF2B80" w:rsidP="00CF2B80">
            <w:pPr>
              <w:rPr>
                <w:sz w:val="16"/>
                <w:szCs w:val="16"/>
              </w:rPr>
            </w:pPr>
          </w:p>
        </w:tc>
        <w:tc>
          <w:tcPr>
            <w:tcW w:w="2195" w:type="dxa"/>
            <w:tcBorders>
              <w:top w:val="single" w:sz="4" w:space="0" w:color="auto"/>
              <w:left w:val="nil"/>
              <w:bottom w:val="single" w:sz="4" w:space="0" w:color="auto"/>
              <w:right w:val="nil"/>
            </w:tcBorders>
          </w:tcPr>
          <w:p w14:paraId="66299C76" w14:textId="3CA924E6" w:rsidR="00CF2B80" w:rsidRPr="00386667" w:rsidRDefault="00CF2B80" w:rsidP="00CF2B80">
            <w:pPr>
              <w:rPr>
                <w:sz w:val="16"/>
                <w:szCs w:val="16"/>
              </w:rPr>
            </w:pPr>
            <w:r w:rsidRPr="00386667">
              <w:rPr>
                <w:sz w:val="16"/>
                <w:szCs w:val="16"/>
              </w:rPr>
              <w:t xml:space="preserve">Those treated with a single or fractionated dose of racemic ketamine during initial emergency treatment (n=13) </w:t>
            </w:r>
          </w:p>
        </w:tc>
        <w:tc>
          <w:tcPr>
            <w:tcW w:w="1904" w:type="dxa"/>
            <w:tcBorders>
              <w:top w:val="single" w:sz="4" w:space="0" w:color="auto"/>
              <w:left w:val="nil"/>
              <w:bottom w:val="single" w:sz="4" w:space="0" w:color="auto"/>
              <w:right w:val="nil"/>
            </w:tcBorders>
          </w:tcPr>
          <w:p w14:paraId="65645A3E" w14:textId="3FF954C3" w:rsidR="00CF2B80" w:rsidRPr="00386667" w:rsidRDefault="00CF2B80" w:rsidP="00CF2B80">
            <w:pPr>
              <w:rPr>
                <w:sz w:val="16"/>
                <w:szCs w:val="16"/>
              </w:rPr>
            </w:pPr>
            <w:r w:rsidRPr="00386667">
              <w:rPr>
                <w:sz w:val="16"/>
                <w:szCs w:val="16"/>
              </w:rPr>
              <w:t>Those receiving opioids (n=24) or weak grade 1-2 non-opioid analgesics (n=13)</w:t>
            </w:r>
          </w:p>
        </w:tc>
        <w:tc>
          <w:tcPr>
            <w:tcW w:w="2410" w:type="dxa"/>
            <w:tcBorders>
              <w:top w:val="single" w:sz="4" w:space="0" w:color="auto"/>
              <w:left w:val="nil"/>
              <w:bottom w:val="single" w:sz="4" w:space="0" w:color="auto"/>
              <w:right w:val="nil"/>
            </w:tcBorders>
          </w:tcPr>
          <w:p w14:paraId="55E6F4A2" w14:textId="5B358212" w:rsidR="00CF2B80" w:rsidRDefault="00CF2B80" w:rsidP="00CF2B80">
            <w:pPr>
              <w:rPr>
                <w:sz w:val="16"/>
                <w:szCs w:val="16"/>
              </w:rPr>
            </w:pPr>
            <w:r>
              <w:rPr>
                <w:sz w:val="16"/>
                <w:szCs w:val="16"/>
              </w:rPr>
              <w:t>Benzodiazepine midazolam (</w:t>
            </w:r>
            <w:proofErr w:type="spellStart"/>
            <w:r>
              <w:rPr>
                <w:sz w:val="16"/>
                <w:szCs w:val="16"/>
              </w:rPr>
              <w:t>ataranalgesia</w:t>
            </w:r>
            <w:proofErr w:type="spellEnd"/>
            <w:r>
              <w:rPr>
                <w:sz w:val="16"/>
                <w:szCs w:val="16"/>
              </w:rPr>
              <w:t>)</w:t>
            </w:r>
          </w:p>
        </w:tc>
        <w:tc>
          <w:tcPr>
            <w:tcW w:w="2126" w:type="dxa"/>
            <w:tcBorders>
              <w:top w:val="single" w:sz="4" w:space="0" w:color="auto"/>
              <w:left w:val="nil"/>
              <w:bottom w:val="single" w:sz="4" w:space="0" w:color="auto"/>
              <w:right w:val="nil"/>
            </w:tcBorders>
          </w:tcPr>
          <w:p w14:paraId="1843CB36" w14:textId="2ECBE673" w:rsidR="00CF2B80" w:rsidRDefault="00CF2B80" w:rsidP="00CF2B80">
            <w:pPr>
              <w:rPr>
                <w:sz w:val="16"/>
                <w:szCs w:val="16"/>
              </w:rPr>
            </w:pPr>
            <w:r w:rsidRPr="00DD57D4">
              <w:rPr>
                <w:sz w:val="16"/>
                <w:szCs w:val="16"/>
              </w:rPr>
              <w:t>Acut</w:t>
            </w:r>
            <w:r>
              <w:rPr>
                <w:sz w:val="16"/>
                <w:szCs w:val="16"/>
              </w:rPr>
              <w:t xml:space="preserve">e Stress Disorder Scale, Peritraumatic Dissociative Experiences Questionnaire and Traumatic Life Event Questionnaire. </w:t>
            </w:r>
          </w:p>
        </w:tc>
        <w:tc>
          <w:tcPr>
            <w:tcW w:w="3260" w:type="dxa"/>
            <w:tcBorders>
              <w:top w:val="single" w:sz="4" w:space="0" w:color="auto"/>
              <w:left w:val="nil"/>
              <w:bottom w:val="single" w:sz="4" w:space="0" w:color="auto"/>
              <w:right w:val="nil"/>
            </w:tcBorders>
          </w:tcPr>
          <w:p w14:paraId="7BD7A0B8" w14:textId="5F54918F" w:rsidR="00CF2B80" w:rsidRPr="005400DE" w:rsidRDefault="00CF2B80" w:rsidP="00CF2B80">
            <w:pPr>
              <w:rPr>
                <w:sz w:val="16"/>
                <w:szCs w:val="16"/>
                <w:u w:val="single"/>
              </w:rPr>
            </w:pPr>
            <w:r>
              <w:rPr>
                <w:sz w:val="16"/>
                <w:szCs w:val="16"/>
              </w:rPr>
              <w:t>Ketamine-exposed group displayed consistently heightened ASDS and PDEQ scores, relative to both control groups (specific effect of medication on dissociation, reexperience and hyperarousal ASDS subscales) No significant differences between control groups on any PDEQ or ASDS subscales.</w:t>
            </w:r>
          </w:p>
        </w:tc>
      </w:tr>
      <w:tr w:rsidR="00CF2B80" w:rsidRPr="00386667" w14:paraId="1B021D41" w14:textId="77777777" w:rsidTr="00D53564">
        <w:trPr>
          <w:trHeight w:val="1299"/>
        </w:trPr>
        <w:tc>
          <w:tcPr>
            <w:tcW w:w="1936" w:type="dxa"/>
            <w:tcBorders>
              <w:top w:val="single" w:sz="4" w:space="0" w:color="auto"/>
              <w:left w:val="nil"/>
              <w:bottom w:val="single" w:sz="4" w:space="0" w:color="auto"/>
              <w:right w:val="nil"/>
            </w:tcBorders>
          </w:tcPr>
          <w:p w14:paraId="2D4B9ED3" w14:textId="067C3A6A" w:rsidR="00CF2B80" w:rsidRPr="00386667" w:rsidRDefault="00CF2B80" w:rsidP="00CF2B80">
            <w:pPr>
              <w:rPr>
                <w:b/>
                <w:bCs/>
                <w:sz w:val="16"/>
                <w:szCs w:val="16"/>
              </w:rPr>
            </w:pPr>
            <w:r w:rsidRPr="00386667">
              <w:rPr>
                <w:b/>
                <w:bCs/>
                <w:sz w:val="16"/>
                <w:szCs w:val="16"/>
              </w:rPr>
              <w:t>McGhee et al., 2008</w:t>
            </w:r>
          </w:p>
          <w:p w14:paraId="66D99DDE" w14:textId="2C9EA2DA" w:rsidR="00CF2B80" w:rsidRPr="00386667" w:rsidRDefault="00CF2B80" w:rsidP="00CF2B80">
            <w:pPr>
              <w:rPr>
                <w:sz w:val="16"/>
                <w:szCs w:val="16"/>
              </w:rPr>
            </w:pPr>
            <w:r>
              <w:rPr>
                <w:sz w:val="16"/>
                <w:szCs w:val="16"/>
              </w:rPr>
              <w:t>R</w:t>
            </w:r>
            <w:r w:rsidRPr="00386667">
              <w:rPr>
                <w:sz w:val="16"/>
                <w:szCs w:val="16"/>
              </w:rPr>
              <w:t>etrospective chart review</w:t>
            </w:r>
          </w:p>
          <w:p w14:paraId="560BC843" w14:textId="77777777" w:rsidR="00CF2B80" w:rsidRPr="00386667" w:rsidRDefault="00CF2B80" w:rsidP="00CF2B80">
            <w:pPr>
              <w:rPr>
                <w:sz w:val="16"/>
                <w:szCs w:val="16"/>
              </w:rPr>
            </w:pPr>
          </w:p>
          <w:p w14:paraId="516C9AA9" w14:textId="77777777" w:rsidR="00CF2B80" w:rsidRPr="00386667" w:rsidRDefault="00CF2B80" w:rsidP="00CF2B80">
            <w:pPr>
              <w:rPr>
                <w:sz w:val="16"/>
                <w:szCs w:val="16"/>
              </w:rPr>
            </w:pPr>
          </w:p>
          <w:p w14:paraId="3630631C" w14:textId="1D0E8763" w:rsidR="00CF2B80" w:rsidRPr="00386667" w:rsidRDefault="00CF2B80" w:rsidP="00CF2B80">
            <w:pPr>
              <w:rPr>
                <w:sz w:val="16"/>
                <w:szCs w:val="16"/>
              </w:rPr>
            </w:pPr>
          </w:p>
        </w:tc>
        <w:tc>
          <w:tcPr>
            <w:tcW w:w="2040" w:type="dxa"/>
            <w:tcBorders>
              <w:top w:val="single" w:sz="4" w:space="0" w:color="auto"/>
              <w:left w:val="nil"/>
              <w:bottom w:val="single" w:sz="4" w:space="0" w:color="auto"/>
              <w:right w:val="nil"/>
            </w:tcBorders>
          </w:tcPr>
          <w:p w14:paraId="7956F572" w14:textId="7EF1A010" w:rsidR="00CF2B80" w:rsidRPr="00386667" w:rsidRDefault="00CF2B80" w:rsidP="00CF2B80">
            <w:pPr>
              <w:rPr>
                <w:sz w:val="16"/>
                <w:szCs w:val="16"/>
              </w:rPr>
            </w:pPr>
            <w:r w:rsidRPr="00386667">
              <w:rPr>
                <w:sz w:val="16"/>
                <w:szCs w:val="16"/>
              </w:rPr>
              <w:t>147 US military soldiers who sustained thermal injuries, had undergone at least 1 operation, and had been screened for PTSD at some point post-accident</w:t>
            </w:r>
            <w:r>
              <w:rPr>
                <w:sz w:val="16"/>
                <w:szCs w:val="16"/>
              </w:rPr>
              <w:t>.</w:t>
            </w:r>
          </w:p>
        </w:tc>
        <w:tc>
          <w:tcPr>
            <w:tcW w:w="2195" w:type="dxa"/>
            <w:tcBorders>
              <w:top w:val="single" w:sz="4" w:space="0" w:color="auto"/>
              <w:left w:val="nil"/>
              <w:bottom w:val="single" w:sz="4" w:space="0" w:color="auto"/>
              <w:right w:val="nil"/>
            </w:tcBorders>
          </w:tcPr>
          <w:p w14:paraId="1813132C" w14:textId="5E9E50A6" w:rsidR="00CF2B80" w:rsidRPr="00386667" w:rsidRDefault="00CF2B80" w:rsidP="00CF2B80">
            <w:pPr>
              <w:rPr>
                <w:sz w:val="16"/>
                <w:szCs w:val="16"/>
              </w:rPr>
            </w:pPr>
            <w:r w:rsidRPr="00386667">
              <w:rPr>
                <w:sz w:val="16"/>
                <w:szCs w:val="16"/>
              </w:rPr>
              <w:t xml:space="preserve">Those who had received intraoperative ketamine </w:t>
            </w:r>
            <w:r>
              <w:rPr>
                <w:sz w:val="16"/>
                <w:szCs w:val="16"/>
              </w:rPr>
              <w:t xml:space="preserve">during surgery </w:t>
            </w:r>
            <w:r w:rsidRPr="00386667">
              <w:rPr>
                <w:sz w:val="16"/>
                <w:szCs w:val="16"/>
              </w:rPr>
              <w:t>(n=119)</w:t>
            </w:r>
          </w:p>
        </w:tc>
        <w:tc>
          <w:tcPr>
            <w:tcW w:w="1904" w:type="dxa"/>
            <w:tcBorders>
              <w:top w:val="single" w:sz="4" w:space="0" w:color="auto"/>
              <w:left w:val="nil"/>
              <w:bottom w:val="single" w:sz="4" w:space="0" w:color="auto"/>
              <w:right w:val="nil"/>
            </w:tcBorders>
          </w:tcPr>
          <w:p w14:paraId="2ED34318" w14:textId="4F21FF92" w:rsidR="00CF2B80" w:rsidRPr="00386667" w:rsidRDefault="00CF2B80" w:rsidP="00CF2B80">
            <w:pPr>
              <w:rPr>
                <w:sz w:val="16"/>
                <w:szCs w:val="16"/>
              </w:rPr>
            </w:pPr>
            <w:r w:rsidRPr="00386667">
              <w:rPr>
                <w:sz w:val="16"/>
                <w:szCs w:val="16"/>
              </w:rPr>
              <w:t xml:space="preserve">Those who had not received intraoperative ketamine (n=28) </w:t>
            </w:r>
          </w:p>
        </w:tc>
        <w:tc>
          <w:tcPr>
            <w:tcW w:w="2410" w:type="dxa"/>
            <w:tcBorders>
              <w:top w:val="single" w:sz="4" w:space="0" w:color="auto"/>
              <w:left w:val="nil"/>
              <w:bottom w:val="single" w:sz="4" w:space="0" w:color="auto"/>
              <w:right w:val="nil"/>
            </w:tcBorders>
          </w:tcPr>
          <w:p w14:paraId="4F2660D4" w14:textId="11E87350" w:rsidR="00CF2B80" w:rsidRPr="00386667" w:rsidRDefault="00CF2B80" w:rsidP="00CF2B80">
            <w:pPr>
              <w:rPr>
                <w:sz w:val="16"/>
                <w:szCs w:val="16"/>
              </w:rPr>
            </w:pPr>
            <w:r>
              <w:rPr>
                <w:sz w:val="16"/>
                <w:szCs w:val="16"/>
              </w:rPr>
              <w:t xml:space="preserve">IV Morphine (equivalent units calculated with standard opioid conversion calc.)  </w:t>
            </w:r>
          </w:p>
        </w:tc>
        <w:tc>
          <w:tcPr>
            <w:tcW w:w="2126" w:type="dxa"/>
            <w:tcBorders>
              <w:top w:val="single" w:sz="4" w:space="0" w:color="auto"/>
              <w:left w:val="nil"/>
              <w:bottom w:val="single" w:sz="4" w:space="0" w:color="auto"/>
              <w:right w:val="nil"/>
            </w:tcBorders>
          </w:tcPr>
          <w:p w14:paraId="2CD799C0" w14:textId="278C119A" w:rsidR="00CF2B80" w:rsidRPr="00386667" w:rsidRDefault="00CF2B80" w:rsidP="00CF2B80">
            <w:pPr>
              <w:rPr>
                <w:sz w:val="16"/>
                <w:szCs w:val="16"/>
              </w:rPr>
            </w:pPr>
            <w:r w:rsidRPr="006925DC">
              <w:rPr>
                <w:sz w:val="16"/>
                <w:szCs w:val="16"/>
              </w:rPr>
              <w:t>PTSD Checklist-Military</w:t>
            </w:r>
          </w:p>
        </w:tc>
        <w:tc>
          <w:tcPr>
            <w:tcW w:w="3260" w:type="dxa"/>
            <w:tcBorders>
              <w:top w:val="single" w:sz="4" w:space="0" w:color="auto"/>
              <w:left w:val="nil"/>
              <w:bottom w:val="single" w:sz="4" w:space="0" w:color="auto"/>
              <w:right w:val="nil"/>
            </w:tcBorders>
          </w:tcPr>
          <w:p w14:paraId="79C1CDD3" w14:textId="2B264919" w:rsidR="00CF2B80" w:rsidRPr="00341DE8" w:rsidRDefault="00CF2B80" w:rsidP="00CF2B80">
            <w:pPr>
              <w:rPr>
                <w:sz w:val="16"/>
                <w:szCs w:val="16"/>
              </w:rPr>
            </w:pPr>
            <w:r>
              <w:rPr>
                <w:sz w:val="16"/>
                <w:szCs w:val="16"/>
              </w:rPr>
              <w:t xml:space="preserve">27% prevalence of PTSD amongst participants who received ketamine, relative to 46% prevalence amongst non-ketamine-exposed group. Negative although weak relationship between PTSD and ketamine. No relationship between PTSD and morphine (equivalent units) during surgery. </w:t>
            </w:r>
          </w:p>
        </w:tc>
      </w:tr>
      <w:tr w:rsidR="00CF2B80" w:rsidRPr="00386667" w14:paraId="6F798986" w14:textId="77777777" w:rsidTr="00D53564">
        <w:trPr>
          <w:trHeight w:val="100"/>
        </w:trPr>
        <w:tc>
          <w:tcPr>
            <w:tcW w:w="1936" w:type="dxa"/>
            <w:tcBorders>
              <w:top w:val="single" w:sz="4" w:space="0" w:color="auto"/>
              <w:left w:val="nil"/>
              <w:bottom w:val="single" w:sz="4" w:space="0" w:color="auto"/>
              <w:right w:val="nil"/>
            </w:tcBorders>
          </w:tcPr>
          <w:p w14:paraId="193A0B65" w14:textId="77777777" w:rsidR="00CF2B80" w:rsidRPr="00386667" w:rsidRDefault="00CF2B80" w:rsidP="00CF2B80">
            <w:pPr>
              <w:rPr>
                <w:b/>
                <w:bCs/>
                <w:sz w:val="16"/>
                <w:szCs w:val="16"/>
              </w:rPr>
            </w:pPr>
            <w:r w:rsidRPr="00386667">
              <w:rPr>
                <w:b/>
                <w:bCs/>
                <w:sz w:val="16"/>
                <w:szCs w:val="16"/>
              </w:rPr>
              <w:t>McGhee et al., 2014</w:t>
            </w:r>
          </w:p>
          <w:p w14:paraId="194D3521" w14:textId="72BF635F" w:rsidR="00CF2B80" w:rsidRPr="00386667" w:rsidRDefault="00CF2B80" w:rsidP="00CF2B80">
            <w:pPr>
              <w:rPr>
                <w:b/>
                <w:bCs/>
                <w:sz w:val="16"/>
                <w:szCs w:val="16"/>
              </w:rPr>
            </w:pPr>
            <w:r>
              <w:rPr>
                <w:sz w:val="16"/>
                <w:szCs w:val="16"/>
              </w:rPr>
              <w:t>R</w:t>
            </w:r>
            <w:r w:rsidRPr="00386667">
              <w:rPr>
                <w:sz w:val="16"/>
                <w:szCs w:val="16"/>
              </w:rPr>
              <w:t xml:space="preserve">etrospective chart review </w:t>
            </w:r>
          </w:p>
        </w:tc>
        <w:tc>
          <w:tcPr>
            <w:tcW w:w="2040" w:type="dxa"/>
            <w:tcBorders>
              <w:top w:val="single" w:sz="4" w:space="0" w:color="auto"/>
              <w:left w:val="nil"/>
              <w:bottom w:val="single" w:sz="4" w:space="0" w:color="auto"/>
              <w:right w:val="nil"/>
            </w:tcBorders>
          </w:tcPr>
          <w:p w14:paraId="41FBE62A" w14:textId="0368C1B6" w:rsidR="00CF2B80" w:rsidRPr="00386667" w:rsidRDefault="00CF2B80" w:rsidP="00CF2B80">
            <w:pPr>
              <w:rPr>
                <w:sz w:val="16"/>
                <w:szCs w:val="16"/>
              </w:rPr>
            </w:pPr>
            <w:r w:rsidRPr="00386667">
              <w:rPr>
                <w:sz w:val="16"/>
                <w:szCs w:val="16"/>
              </w:rPr>
              <w:t>289 burned US service members who had undergone at least 1 operation, and been screened for PTSD at least 30 days post inj</w:t>
            </w:r>
            <w:r>
              <w:rPr>
                <w:sz w:val="16"/>
                <w:szCs w:val="16"/>
              </w:rPr>
              <w:t>ury</w:t>
            </w:r>
          </w:p>
        </w:tc>
        <w:tc>
          <w:tcPr>
            <w:tcW w:w="2195" w:type="dxa"/>
            <w:tcBorders>
              <w:top w:val="single" w:sz="4" w:space="0" w:color="auto"/>
              <w:left w:val="nil"/>
              <w:bottom w:val="single" w:sz="4" w:space="0" w:color="auto"/>
              <w:right w:val="nil"/>
            </w:tcBorders>
          </w:tcPr>
          <w:p w14:paraId="77B9B56B" w14:textId="380F22EF" w:rsidR="00CF2B80" w:rsidRPr="00386667" w:rsidRDefault="00CF2B80" w:rsidP="00CF2B80">
            <w:pPr>
              <w:rPr>
                <w:sz w:val="16"/>
                <w:szCs w:val="16"/>
              </w:rPr>
            </w:pPr>
            <w:r w:rsidRPr="00386667">
              <w:rPr>
                <w:sz w:val="16"/>
                <w:szCs w:val="16"/>
              </w:rPr>
              <w:t>Those who received intraoperative ketamine (n=189)</w:t>
            </w:r>
          </w:p>
        </w:tc>
        <w:tc>
          <w:tcPr>
            <w:tcW w:w="1904" w:type="dxa"/>
            <w:tcBorders>
              <w:top w:val="single" w:sz="4" w:space="0" w:color="auto"/>
              <w:left w:val="nil"/>
              <w:bottom w:val="single" w:sz="4" w:space="0" w:color="auto"/>
              <w:right w:val="nil"/>
            </w:tcBorders>
          </w:tcPr>
          <w:p w14:paraId="2A71B3BF" w14:textId="37BBF9E0" w:rsidR="00CF2B80" w:rsidRPr="00386667" w:rsidRDefault="00CF2B80" w:rsidP="00CF2B80">
            <w:pPr>
              <w:rPr>
                <w:sz w:val="16"/>
                <w:szCs w:val="16"/>
              </w:rPr>
            </w:pPr>
            <w:r w:rsidRPr="00386667">
              <w:rPr>
                <w:sz w:val="16"/>
                <w:szCs w:val="16"/>
              </w:rPr>
              <w:t>Those who did not receive intraoperative ketamine (n=100)</w:t>
            </w:r>
          </w:p>
        </w:tc>
        <w:tc>
          <w:tcPr>
            <w:tcW w:w="2410" w:type="dxa"/>
            <w:tcBorders>
              <w:top w:val="single" w:sz="4" w:space="0" w:color="auto"/>
              <w:left w:val="nil"/>
              <w:bottom w:val="single" w:sz="4" w:space="0" w:color="auto"/>
              <w:right w:val="nil"/>
            </w:tcBorders>
          </w:tcPr>
          <w:p w14:paraId="67097330" w14:textId="56763C35" w:rsidR="00CF2B80" w:rsidRPr="00386667" w:rsidRDefault="00CF2B80" w:rsidP="00CF2B80">
            <w:pPr>
              <w:rPr>
                <w:sz w:val="16"/>
                <w:szCs w:val="16"/>
              </w:rPr>
            </w:pPr>
            <w:r>
              <w:rPr>
                <w:sz w:val="16"/>
                <w:szCs w:val="16"/>
              </w:rPr>
              <w:t xml:space="preserve">Opioids received either interoceptively or on hospital ward (converted to Morphine equivalent </w:t>
            </w:r>
            <w:proofErr w:type="gramStart"/>
            <w:r>
              <w:rPr>
                <w:sz w:val="16"/>
                <w:szCs w:val="16"/>
              </w:rPr>
              <w:t>units</w:t>
            </w:r>
            <w:proofErr w:type="gramEnd"/>
            <w:r>
              <w:rPr>
                <w:sz w:val="16"/>
                <w:szCs w:val="16"/>
              </w:rPr>
              <w:t xml:space="preserve"> mg/day) </w:t>
            </w:r>
          </w:p>
        </w:tc>
        <w:tc>
          <w:tcPr>
            <w:tcW w:w="2126" w:type="dxa"/>
            <w:tcBorders>
              <w:top w:val="single" w:sz="4" w:space="0" w:color="auto"/>
              <w:left w:val="nil"/>
              <w:bottom w:val="single" w:sz="4" w:space="0" w:color="auto"/>
              <w:right w:val="nil"/>
            </w:tcBorders>
          </w:tcPr>
          <w:p w14:paraId="7094D93E" w14:textId="6C017F8F" w:rsidR="00CF2B80" w:rsidRPr="00386667" w:rsidRDefault="00CF2B80" w:rsidP="00CF2B80">
            <w:pPr>
              <w:rPr>
                <w:sz w:val="16"/>
                <w:szCs w:val="16"/>
              </w:rPr>
            </w:pPr>
            <w:r>
              <w:rPr>
                <w:sz w:val="16"/>
                <w:szCs w:val="16"/>
              </w:rPr>
              <w:t>PTSD Checklist-Military</w:t>
            </w:r>
          </w:p>
        </w:tc>
        <w:tc>
          <w:tcPr>
            <w:tcW w:w="3260" w:type="dxa"/>
            <w:tcBorders>
              <w:top w:val="single" w:sz="4" w:space="0" w:color="auto"/>
              <w:left w:val="nil"/>
              <w:bottom w:val="single" w:sz="4" w:space="0" w:color="auto"/>
              <w:right w:val="nil"/>
            </w:tcBorders>
          </w:tcPr>
          <w:p w14:paraId="195F1371" w14:textId="44087FE6" w:rsidR="00CF2B80" w:rsidRPr="00386667" w:rsidRDefault="00CF2B80" w:rsidP="00CF2B80">
            <w:pPr>
              <w:rPr>
                <w:sz w:val="16"/>
                <w:szCs w:val="16"/>
              </w:rPr>
            </w:pPr>
            <w:r>
              <w:rPr>
                <w:sz w:val="16"/>
                <w:szCs w:val="16"/>
              </w:rPr>
              <w:t xml:space="preserve">No significant difference between prevalence of positive PTSD screening amongst ketamine-exposed group (n =28%) relative to non-exposed (n=26.15%) </w:t>
            </w:r>
          </w:p>
        </w:tc>
      </w:tr>
      <w:tr w:rsidR="00CF2B80" w:rsidRPr="00386667" w14:paraId="4F35E204" w14:textId="77777777" w:rsidTr="00D53564">
        <w:trPr>
          <w:trHeight w:val="100"/>
        </w:trPr>
        <w:tc>
          <w:tcPr>
            <w:tcW w:w="1936" w:type="dxa"/>
            <w:tcBorders>
              <w:top w:val="single" w:sz="4" w:space="0" w:color="auto"/>
              <w:left w:val="nil"/>
              <w:bottom w:val="single" w:sz="4" w:space="0" w:color="auto"/>
              <w:right w:val="nil"/>
            </w:tcBorders>
          </w:tcPr>
          <w:p w14:paraId="1FE05C3F" w14:textId="77777777" w:rsidR="00CF2B80" w:rsidRDefault="00CF2B80" w:rsidP="00CF2B80">
            <w:pPr>
              <w:rPr>
                <w:b/>
                <w:bCs/>
                <w:sz w:val="16"/>
                <w:szCs w:val="16"/>
              </w:rPr>
            </w:pPr>
            <w:r>
              <w:rPr>
                <w:b/>
                <w:bCs/>
                <w:sz w:val="16"/>
                <w:szCs w:val="16"/>
              </w:rPr>
              <w:t>Highland et al., 2020</w:t>
            </w:r>
          </w:p>
          <w:p w14:paraId="3F315229" w14:textId="0702D3F2" w:rsidR="00CF2B80" w:rsidRPr="00386667" w:rsidRDefault="00CF2B80" w:rsidP="00CF2B80">
            <w:pPr>
              <w:rPr>
                <w:sz w:val="16"/>
                <w:szCs w:val="16"/>
              </w:rPr>
            </w:pPr>
            <w:r w:rsidRPr="00386667">
              <w:rPr>
                <w:sz w:val="16"/>
                <w:szCs w:val="16"/>
              </w:rPr>
              <w:t xml:space="preserve">Retrospective review </w:t>
            </w:r>
          </w:p>
          <w:p w14:paraId="67E0FB7E" w14:textId="7D3FB17A" w:rsidR="00CF2B80" w:rsidRPr="00386667" w:rsidRDefault="00CF2B80" w:rsidP="00CF2B80">
            <w:pPr>
              <w:rPr>
                <w:b/>
                <w:bCs/>
                <w:sz w:val="16"/>
                <w:szCs w:val="16"/>
              </w:rPr>
            </w:pPr>
          </w:p>
        </w:tc>
        <w:tc>
          <w:tcPr>
            <w:tcW w:w="2040" w:type="dxa"/>
            <w:tcBorders>
              <w:top w:val="single" w:sz="4" w:space="0" w:color="auto"/>
              <w:left w:val="nil"/>
              <w:bottom w:val="single" w:sz="4" w:space="0" w:color="auto"/>
              <w:right w:val="nil"/>
            </w:tcBorders>
          </w:tcPr>
          <w:p w14:paraId="3D1CF7D6" w14:textId="3E83F2B4" w:rsidR="00CF2B80" w:rsidRPr="00386667" w:rsidRDefault="00CF2B80" w:rsidP="00CF2B80">
            <w:pPr>
              <w:rPr>
                <w:sz w:val="16"/>
                <w:szCs w:val="16"/>
              </w:rPr>
            </w:pPr>
            <w:r>
              <w:rPr>
                <w:sz w:val="16"/>
                <w:szCs w:val="16"/>
              </w:rPr>
              <w:t>1158 veterans with combat-related injuries.</w:t>
            </w:r>
          </w:p>
        </w:tc>
        <w:tc>
          <w:tcPr>
            <w:tcW w:w="2195" w:type="dxa"/>
            <w:tcBorders>
              <w:top w:val="single" w:sz="4" w:space="0" w:color="auto"/>
              <w:left w:val="nil"/>
              <w:bottom w:val="single" w:sz="4" w:space="0" w:color="auto"/>
              <w:right w:val="nil"/>
            </w:tcBorders>
          </w:tcPr>
          <w:p w14:paraId="7353E224" w14:textId="6E851999" w:rsidR="00CF2B80" w:rsidRPr="000267A1" w:rsidRDefault="00CF2B80" w:rsidP="00CF2B80">
            <w:pPr>
              <w:rPr>
                <w:sz w:val="16"/>
                <w:szCs w:val="16"/>
              </w:rPr>
            </w:pPr>
            <w:r w:rsidRPr="000267A1">
              <w:rPr>
                <w:sz w:val="16"/>
                <w:szCs w:val="16"/>
              </w:rPr>
              <w:t>P</w:t>
            </w:r>
            <w:r>
              <w:rPr>
                <w:sz w:val="16"/>
                <w:szCs w:val="16"/>
              </w:rPr>
              <w:t>articipants (n = 107)</w:t>
            </w:r>
            <w:r w:rsidRPr="000267A1">
              <w:rPr>
                <w:sz w:val="16"/>
                <w:szCs w:val="16"/>
              </w:rPr>
              <w:t xml:space="preserve"> who received ketamine </w:t>
            </w:r>
            <w:r>
              <w:rPr>
                <w:sz w:val="16"/>
                <w:szCs w:val="16"/>
              </w:rPr>
              <w:t>i</w:t>
            </w:r>
            <w:r w:rsidRPr="000267A1">
              <w:rPr>
                <w:sz w:val="16"/>
                <w:szCs w:val="16"/>
              </w:rPr>
              <w:t xml:space="preserve">nfusions </w:t>
            </w:r>
            <w:r>
              <w:rPr>
                <w:sz w:val="16"/>
                <w:szCs w:val="16"/>
              </w:rPr>
              <w:t xml:space="preserve">upon hospitalisation following combat evacuation, </w:t>
            </w:r>
            <w:r w:rsidRPr="000267A1">
              <w:rPr>
                <w:sz w:val="16"/>
                <w:szCs w:val="16"/>
              </w:rPr>
              <w:t xml:space="preserve">≥7 days before psychiatric assessments </w:t>
            </w:r>
            <w:r>
              <w:rPr>
                <w:sz w:val="16"/>
                <w:szCs w:val="16"/>
              </w:rPr>
              <w:t>for PTSD.</w:t>
            </w:r>
          </w:p>
          <w:p w14:paraId="1B5C9CEB" w14:textId="1995E4A2" w:rsidR="00CF2B80" w:rsidRPr="000267A1" w:rsidRDefault="00CF2B80" w:rsidP="00CF2B80">
            <w:pPr>
              <w:rPr>
                <w:sz w:val="16"/>
                <w:szCs w:val="16"/>
              </w:rPr>
            </w:pPr>
          </w:p>
        </w:tc>
        <w:tc>
          <w:tcPr>
            <w:tcW w:w="1904" w:type="dxa"/>
            <w:tcBorders>
              <w:top w:val="single" w:sz="4" w:space="0" w:color="auto"/>
              <w:left w:val="nil"/>
              <w:bottom w:val="single" w:sz="4" w:space="0" w:color="auto"/>
              <w:right w:val="nil"/>
            </w:tcBorders>
          </w:tcPr>
          <w:p w14:paraId="4AFCA47C" w14:textId="016ACC13" w:rsidR="00CF2B80" w:rsidRPr="00386667" w:rsidRDefault="00CF2B80" w:rsidP="00CF2B80">
            <w:pPr>
              <w:rPr>
                <w:sz w:val="16"/>
                <w:szCs w:val="16"/>
              </w:rPr>
            </w:pPr>
            <w:r>
              <w:rPr>
                <w:sz w:val="16"/>
                <w:szCs w:val="16"/>
              </w:rPr>
              <w:t>Non-ketamine group (n = 1051) defined as those who had not received ketamine prior to hospital psychiatric assessment for PTSD.</w:t>
            </w:r>
          </w:p>
        </w:tc>
        <w:tc>
          <w:tcPr>
            <w:tcW w:w="2410" w:type="dxa"/>
            <w:tcBorders>
              <w:top w:val="single" w:sz="4" w:space="0" w:color="auto"/>
              <w:left w:val="nil"/>
              <w:bottom w:val="single" w:sz="4" w:space="0" w:color="auto"/>
              <w:right w:val="nil"/>
            </w:tcBorders>
          </w:tcPr>
          <w:p w14:paraId="593EFCF7" w14:textId="272BE7BA" w:rsidR="00CF2B80" w:rsidRPr="00386667" w:rsidRDefault="00CF2B80" w:rsidP="00CF2B80">
            <w:pPr>
              <w:rPr>
                <w:sz w:val="16"/>
                <w:szCs w:val="16"/>
              </w:rPr>
            </w:pPr>
            <w:r>
              <w:rPr>
                <w:sz w:val="16"/>
                <w:szCs w:val="16"/>
              </w:rPr>
              <w:t>N/A</w:t>
            </w:r>
          </w:p>
        </w:tc>
        <w:tc>
          <w:tcPr>
            <w:tcW w:w="2126" w:type="dxa"/>
            <w:tcBorders>
              <w:top w:val="single" w:sz="4" w:space="0" w:color="auto"/>
              <w:left w:val="nil"/>
              <w:bottom w:val="single" w:sz="4" w:space="0" w:color="auto"/>
              <w:right w:val="nil"/>
            </w:tcBorders>
          </w:tcPr>
          <w:p w14:paraId="607B7A5A" w14:textId="037B0D08" w:rsidR="00CF2B80" w:rsidRPr="00386667" w:rsidRDefault="00CF2B80" w:rsidP="00CF2B80">
            <w:pPr>
              <w:rPr>
                <w:sz w:val="16"/>
                <w:szCs w:val="16"/>
              </w:rPr>
            </w:pPr>
            <w:r>
              <w:rPr>
                <w:sz w:val="16"/>
                <w:szCs w:val="16"/>
              </w:rPr>
              <w:t xml:space="preserve">PCL Checklist </w:t>
            </w:r>
          </w:p>
        </w:tc>
        <w:tc>
          <w:tcPr>
            <w:tcW w:w="3260" w:type="dxa"/>
            <w:tcBorders>
              <w:top w:val="single" w:sz="4" w:space="0" w:color="auto"/>
              <w:left w:val="nil"/>
              <w:bottom w:val="single" w:sz="4" w:space="0" w:color="auto"/>
              <w:right w:val="nil"/>
            </w:tcBorders>
          </w:tcPr>
          <w:p w14:paraId="7C11BABD" w14:textId="11BBAF14" w:rsidR="00CF2B80" w:rsidRPr="009F5913" w:rsidRDefault="00CF2B80" w:rsidP="00CF2B80">
            <w:pPr>
              <w:rPr>
                <w:sz w:val="16"/>
                <w:szCs w:val="16"/>
              </w:rPr>
            </w:pPr>
            <w:r w:rsidRPr="009F5913">
              <w:rPr>
                <w:sz w:val="16"/>
                <w:szCs w:val="16"/>
              </w:rPr>
              <w:t>No significant difference</w:t>
            </w:r>
            <w:r>
              <w:rPr>
                <w:sz w:val="16"/>
                <w:szCs w:val="16"/>
              </w:rPr>
              <w:t xml:space="preserve"> between probability of positive PTSD screen or symptom level between ketamine (9.35%) and non-ketamine exposed (7.48%) groups. No significant difference between PCL scores between ketamine and non-ketamine exposed groups. (M diff = 1.98)</w:t>
            </w:r>
          </w:p>
        </w:tc>
      </w:tr>
      <w:tr w:rsidR="00CF2B80" w:rsidRPr="00386667" w14:paraId="40649399" w14:textId="77777777" w:rsidTr="00D53564">
        <w:trPr>
          <w:trHeight w:val="100"/>
        </w:trPr>
        <w:tc>
          <w:tcPr>
            <w:tcW w:w="1936" w:type="dxa"/>
            <w:tcBorders>
              <w:top w:val="single" w:sz="4" w:space="0" w:color="auto"/>
              <w:left w:val="nil"/>
              <w:bottom w:val="single" w:sz="4" w:space="0" w:color="auto"/>
              <w:right w:val="nil"/>
            </w:tcBorders>
          </w:tcPr>
          <w:p w14:paraId="3E5C8DCD" w14:textId="77777777" w:rsidR="00CF2B80" w:rsidRDefault="00CF2B80" w:rsidP="00CF2B80">
            <w:pPr>
              <w:rPr>
                <w:b/>
                <w:bCs/>
                <w:sz w:val="16"/>
                <w:szCs w:val="16"/>
              </w:rPr>
            </w:pPr>
            <w:r>
              <w:rPr>
                <w:b/>
                <w:bCs/>
                <w:sz w:val="16"/>
                <w:szCs w:val="16"/>
              </w:rPr>
              <w:t>Ross et al., 2019</w:t>
            </w:r>
          </w:p>
          <w:p w14:paraId="0DC265C1" w14:textId="77777777" w:rsidR="00CF2B80" w:rsidRDefault="00CF2B80" w:rsidP="00CF2B80">
            <w:pPr>
              <w:rPr>
                <w:sz w:val="16"/>
                <w:szCs w:val="16"/>
              </w:rPr>
            </w:pPr>
            <w:r w:rsidRPr="00386667">
              <w:rPr>
                <w:sz w:val="16"/>
                <w:szCs w:val="16"/>
              </w:rPr>
              <w:t>Open label trial</w:t>
            </w:r>
          </w:p>
          <w:p w14:paraId="340AA95F" w14:textId="0DCD0841" w:rsidR="00CF2B80" w:rsidRPr="00386667" w:rsidRDefault="00CF2B80" w:rsidP="00CF2B80">
            <w:pPr>
              <w:rPr>
                <w:sz w:val="16"/>
                <w:szCs w:val="16"/>
              </w:rPr>
            </w:pPr>
          </w:p>
        </w:tc>
        <w:tc>
          <w:tcPr>
            <w:tcW w:w="2040" w:type="dxa"/>
            <w:tcBorders>
              <w:top w:val="single" w:sz="4" w:space="0" w:color="auto"/>
              <w:left w:val="nil"/>
              <w:bottom w:val="single" w:sz="4" w:space="0" w:color="auto"/>
              <w:right w:val="nil"/>
            </w:tcBorders>
          </w:tcPr>
          <w:p w14:paraId="18106B9E" w14:textId="7CF7780A" w:rsidR="00CF2B80" w:rsidRPr="00386667" w:rsidRDefault="00CF2B80" w:rsidP="00CF2B80">
            <w:pPr>
              <w:rPr>
                <w:sz w:val="16"/>
                <w:szCs w:val="16"/>
              </w:rPr>
            </w:pPr>
            <w:r>
              <w:rPr>
                <w:sz w:val="16"/>
                <w:szCs w:val="16"/>
              </w:rPr>
              <w:t>30 US veterans with combat-related PTSD.</w:t>
            </w:r>
          </w:p>
        </w:tc>
        <w:tc>
          <w:tcPr>
            <w:tcW w:w="2195" w:type="dxa"/>
            <w:tcBorders>
              <w:top w:val="single" w:sz="4" w:space="0" w:color="auto"/>
              <w:left w:val="nil"/>
              <w:bottom w:val="single" w:sz="4" w:space="0" w:color="auto"/>
              <w:right w:val="nil"/>
            </w:tcBorders>
          </w:tcPr>
          <w:p w14:paraId="48FD5886" w14:textId="2BBECDE9" w:rsidR="00CF2B80" w:rsidRPr="00386667" w:rsidRDefault="00CF2B80" w:rsidP="00CF2B80">
            <w:pPr>
              <w:rPr>
                <w:sz w:val="16"/>
                <w:szCs w:val="16"/>
              </w:rPr>
            </w:pPr>
            <w:r>
              <w:rPr>
                <w:sz w:val="16"/>
                <w:szCs w:val="16"/>
              </w:rPr>
              <w:t>X6 IV infusions, 1hour over 2-3 weeks. Initial dose 1 mg/kg body weight and adjusted over subsequent sessions achieve PTR. Final mean dosage of 164.83 mg.</w:t>
            </w:r>
          </w:p>
        </w:tc>
        <w:tc>
          <w:tcPr>
            <w:tcW w:w="1904" w:type="dxa"/>
            <w:tcBorders>
              <w:top w:val="single" w:sz="4" w:space="0" w:color="auto"/>
              <w:left w:val="nil"/>
              <w:bottom w:val="single" w:sz="4" w:space="0" w:color="auto"/>
              <w:right w:val="nil"/>
            </w:tcBorders>
          </w:tcPr>
          <w:p w14:paraId="3A39FB80" w14:textId="706FEBDE" w:rsidR="00CF2B80" w:rsidRPr="00386667" w:rsidRDefault="00CF2B80" w:rsidP="00CF2B80">
            <w:pPr>
              <w:rPr>
                <w:sz w:val="16"/>
                <w:szCs w:val="16"/>
              </w:rPr>
            </w:pPr>
            <w:r>
              <w:rPr>
                <w:sz w:val="16"/>
                <w:szCs w:val="16"/>
              </w:rPr>
              <w:t>N/A</w:t>
            </w:r>
          </w:p>
        </w:tc>
        <w:tc>
          <w:tcPr>
            <w:tcW w:w="2410" w:type="dxa"/>
            <w:tcBorders>
              <w:top w:val="single" w:sz="4" w:space="0" w:color="auto"/>
              <w:left w:val="nil"/>
              <w:bottom w:val="single" w:sz="4" w:space="0" w:color="auto"/>
              <w:right w:val="nil"/>
            </w:tcBorders>
          </w:tcPr>
          <w:p w14:paraId="5D7229C7" w14:textId="75377005" w:rsidR="00CF2B80" w:rsidRPr="00386667" w:rsidRDefault="00CF2B80" w:rsidP="00CF2B80">
            <w:pPr>
              <w:rPr>
                <w:sz w:val="16"/>
                <w:szCs w:val="16"/>
              </w:rPr>
            </w:pPr>
            <w:r>
              <w:rPr>
                <w:sz w:val="16"/>
                <w:szCs w:val="16"/>
              </w:rPr>
              <w:t>N/A</w:t>
            </w:r>
          </w:p>
        </w:tc>
        <w:tc>
          <w:tcPr>
            <w:tcW w:w="2126" w:type="dxa"/>
            <w:tcBorders>
              <w:top w:val="single" w:sz="4" w:space="0" w:color="auto"/>
              <w:left w:val="nil"/>
              <w:bottom w:val="single" w:sz="4" w:space="0" w:color="auto"/>
              <w:right w:val="nil"/>
            </w:tcBorders>
          </w:tcPr>
          <w:p w14:paraId="7FB98DAF" w14:textId="7724FE67" w:rsidR="00CF2B80" w:rsidRPr="00386667" w:rsidRDefault="00CF2B80" w:rsidP="00CF2B80">
            <w:pPr>
              <w:rPr>
                <w:sz w:val="16"/>
                <w:szCs w:val="16"/>
              </w:rPr>
            </w:pPr>
            <w:r>
              <w:rPr>
                <w:sz w:val="16"/>
                <w:szCs w:val="16"/>
              </w:rPr>
              <w:t xml:space="preserve">PTSD Checklist </w:t>
            </w:r>
          </w:p>
        </w:tc>
        <w:tc>
          <w:tcPr>
            <w:tcW w:w="3260" w:type="dxa"/>
            <w:tcBorders>
              <w:top w:val="single" w:sz="4" w:space="0" w:color="auto"/>
              <w:left w:val="nil"/>
              <w:bottom w:val="single" w:sz="4" w:space="0" w:color="auto"/>
              <w:right w:val="nil"/>
            </w:tcBorders>
          </w:tcPr>
          <w:p w14:paraId="6A4991C0" w14:textId="689DE56F" w:rsidR="00CF2B80" w:rsidRDefault="00CF2B80" w:rsidP="00CF2B80">
            <w:pPr>
              <w:rPr>
                <w:sz w:val="16"/>
                <w:szCs w:val="16"/>
              </w:rPr>
            </w:pPr>
            <w:r>
              <w:rPr>
                <w:sz w:val="16"/>
                <w:szCs w:val="16"/>
              </w:rPr>
              <w:t xml:space="preserve">Significant reduction in PTSD symptoms (mean score reduction of 44%) </w:t>
            </w:r>
          </w:p>
          <w:p w14:paraId="0C7D5CFA" w14:textId="14306F14" w:rsidR="00CF2B80" w:rsidRPr="00313DD5" w:rsidRDefault="00CF2B80" w:rsidP="00CF2B80">
            <w:pPr>
              <w:rPr>
                <w:sz w:val="16"/>
                <w:szCs w:val="16"/>
              </w:rPr>
            </w:pPr>
          </w:p>
        </w:tc>
      </w:tr>
      <w:tr w:rsidR="00CF2B80" w:rsidRPr="00A65189" w14:paraId="4EEA1050" w14:textId="77777777" w:rsidTr="00D53564">
        <w:trPr>
          <w:trHeight w:val="1572"/>
        </w:trPr>
        <w:tc>
          <w:tcPr>
            <w:tcW w:w="1936" w:type="dxa"/>
            <w:tcBorders>
              <w:top w:val="single" w:sz="4" w:space="0" w:color="auto"/>
              <w:left w:val="nil"/>
              <w:bottom w:val="single" w:sz="4" w:space="0" w:color="auto"/>
              <w:right w:val="nil"/>
            </w:tcBorders>
          </w:tcPr>
          <w:p w14:paraId="5DE4D50D" w14:textId="77777777" w:rsidR="00CF2B80" w:rsidRPr="00FE3AC6" w:rsidRDefault="00CF2B80" w:rsidP="00CF2B80">
            <w:pPr>
              <w:rPr>
                <w:b/>
                <w:bCs/>
                <w:sz w:val="16"/>
                <w:szCs w:val="16"/>
              </w:rPr>
            </w:pPr>
            <w:proofErr w:type="spellStart"/>
            <w:r w:rsidRPr="00FE3AC6">
              <w:rPr>
                <w:b/>
                <w:bCs/>
                <w:sz w:val="16"/>
                <w:szCs w:val="16"/>
              </w:rPr>
              <w:lastRenderedPageBreak/>
              <w:t>Albott</w:t>
            </w:r>
            <w:proofErr w:type="spellEnd"/>
            <w:r w:rsidRPr="00FE3AC6">
              <w:rPr>
                <w:b/>
                <w:bCs/>
                <w:sz w:val="16"/>
                <w:szCs w:val="16"/>
              </w:rPr>
              <w:t xml:space="preserve"> et al., 2018.    </w:t>
            </w:r>
          </w:p>
          <w:p w14:paraId="65DBD230" w14:textId="2ECE4205" w:rsidR="00CF2B80" w:rsidRPr="00A65189" w:rsidRDefault="00CF2B80" w:rsidP="00CF2B80">
            <w:pPr>
              <w:rPr>
                <w:b/>
                <w:bCs/>
                <w:sz w:val="16"/>
                <w:szCs w:val="16"/>
              </w:rPr>
            </w:pPr>
            <w:r w:rsidRPr="00FE3AC6">
              <w:rPr>
                <w:sz w:val="16"/>
                <w:szCs w:val="16"/>
              </w:rPr>
              <w:t xml:space="preserve">Open-label trial                 </w:t>
            </w:r>
          </w:p>
        </w:tc>
        <w:tc>
          <w:tcPr>
            <w:tcW w:w="2040" w:type="dxa"/>
            <w:tcBorders>
              <w:top w:val="single" w:sz="4" w:space="0" w:color="auto"/>
              <w:left w:val="nil"/>
              <w:bottom w:val="single" w:sz="4" w:space="0" w:color="auto"/>
              <w:right w:val="nil"/>
            </w:tcBorders>
          </w:tcPr>
          <w:p w14:paraId="3D1B7A11" w14:textId="39C77BAE" w:rsidR="00CF2B80" w:rsidRPr="00A65189" w:rsidRDefault="00CF2B80" w:rsidP="00CF2B80">
            <w:pPr>
              <w:rPr>
                <w:sz w:val="16"/>
                <w:szCs w:val="16"/>
              </w:rPr>
            </w:pPr>
            <w:r w:rsidRPr="00FE3AC6">
              <w:rPr>
                <w:sz w:val="16"/>
                <w:szCs w:val="16"/>
              </w:rPr>
              <w:t>15 veterans with diagnosed chronic PTSD &amp; comorbid, moderate-to-severe, treatment-resistant depression.</w:t>
            </w:r>
          </w:p>
        </w:tc>
        <w:tc>
          <w:tcPr>
            <w:tcW w:w="2195" w:type="dxa"/>
            <w:tcBorders>
              <w:top w:val="single" w:sz="4" w:space="0" w:color="auto"/>
              <w:left w:val="nil"/>
              <w:bottom w:val="single" w:sz="4" w:space="0" w:color="auto"/>
              <w:right w:val="nil"/>
            </w:tcBorders>
          </w:tcPr>
          <w:p w14:paraId="6226B6F7" w14:textId="34E08F17" w:rsidR="00CF2B80" w:rsidRPr="00A65189" w:rsidRDefault="00CF2B80" w:rsidP="00CF2B80">
            <w:pPr>
              <w:rPr>
                <w:sz w:val="16"/>
                <w:szCs w:val="16"/>
              </w:rPr>
            </w:pPr>
            <w:r w:rsidRPr="00FE3AC6">
              <w:rPr>
                <w:sz w:val="16"/>
                <w:szCs w:val="16"/>
              </w:rPr>
              <w:t>6 IV infusions, 0.5mg/kg (3x weekly across a 12-day period)</w:t>
            </w:r>
          </w:p>
        </w:tc>
        <w:tc>
          <w:tcPr>
            <w:tcW w:w="1904" w:type="dxa"/>
            <w:tcBorders>
              <w:top w:val="single" w:sz="4" w:space="0" w:color="auto"/>
              <w:left w:val="nil"/>
              <w:bottom w:val="single" w:sz="4" w:space="0" w:color="auto"/>
              <w:right w:val="nil"/>
            </w:tcBorders>
          </w:tcPr>
          <w:p w14:paraId="024604F1" w14:textId="25DE26C5" w:rsidR="00CF2B80" w:rsidRPr="00A65189" w:rsidRDefault="00CF2B80" w:rsidP="00CF2B80">
            <w:pPr>
              <w:rPr>
                <w:sz w:val="16"/>
                <w:szCs w:val="16"/>
              </w:rPr>
            </w:pPr>
            <w:r>
              <w:rPr>
                <w:sz w:val="16"/>
                <w:szCs w:val="16"/>
              </w:rPr>
              <w:t>N/A</w:t>
            </w:r>
          </w:p>
        </w:tc>
        <w:tc>
          <w:tcPr>
            <w:tcW w:w="2410" w:type="dxa"/>
            <w:tcBorders>
              <w:top w:val="single" w:sz="4" w:space="0" w:color="auto"/>
              <w:left w:val="nil"/>
              <w:bottom w:val="single" w:sz="4" w:space="0" w:color="auto"/>
              <w:right w:val="nil"/>
            </w:tcBorders>
          </w:tcPr>
          <w:p w14:paraId="5338318B" w14:textId="56821CFF" w:rsidR="00CF2B80" w:rsidRDefault="00CF2B80" w:rsidP="00CF2B80">
            <w:pPr>
              <w:rPr>
                <w:rFonts w:ascii="Calibri" w:hAnsi="Calibri" w:cs="Calibri"/>
                <w:sz w:val="16"/>
                <w:szCs w:val="16"/>
              </w:rPr>
            </w:pPr>
            <w:r w:rsidRPr="00FE3AC6">
              <w:rPr>
                <w:rFonts w:ascii="Calibri" w:hAnsi="Calibri" w:cs="Calibri"/>
                <w:sz w:val="16"/>
                <w:szCs w:val="16"/>
              </w:rPr>
              <w:t>All participants continued with ongoing psychotropic medication(s) throughout study duration (</w:t>
            </w:r>
            <w:proofErr w:type="spellStart"/>
            <w:r w:rsidRPr="00FE3AC6">
              <w:rPr>
                <w:rFonts w:ascii="Calibri" w:hAnsi="Calibri" w:cs="Calibri"/>
                <w:sz w:val="16"/>
                <w:szCs w:val="16"/>
              </w:rPr>
              <w:t>eg.</w:t>
            </w:r>
            <w:proofErr w:type="spellEnd"/>
            <w:r w:rsidRPr="00FE3AC6">
              <w:rPr>
                <w:rFonts w:ascii="Calibri" w:hAnsi="Calibri" w:cs="Calibri"/>
                <w:sz w:val="16"/>
                <w:szCs w:val="16"/>
              </w:rPr>
              <w:t xml:space="preserve"> SNRI and ‘other antidepressants’ </w:t>
            </w:r>
            <w:proofErr w:type="spellStart"/>
            <w:r w:rsidRPr="00FE3AC6">
              <w:rPr>
                <w:rFonts w:ascii="Calibri" w:hAnsi="Calibri" w:cs="Calibri"/>
                <w:sz w:val="16"/>
                <w:szCs w:val="16"/>
              </w:rPr>
              <w:t>inc.</w:t>
            </w:r>
            <w:proofErr w:type="spellEnd"/>
            <w:r w:rsidRPr="00FE3AC6">
              <w:rPr>
                <w:rFonts w:ascii="Calibri" w:hAnsi="Calibri" w:cs="Calibri"/>
                <w:sz w:val="16"/>
                <w:szCs w:val="16"/>
              </w:rPr>
              <w:t xml:space="preserve"> bupropion &amp; mirtazapine</w:t>
            </w:r>
          </w:p>
        </w:tc>
        <w:tc>
          <w:tcPr>
            <w:tcW w:w="2126" w:type="dxa"/>
            <w:tcBorders>
              <w:top w:val="single" w:sz="4" w:space="0" w:color="auto"/>
              <w:left w:val="nil"/>
              <w:bottom w:val="single" w:sz="4" w:space="0" w:color="auto"/>
              <w:right w:val="nil"/>
            </w:tcBorders>
          </w:tcPr>
          <w:p w14:paraId="2DD190D8" w14:textId="589F3CC6" w:rsidR="00CF2B80" w:rsidRPr="00A65189" w:rsidRDefault="00CF2B80" w:rsidP="00CF2B80">
            <w:pPr>
              <w:rPr>
                <w:rFonts w:ascii="Calibri" w:hAnsi="Calibri" w:cs="Calibri"/>
                <w:sz w:val="16"/>
                <w:szCs w:val="16"/>
              </w:rPr>
            </w:pPr>
            <w:r w:rsidRPr="00FE3AC6">
              <w:rPr>
                <w:rFonts w:ascii="Calibri" w:hAnsi="Calibri" w:cs="Calibri"/>
                <w:sz w:val="16"/>
                <w:szCs w:val="16"/>
              </w:rPr>
              <w:t>PTSD Checklist</w:t>
            </w:r>
          </w:p>
        </w:tc>
        <w:tc>
          <w:tcPr>
            <w:tcW w:w="3260" w:type="dxa"/>
            <w:tcBorders>
              <w:top w:val="single" w:sz="4" w:space="0" w:color="auto"/>
              <w:left w:val="nil"/>
              <w:bottom w:val="single" w:sz="4" w:space="0" w:color="auto"/>
              <w:right w:val="nil"/>
            </w:tcBorders>
          </w:tcPr>
          <w:p w14:paraId="5BAE75CD" w14:textId="6FEB6579" w:rsidR="00CF2B80" w:rsidRPr="00A65189" w:rsidRDefault="00CF2B80" w:rsidP="00CF2B80">
            <w:pPr>
              <w:rPr>
                <w:rFonts w:ascii="Calibri" w:hAnsi="Calibri" w:cs="Calibri"/>
                <w:sz w:val="16"/>
                <w:szCs w:val="16"/>
              </w:rPr>
            </w:pPr>
            <w:r w:rsidRPr="00FE3AC6">
              <w:rPr>
                <w:rFonts w:ascii="Calibri" w:hAnsi="Calibri" w:cs="Calibri"/>
                <w:sz w:val="16"/>
                <w:szCs w:val="16"/>
              </w:rPr>
              <w:t>Ketamine treatment significantly reduced PTSD symptoms from baseline assessment, to 24hrs following final (sixth) infusion. 60% of participants remitted from PTSD following first ketamine infusion and 80% in remission following sixth infusion. Median relapse time for the 12 PTSD-remitted participants was 41 days.</w:t>
            </w:r>
          </w:p>
        </w:tc>
      </w:tr>
      <w:tr w:rsidR="00CF2B80" w:rsidRPr="00A65189" w14:paraId="2AA79C23" w14:textId="77777777" w:rsidTr="00D53564">
        <w:trPr>
          <w:trHeight w:val="1572"/>
        </w:trPr>
        <w:tc>
          <w:tcPr>
            <w:tcW w:w="1936" w:type="dxa"/>
            <w:tcBorders>
              <w:top w:val="single" w:sz="4" w:space="0" w:color="auto"/>
              <w:left w:val="nil"/>
              <w:bottom w:val="single" w:sz="4" w:space="0" w:color="auto"/>
              <w:right w:val="nil"/>
            </w:tcBorders>
          </w:tcPr>
          <w:p w14:paraId="6239B6B2" w14:textId="77777777" w:rsidR="00CF2B80" w:rsidRPr="00A65189" w:rsidRDefault="00CF2B80" w:rsidP="00CF2B80">
            <w:pPr>
              <w:rPr>
                <w:b/>
                <w:bCs/>
                <w:sz w:val="16"/>
                <w:szCs w:val="16"/>
              </w:rPr>
            </w:pPr>
            <w:r w:rsidRPr="00A65189">
              <w:rPr>
                <w:b/>
                <w:bCs/>
                <w:sz w:val="16"/>
                <w:szCs w:val="16"/>
              </w:rPr>
              <w:t xml:space="preserve">Feder et al., 2014 </w:t>
            </w:r>
          </w:p>
          <w:p w14:paraId="12F3F61F" w14:textId="77777777" w:rsidR="00CF2B80" w:rsidRDefault="00CF2B80" w:rsidP="00CF2B80">
            <w:pPr>
              <w:rPr>
                <w:sz w:val="16"/>
                <w:szCs w:val="16"/>
              </w:rPr>
            </w:pPr>
            <w:r w:rsidRPr="00A65189">
              <w:rPr>
                <w:sz w:val="16"/>
                <w:szCs w:val="16"/>
              </w:rPr>
              <w:t>Randomised controlled crossover trial</w:t>
            </w:r>
          </w:p>
          <w:p w14:paraId="13AF82D6" w14:textId="77777777" w:rsidR="00CF2B80" w:rsidRDefault="00CF2B80" w:rsidP="00CF2B80">
            <w:pPr>
              <w:rPr>
                <w:sz w:val="16"/>
                <w:szCs w:val="16"/>
              </w:rPr>
            </w:pPr>
          </w:p>
          <w:p w14:paraId="280FB9FB" w14:textId="77777777" w:rsidR="00CF2B80" w:rsidRDefault="00CF2B80" w:rsidP="00CF2B80">
            <w:pPr>
              <w:rPr>
                <w:sz w:val="16"/>
                <w:szCs w:val="16"/>
              </w:rPr>
            </w:pPr>
          </w:p>
          <w:p w14:paraId="630BF61F" w14:textId="77777777" w:rsidR="00CF2B80" w:rsidRDefault="00CF2B80" w:rsidP="00CF2B80">
            <w:pPr>
              <w:rPr>
                <w:b/>
                <w:bCs/>
                <w:sz w:val="16"/>
                <w:szCs w:val="16"/>
              </w:rPr>
            </w:pPr>
          </w:p>
          <w:p w14:paraId="44C100DD" w14:textId="05F81BFB" w:rsidR="00CF2B80" w:rsidRPr="00A65189" w:rsidRDefault="00CF2B80" w:rsidP="00CF2B80">
            <w:pPr>
              <w:rPr>
                <w:sz w:val="16"/>
                <w:szCs w:val="16"/>
              </w:rPr>
            </w:pPr>
          </w:p>
        </w:tc>
        <w:tc>
          <w:tcPr>
            <w:tcW w:w="2040" w:type="dxa"/>
            <w:tcBorders>
              <w:top w:val="single" w:sz="4" w:space="0" w:color="auto"/>
              <w:left w:val="nil"/>
              <w:bottom w:val="single" w:sz="4" w:space="0" w:color="auto"/>
              <w:right w:val="nil"/>
            </w:tcBorders>
          </w:tcPr>
          <w:p w14:paraId="3B4AF4AE" w14:textId="5B0ADAAA" w:rsidR="00CF2B80" w:rsidRPr="00A65189" w:rsidRDefault="00CF2B80" w:rsidP="00CF2B80">
            <w:pPr>
              <w:rPr>
                <w:sz w:val="16"/>
                <w:szCs w:val="16"/>
              </w:rPr>
            </w:pPr>
            <w:r w:rsidRPr="00A65189">
              <w:rPr>
                <w:sz w:val="16"/>
                <w:szCs w:val="16"/>
              </w:rPr>
              <w:t>41 patients with chronic PTSD</w:t>
            </w:r>
          </w:p>
        </w:tc>
        <w:tc>
          <w:tcPr>
            <w:tcW w:w="2195" w:type="dxa"/>
            <w:tcBorders>
              <w:top w:val="single" w:sz="4" w:space="0" w:color="auto"/>
              <w:left w:val="nil"/>
              <w:bottom w:val="single" w:sz="4" w:space="0" w:color="auto"/>
              <w:right w:val="nil"/>
            </w:tcBorders>
          </w:tcPr>
          <w:p w14:paraId="45997B3F" w14:textId="1C165D82" w:rsidR="00CF2B80" w:rsidRPr="00A65189" w:rsidRDefault="00CF2B80" w:rsidP="00CF2B80">
            <w:pPr>
              <w:rPr>
                <w:sz w:val="16"/>
                <w:szCs w:val="16"/>
              </w:rPr>
            </w:pPr>
            <w:r w:rsidRPr="00A65189">
              <w:rPr>
                <w:sz w:val="16"/>
                <w:szCs w:val="16"/>
              </w:rPr>
              <w:t>Single dose 0.5mg/kg IV, 40mins</w:t>
            </w:r>
            <w:r>
              <w:rPr>
                <w:sz w:val="16"/>
                <w:szCs w:val="16"/>
              </w:rPr>
              <w:t xml:space="preserve"> (n=22)</w:t>
            </w:r>
          </w:p>
        </w:tc>
        <w:tc>
          <w:tcPr>
            <w:tcW w:w="1904" w:type="dxa"/>
            <w:tcBorders>
              <w:top w:val="single" w:sz="4" w:space="0" w:color="auto"/>
              <w:left w:val="nil"/>
              <w:bottom w:val="single" w:sz="4" w:space="0" w:color="auto"/>
              <w:right w:val="nil"/>
            </w:tcBorders>
          </w:tcPr>
          <w:p w14:paraId="2C19F708" w14:textId="107F54DC" w:rsidR="00CF2B80" w:rsidRPr="00A65189" w:rsidRDefault="00CF2B80" w:rsidP="00CF2B80">
            <w:pPr>
              <w:rPr>
                <w:sz w:val="16"/>
                <w:szCs w:val="16"/>
              </w:rPr>
            </w:pPr>
            <w:r w:rsidRPr="00A65189">
              <w:rPr>
                <w:sz w:val="16"/>
                <w:szCs w:val="16"/>
              </w:rPr>
              <w:t>Single dose 0.045mg/kg midazolam</w:t>
            </w:r>
            <w:r>
              <w:rPr>
                <w:sz w:val="16"/>
                <w:szCs w:val="16"/>
              </w:rPr>
              <w:t xml:space="preserve"> (n = 19)</w:t>
            </w:r>
          </w:p>
        </w:tc>
        <w:tc>
          <w:tcPr>
            <w:tcW w:w="2410" w:type="dxa"/>
            <w:tcBorders>
              <w:top w:val="single" w:sz="4" w:space="0" w:color="auto"/>
              <w:left w:val="nil"/>
              <w:bottom w:val="single" w:sz="4" w:space="0" w:color="auto"/>
              <w:right w:val="nil"/>
            </w:tcBorders>
          </w:tcPr>
          <w:p w14:paraId="43C63175" w14:textId="0D87943E" w:rsidR="00CF2B80" w:rsidRPr="00A65189" w:rsidRDefault="00CF2B80" w:rsidP="00CF2B80">
            <w:pPr>
              <w:rPr>
                <w:rFonts w:ascii="Calibri" w:hAnsi="Calibri" w:cs="Calibri"/>
                <w:i/>
                <w:iCs/>
                <w:sz w:val="16"/>
                <w:szCs w:val="16"/>
              </w:rPr>
            </w:pPr>
            <w:r>
              <w:rPr>
                <w:rFonts w:ascii="Calibri" w:hAnsi="Calibri" w:cs="Calibri"/>
                <w:sz w:val="16"/>
                <w:szCs w:val="16"/>
              </w:rPr>
              <w:t>N/A</w:t>
            </w:r>
          </w:p>
          <w:p w14:paraId="7B26AAE5" w14:textId="77777777" w:rsidR="00CF2B80" w:rsidRPr="00A65189" w:rsidRDefault="00CF2B80" w:rsidP="00CF2B80">
            <w:pPr>
              <w:rPr>
                <w:sz w:val="16"/>
                <w:szCs w:val="16"/>
              </w:rPr>
            </w:pPr>
          </w:p>
        </w:tc>
        <w:tc>
          <w:tcPr>
            <w:tcW w:w="2126" w:type="dxa"/>
            <w:tcBorders>
              <w:top w:val="single" w:sz="4" w:space="0" w:color="auto"/>
              <w:left w:val="nil"/>
              <w:bottom w:val="single" w:sz="4" w:space="0" w:color="auto"/>
              <w:right w:val="nil"/>
            </w:tcBorders>
          </w:tcPr>
          <w:p w14:paraId="254EBA0F" w14:textId="77777777" w:rsidR="00CF2B80" w:rsidRPr="00A65189" w:rsidRDefault="00CF2B80" w:rsidP="00CF2B80">
            <w:pPr>
              <w:rPr>
                <w:rFonts w:ascii="Calibri" w:hAnsi="Calibri" w:cs="Calibri"/>
                <w:sz w:val="16"/>
                <w:szCs w:val="16"/>
              </w:rPr>
            </w:pPr>
            <w:r w:rsidRPr="00A65189">
              <w:rPr>
                <w:rFonts w:ascii="Calibri" w:hAnsi="Calibri" w:cs="Calibri"/>
                <w:sz w:val="16"/>
                <w:szCs w:val="16"/>
              </w:rPr>
              <w:t>Impact of Event Scale-Revised for PTSD symptom severity and Montgomery-Asberg Depression Rating Scale</w:t>
            </w:r>
          </w:p>
          <w:p w14:paraId="15770DDA" w14:textId="77777777" w:rsidR="00CF2B80" w:rsidRPr="00A65189" w:rsidRDefault="00CF2B80" w:rsidP="00CF2B80">
            <w:pPr>
              <w:rPr>
                <w:sz w:val="16"/>
                <w:szCs w:val="16"/>
              </w:rPr>
            </w:pPr>
          </w:p>
        </w:tc>
        <w:tc>
          <w:tcPr>
            <w:tcW w:w="3260" w:type="dxa"/>
            <w:tcBorders>
              <w:top w:val="single" w:sz="4" w:space="0" w:color="auto"/>
              <w:left w:val="nil"/>
              <w:bottom w:val="single" w:sz="4" w:space="0" w:color="auto"/>
              <w:right w:val="nil"/>
            </w:tcBorders>
          </w:tcPr>
          <w:p w14:paraId="135B2503" w14:textId="0B170FF9" w:rsidR="00CF2B80" w:rsidRPr="00A65189" w:rsidRDefault="00CF2B80" w:rsidP="00CF2B80">
            <w:pPr>
              <w:rPr>
                <w:sz w:val="16"/>
                <w:szCs w:val="16"/>
              </w:rPr>
            </w:pPr>
            <w:r w:rsidRPr="00A65189">
              <w:rPr>
                <w:rFonts w:ascii="Calibri" w:hAnsi="Calibri" w:cs="Calibri"/>
                <w:sz w:val="16"/>
                <w:szCs w:val="16"/>
              </w:rPr>
              <w:t xml:space="preserve">Significant improvement in IES-R scores within 24hours post-infusion (M diff = 12.7), relative to placebo. </w:t>
            </w:r>
            <w:r w:rsidRPr="00A65189">
              <w:rPr>
                <w:rFonts w:ascii="Calibri" w:hAnsi="Calibri" w:cs="Calibri"/>
                <w:color w:val="211E1E"/>
                <w:sz w:val="16"/>
                <w:szCs w:val="16"/>
              </w:rPr>
              <w:t>Greater decrease in PTSD symptoms following treatment with ketamine evident in both crossover and first-period analyses. Symptoms remained significantly reduced at 2</w:t>
            </w:r>
            <w:r>
              <w:rPr>
                <w:rFonts w:ascii="Calibri" w:hAnsi="Calibri" w:cs="Calibri"/>
                <w:color w:val="211E1E"/>
                <w:sz w:val="16"/>
                <w:szCs w:val="16"/>
              </w:rPr>
              <w:t>-</w:t>
            </w:r>
            <w:r w:rsidRPr="00A65189">
              <w:rPr>
                <w:rFonts w:ascii="Calibri" w:hAnsi="Calibri" w:cs="Calibri"/>
                <w:color w:val="211E1E"/>
                <w:sz w:val="16"/>
                <w:szCs w:val="16"/>
              </w:rPr>
              <w:t>week</w:t>
            </w:r>
            <w:r>
              <w:rPr>
                <w:rFonts w:ascii="Calibri" w:hAnsi="Calibri" w:cs="Calibri"/>
                <w:color w:val="211E1E"/>
                <w:sz w:val="16"/>
                <w:szCs w:val="16"/>
              </w:rPr>
              <w:t xml:space="preserve"> follow-up</w:t>
            </w:r>
            <w:r w:rsidRPr="00A65189">
              <w:rPr>
                <w:rFonts w:ascii="Calibri" w:hAnsi="Calibri" w:cs="Calibri"/>
                <w:color w:val="211E1E"/>
                <w:sz w:val="16"/>
                <w:szCs w:val="16"/>
              </w:rPr>
              <w:t xml:space="preserve"> in </w:t>
            </w:r>
            <w:r>
              <w:rPr>
                <w:rFonts w:ascii="Calibri" w:hAnsi="Calibri" w:cs="Calibri"/>
                <w:color w:val="211E1E"/>
                <w:sz w:val="16"/>
                <w:szCs w:val="16"/>
              </w:rPr>
              <w:t xml:space="preserve">the </w:t>
            </w:r>
            <w:r w:rsidRPr="00A65189">
              <w:rPr>
                <w:rFonts w:ascii="Calibri" w:hAnsi="Calibri" w:cs="Calibri"/>
                <w:color w:val="211E1E"/>
                <w:sz w:val="16"/>
                <w:szCs w:val="16"/>
              </w:rPr>
              <w:t>7 ketamine</w:t>
            </w:r>
            <w:r>
              <w:rPr>
                <w:rFonts w:ascii="Calibri" w:hAnsi="Calibri" w:cs="Calibri"/>
                <w:color w:val="211E1E"/>
                <w:sz w:val="16"/>
                <w:szCs w:val="16"/>
              </w:rPr>
              <w:t>-responders</w:t>
            </w:r>
            <w:r w:rsidRPr="00A65189">
              <w:rPr>
                <w:rFonts w:ascii="Calibri" w:hAnsi="Calibri" w:cs="Calibri"/>
                <w:color w:val="211E1E"/>
                <w:sz w:val="16"/>
                <w:szCs w:val="16"/>
              </w:rPr>
              <w:t>, relative to 1 patient who responded to midazolam</w:t>
            </w:r>
            <w:r>
              <w:rPr>
                <w:rFonts w:ascii="Calibri" w:hAnsi="Calibri" w:cs="Calibri"/>
                <w:color w:val="211E1E"/>
                <w:sz w:val="16"/>
                <w:szCs w:val="16"/>
              </w:rPr>
              <w:t>.</w:t>
            </w:r>
          </w:p>
        </w:tc>
      </w:tr>
    </w:tbl>
    <w:p w14:paraId="12D9F204" w14:textId="705E4B1F" w:rsidR="002C7FA0" w:rsidRDefault="002C7FA0">
      <w:pPr>
        <w:rPr>
          <w:sz w:val="16"/>
          <w:szCs w:val="16"/>
        </w:rPr>
      </w:pPr>
    </w:p>
    <w:tbl>
      <w:tblPr>
        <w:tblStyle w:val="TableGrid"/>
        <w:tblpPr w:leftFromText="180" w:rightFromText="180" w:vertAnchor="page" w:horzAnchor="page" w:tblpX="431" w:tblpY="1506"/>
        <w:tblW w:w="160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7"/>
        <w:gridCol w:w="2040"/>
        <w:gridCol w:w="2195"/>
        <w:gridCol w:w="1904"/>
        <w:gridCol w:w="2410"/>
        <w:gridCol w:w="2126"/>
        <w:gridCol w:w="2971"/>
      </w:tblGrid>
      <w:tr w:rsidR="008E1F4A" w:rsidRPr="00386667" w14:paraId="716F0FB3" w14:textId="77777777" w:rsidTr="005C2A92">
        <w:trPr>
          <w:trHeight w:val="225"/>
        </w:trPr>
        <w:tc>
          <w:tcPr>
            <w:tcW w:w="10916" w:type="dxa"/>
            <w:gridSpan w:val="5"/>
            <w:tcBorders>
              <w:top w:val="single" w:sz="4" w:space="0" w:color="auto"/>
              <w:bottom w:val="single" w:sz="4" w:space="0" w:color="auto"/>
            </w:tcBorders>
          </w:tcPr>
          <w:p w14:paraId="59BFDF9C" w14:textId="53D3B8BC" w:rsidR="008E1F4A" w:rsidRPr="005F3082" w:rsidRDefault="008E1F4A" w:rsidP="001C4E25">
            <w:pPr>
              <w:rPr>
                <w:b/>
                <w:bCs/>
                <w:sz w:val="16"/>
                <w:szCs w:val="16"/>
              </w:rPr>
            </w:pPr>
            <w:r>
              <w:rPr>
                <w:b/>
                <w:bCs/>
                <w:sz w:val="16"/>
                <w:szCs w:val="16"/>
              </w:rPr>
              <w:lastRenderedPageBreak/>
              <w:t xml:space="preserve">Table 7: </w:t>
            </w:r>
            <w:r w:rsidRPr="002F6B68">
              <w:rPr>
                <w:rFonts w:cs="Times New Roman"/>
                <w:sz w:val="16"/>
                <w:szCs w:val="16"/>
              </w:rPr>
              <w:t xml:space="preserve"> </w:t>
            </w:r>
            <w:r w:rsidRPr="002F6B68">
              <w:rPr>
                <w:rFonts w:cs="Times New Roman"/>
                <w:sz w:val="16"/>
                <w:szCs w:val="16"/>
              </w:rPr>
              <w:t xml:space="preserve">Characteristics and results of included studies on </w:t>
            </w:r>
            <w:r>
              <w:rPr>
                <w:rFonts w:cs="Times New Roman"/>
                <w:sz w:val="16"/>
                <w:szCs w:val="16"/>
              </w:rPr>
              <w:t xml:space="preserve">generalised and social anxiety disorders </w:t>
            </w:r>
          </w:p>
        </w:tc>
        <w:tc>
          <w:tcPr>
            <w:tcW w:w="2126" w:type="dxa"/>
            <w:tcBorders>
              <w:top w:val="single" w:sz="4" w:space="0" w:color="auto"/>
              <w:bottom w:val="single" w:sz="4" w:space="0" w:color="auto"/>
            </w:tcBorders>
          </w:tcPr>
          <w:p w14:paraId="30F245C1" w14:textId="77777777" w:rsidR="008E1F4A" w:rsidRPr="005F3082" w:rsidRDefault="008E1F4A" w:rsidP="001C4E25">
            <w:pPr>
              <w:rPr>
                <w:b/>
                <w:bCs/>
                <w:sz w:val="16"/>
                <w:szCs w:val="16"/>
              </w:rPr>
            </w:pPr>
          </w:p>
        </w:tc>
        <w:tc>
          <w:tcPr>
            <w:tcW w:w="2971" w:type="dxa"/>
            <w:tcBorders>
              <w:top w:val="single" w:sz="4" w:space="0" w:color="auto"/>
              <w:bottom w:val="single" w:sz="4" w:space="0" w:color="auto"/>
            </w:tcBorders>
          </w:tcPr>
          <w:p w14:paraId="596ACE09" w14:textId="77777777" w:rsidR="008E1F4A" w:rsidRPr="005F3082" w:rsidRDefault="008E1F4A" w:rsidP="001C4E25">
            <w:pPr>
              <w:rPr>
                <w:b/>
                <w:bCs/>
                <w:sz w:val="16"/>
                <w:szCs w:val="16"/>
              </w:rPr>
            </w:pPr>
          </w:p>
        </w:tc>
      </w:tr>
      <w:tr w:rsidR="001C4E25" w:rsidRPr="00386667" w14:paraId="502845DF" w14:textId="77777777" w:rsidTr="00D53564">
        <w:trPr>
          <w:trHeight w:val="225"/>
        </w:trPr>
        <w:tc>
          <w:tcPr>
            <w:tcW w:w="2367" w:type="dxa"/>
            <w:tcBorders>
              <w:top w:val="single" w:sz="4" w:space="0" w:color="auto"/>
              <w:bottom w:val="single" w:sz="4" w:space="0" w:color="auto"/>
            </w:tcBorders>
          </w:tcPr>
          <w:p w14:paraId="3977C66A" w14:textId="77777777" w:rsidR="001C4E25" w:rsidRPr="005F3082" w:rsidRDefault="001C4E25" w:rsidP="001C4E25">
            <w:pPr>
              <w:rPr>
                <w:b/>
                <w:bCs/>
                <w:sz w:val="16"/>
                <w:szCs w:val="16"/>
              </w:rPr>
            </w:pPr>
            <w:r w:rsidRPr="005F3082">
              <w:rPr>
                <w:b/>
                <w:bCs/>
                <w:sz w:val="16"/>
                <w:szCs w:val="16"/>
              </w:rPr>
              <w:t>Authors, date &amp; design</w:t>
            </w:r>
          </w:p>
        </w:tc>
        <w:tc>
          <w:tcPr>
            <w:tcW w:w="2040" w:type="dxa"/>
            <w:tcBorders>
              <w:top w:val="single" w:sz="4" w:space="0" w:color="auto"/>
              <w:bottom w:val="single" w:sz="4" w:space="0" w:color="auto"/>
            </w:tcBorders>
          </w:tcPr>
          <w:p w14:paraId="43039FEF" w14:textId="77777777" w:rsidR="001C4E25" w:rsidRPr="005F3082" w:rsidRDefault="001C4E25" w:rsidP="001C4E25">
            <w:pPr>
              <w:rPr>
                <w:b/>
                <w:bCs/>
                <w:sz w:val="16"/>
                <w:szCs w:val="16"/>
              </w:rPr>
            </w:pPr>
            <w:r w:rsidRPr="005F3082">
              <w:rPr>
                <w:b/>
                <w:bCs/>
                <w:sz w:val="16"/>
                <w:szCs w:val="16"/>
              </w:rPr>
              <w:t xml:space="preserve">Patient demographics </w:t>
            </w:r>
          </w:p>
        </w:tc>
        <w:tc>
          <w:tcPr>
            <w:tcW w:w="2195" w:type="dxa"/>
            <w:tcBorders>
              <w:top w:val="single" w:sz="4" w:space="0" w:color="auto"/>
              <w:bottom w:val="single" w:sz="4" w:space="0" w:color="auto"/>
            </w:tcBorders>
          </w:tcPr>
          <w:p w14:paraId="7D1B5BFA" w14:textId="77777777" w:rsidR="001C4E25" w:rsidRPr="005F3082" w:rsidRDefault="001C4E25" w:rsidP="001C4E25">
            <w:pPr>
              <w:rPr>
                <w:b/>
                <w:bCs/>
                <w:sz w:val="16"/>
                <w:szCs w:val="16"/>
              </w:rPr>
            </w:pPr>
            <w:r w:rsidRPr="005F3082">
              <w:rPr>
                <w:b/>
                <w:bCs/>
                <w:sz w:val="16"/>
                <w:szCs w:val="16"/>
              </w:rPr>
              <w:t xml:space="preserve">Ketamine treatment </w:t>
            </w:r>
          </w:p>
        </w:tc>
        <w:tc>
          <w:tcPr>
            <w:tcW w:w="1904" w:type="dxa"/>
            <w:tcBorders>
              <w:top w:val="single" w:sz="4" w:space="0" w:color="auto"/>
              <w:bottom w:val="single" w:sz="4" w:space="0" w:color="auto"/>
            </w:tcBorders>
          </w:tcPr>
          <w:p w14:paraId="1DA482F4" w14:textId="77777777" w:rsidR="001C4E25" w:rsidRPr="005F3082" w:rsidRDefault="001C4E25" w:rsidP="001C4E25">
            <w:pPr>
              <w:rPr>
                <w:b/>
                <w:bCs/>
                <w:sz w:val="16"/>
                <w:szCs w:val="16"/>
              </w:rPr>
            </w:pPr>
            <w:r w:rsidRPr="005F3082">
              <w:rPr>
                <w:b/>
                <w:bCs/>
                <w:sz w:val="16"/>
                <w:szCs w:val="16"/>
              </w:rPr>
              <w:t xml:space="preserve">Control </w:t>
            </w:r>
          </w:p>
        </w:tc>
        <w:tc>
          <w:tcPr>
            <w:tcW w:w="2410" w:type="dxa"/>
            <w:tcBorders>
              <w:top w:val="single" w:sz="4" w:space="0" w:color="auto"/>
              <w:bottom w:val="single" w:sz="4" w:space="0" w:color="auto"/>
            </w:tcBorders>
          </w:tcPr>
          <w:p w14:paraId="4B408B4E" w14:textId="77777777" w:rsidR="001C4E25" w:rsidRPr="005F3082" w:rsidRDefault="001C4E25" w:rsidP="001C4E25">
            <w:pPr>
              <w:rPr>
                <w:b/>
                <w:bCs/>
                <w:sz w:val="16"/>
                <w:szCs w:val="16"/>
              </w:rPr>
            </w:pPr>
            <w:r w:rsidRPr="005F3082">
              <w:rPr>
                <w:b/>
                <w:bCs/>
                <w:sz w:val="16"/>
                <w:szCs w:val="16"/>
              </w:rPr>
              <w:t xml:space="preserve">Adjunct treatments </w:t>
            </w:r>
          </w:p>
        </w:tc>
        <w:tc>
          <w:tcPr>
            <w:tcW w:w="2126" w:type="dxa"/>
            <w:tcBorders>
              <w:top w:val="single" w:sz="4" w:space="0" w:color="auto"/>
              <w:bottom w:val="single" w:sz="4" w:space="0" w:color="auto"/>
            </w:tcBorders>
          </w:tcPr>
          <w:p w14:paraId="062CFFD0" w14:textId="77777777" w:rsidR="001C4E25" w:rsidRPr="005F3082" w:rsidRDefault="001C4E25" w:rsidP="001C4E25">
            <w:pPr>
              <w:rPr>
                <w:b/>
                <w:bCs/>
                <w:sz w:val="16"/>
                <w:szCs w:val="16"/>
              </w:rPr>
            </w:pPr>
            <w:r w:rsidRPr="005F3082">
              <w:rPr>
                <w:b/>
                <w:bCs/>
                <w:sz w:val="16"/>
                <w:szCs w:val="16"/>
              </w:rPr>
              <w:t>Outcome measures</w:t>
            </w:r>
          </w:p>
        </w:tc>
        <w:tc>
          <w:tcPr>
            <w:tcW w:w="2971" w:type="dxa"/>
            <w:tcBorders>
              <w:top w:val="single" w:sz="4" w:space="0" w:color="auto"/>
              <w:bottom w:val="single" w:sz="4" w:space="0" w:color="auto"/>
            </w:tcBorders>
          </w:tcPr>
          <w:p w14:paraId="075E8530" w14:textId="77777777" w:rsidR="001C4E25" w:rsidRPr="005F3082" w:rsidRDefault="001C4E25" w:rsidP="001C4E25">
            <w:pPr>
              <w:rPr>
                <w:b/>
                <w:bCs/>
                <w:sz w:val="16"/>
                <w:szCs w:val="16"/>
              </w:rPr>
            </w:pPr>
            <w:r w:rsidRPr="005F3082">
              <w:rPr>
                <w:b/>
                <w:bCs/>
                <w:sz w:val="16"/>
                <w:szCs w:val="16"/>
              </w:rPr>
              <w:t xml:space="preserve">Results </w:t>
            </w:r>
          </w:p>
        </w:tc>
      </w:tr>
      <w:tr w:rsidR="001C4E25" w:rsidRPr="00386667" w14:paraId="659A516E" w14:textId="77777777" w:rsidTr="00D53564">
        <w:trPr>
          <w:trHeight w:val="225"/>
        </w:trPr>
        <w:tc>
          <w:tcPr>
            <w:tcW w:w="2367" w:type="dxa"/>
            <w:tcBorders>
              <w:top w:val="single" w:sz="4" w:space="0" w:color="auto"/>
              <w:bottom w:val="single" w:sz="4" w:space="0" w:color="auto"/>
            </w:tcBorders>
          </w:tcPr>
          <w:p w14:paraId="6BEE9AB2" w14:textId="77777777" w:rsidR="00574051" w:rsidRDefault="001C4E25" w:rsidP="001C4E25">
            <w:pPr>
              <w:rPr>
                <w:b/>
                <w:bCs/>
                <w:sz w:val="16"/>
                <w:szCs w:val="16"/>
              </w:rPr>
            </w:pPr>
            <w:r>
              <w:rPr>
                <w:b/>
                <w:bCs/>
                <w:sz w:val="16"/>
                <w:szCs w:val="16"/>
              </w:rPr>
              <w:t xml:space="preserve">Dore et al., 2019 </w:t>
            </w:r>
          </w:p>
          <w:p w14:paraId="340D6822" w14:textId="1F5DC8D7" w:rsidR="001C4E25" w:rsidRDefault="001C4E25" w:rsidP="001C4E25">
            <w:pPr>
              <w:rPr>
                <w:sz w:val="16"/>
                <w:szCs w:val="16"/>
              </w:rPr>
            </w:pPr>
            <w:r w:rsidRPr="00386667">
              <w:rPr>
                <w:sz w:val="16"/>
                <w:szCs w:val="16"/>
              </w:rPr>
              <w:t>Retrospective review</w:t>
            </w:r>
          </w:p>
          <w:p w14:paraId="0160BE51" w14:textId="77777777" w:rsidR="001C4E25" w:rsidRPr="00386667" w:rsidRDefault="001C4E25" w:rsidP="001C4E25">
            <w:pPr>
              <w:rPr>
                <w:b/>
                <w:bCs/>
                <w:sz w:val="16"/>
                <w:szCs w:val="16"/>
              </w:rPr>
            </w:pPr>
          </w:p>
        </w:tc>
        <w:tc>
          <w:tcPr>
            <w:tcW w:w="2040" w:type="dxa"/>
            <w:tcBorders>
              <w:top w:val="single" w:sz="4" w:space="0" w:color="auto"/>
              <w:bottom w:val="single" w:sz="4" w:space="0" w:color="auto"/>
            </w:tcBorders>
          </w:tcPr>
          <w:p w14:paraId="7771D45B" w14:textId="77777777" w:rsidR="001C4E25" w:rsidRPr="00E73172" w:rsidRDefault="001C4E25" w:rsidP="001C4E25">
            <w:pPr>
              <w:rPr>
                <w:rFonts w:ascii="Calibri" w:hAnsi="Calibri" w:cs="Calibri"/>
                <w:sz w:val="16"/>
                <w:szCs w:val="16"/>
              </w:rPr>
            </w:pPr>
            <w:r w:rsidRPr="00E73172">
              <w:rPr>
                <w:rFonts w:ascii="Calibri" w:hAnsi="Calibri" w:cs="Calibri"/>
                <w:sz w:val="16"/>
                <w:szCs w:val="16"/>
              </w:rPr>
              <w:t>235 patients</w:t>
            </w:r>
            <w:r>
              <w:rPr>
                <w:rFonts w:ascii="Calibri" w:hAnsi="Calibri" w:cs="Calibri"/>
                <w:sz w:val="16"/>
                <w:szCs w:val="16"/>
              </w:rPr>
              <w:t xml:space="preserve"> </w:t>
            </w:r>
            <w:r w:rsidRPr="00E73172">
              <w:rPr>
                <w:rFonts w:ascii="Calibri" w:hAnsi="Calibri" w:cs="Calibri"/>
                <w:sz w:val="16"/>
                <w:szCs w:val="16"/>
              </w:rPr>
              <w:t xml:space="preserve">with range of DSM-V diagnoses, most common including MDD, </w:t>
            </w:r>
            <w:proofErr w:type="spellStart"/>
            <w:r w:rsidRPr="00E73172">
              <w:rPr>
                <w:rFonts w:ascii="Calibri" w:hAnsi="Calibri" w:cs="Calibri"/>
                <w:sz w:val="16"/>
                <w:szCs w:val="16"/>
              </w:rPr>
              <w:t>cPTSD</w:t>
            </w:r>
            <w:proofErr w:type="spellEnd"/>
            <w:r w:rsidRPr="00E73172">
              <w:rPr>
                <w:rFonts w:ascii="Calibri" w:hAnsi="Calibri" w:cs="Calibri"/>
                <w:sz w:val="16"/>
                <w:szCs w:val="16"/>
              </w:rPr>
              <w:t>, ADHD, PTSD &amp; GAD.</w:t>
            </w:r>
          </w:p>
          <w:p w14:paraId="64ECAA55" w14:textId="77777777" w:rsidR="001C4E25" w:rsidRPr="00386667" w:rsidRDefault="001C4E25" w:rsidP="001C4E25">
            <w:pPr>
              <w:rPr>
                <w:sz w:val="16"/>
                <w:szCs w:val="16"/>
              </w:rPr>
            </w:pPr>
          </w:p>
        </w:tc>
        <w:tc>
          <w:tcPr>
            <w:tcW w:w="2195" w:type="dxa"/>
            <w:tcBorders>
              <w:top w:val="single" w:sz="4" w:space="0" w:color="auto"/>
              <w:bottom w:val="single" w:sz="4" w:space="0" w:color="auto"/>
            </w:tcBorders>
          </w:tcPr>
          <w:p w14:paraId="664F6D3F" w14:textId="77777777" w:rsidR="001C4E25" w:rsidRPr="00E73172" w:rsidRDefault="001C4E25" w:rsidP="001C4E25">
            <w:pPr>
              <w:rPr>
                <w:rFonts w:ascii="Calibri" w:hAnsi="Calibri" w:cs="Calibri"/>
                <w:sz w:val="16"/>
                <w:szCs w:val="16"/>
              </w:rPr>
            </w:pPr>
            <w:r w:rsidRPr="00E73172">
              <w:rPr>
                <w:rFonts w:ascii="Calibri" w:hAnsi="Calibri" w:cs="Calibri"/>
                <w:sz w:val="16"/>
                <w:szCs w:val="16"/>
              </w:rPr>
              <w:t>Either ketamine SL, ketamine IM injection or both SL &amp; IM. 61.5% of participants administered IM ketamine</w:t>
            </w:r>
            <w:r>
              <w:rPr>
                <w:rFonts w:ascii="Calibri" w:hAnsi="Calibri" w:cs="Calibri"/>
                <w:sz w:val="16"/>
                <w:szCs w:val="16"/>
              </w:rPr>
              <w:t xml:space="preserve"> at</w:t>
            </w:r>
            <w:r w:rsidRPr="00E73172">
              <w:rPr>
                <w:rFonts w:ascii="Calibri" w:hAnsi="Calibri" w:cs="Calibri"/>
                <w:sz w:val="16"/>
                <w:szCs w:val="16"/>
              </w:rPr>
              <w:t xml:space="preserve"> average dosage of 80-90mg. SL ketamine administered at average dosage of 200-250mg.</w:t>
            </w:r>
          </w:p>
          <w:p w14:paraId="101EF915" w14:textId="77777777" w:rsidR="001C4E25" w:rsidRPr="00E73172" w:rsidRDefault="001C4E25" w:rsidP="001C4E25">
            <w:pPr>
              <w:rPr>
                <w:sz w:val="16"/>
                <w:szCs w:val="16"/>
              </w:rPr>
            </w:pPr>
          </w:p>
        </w:tc>
        <w:tc>
          <w:tcPr>
            <w:tcW w:w="1904" w:type="dxa"/>
            <w:tcBorders>
              <w:top w:val="single" w:sz="4" w:space="0" w:color="auto"/>
              <w:bottom w:val="single" w:sz="4" w:space="0" w:color="auto"/>
            </w:tcBorders>
          </w:tcPr>
          <w:p w14:paraId="0F466363" w14:textId="77777777" w:rsidR="001C4E25" w:rsidRPr="00386667" w:rsidRDefault="001C4E25" w:rsidP="001C4E25">
            <w:pPr>
              <w:rPr>
                <w:sz w:val="16"/>
                <w:szCs w:val="16"/>
              </w:rPr>
            </w:pPr>
            <w:r>
              <w:rPr>
                <w:sz w:val="16"/>
                <w:szCs w:val="16"/>
              </w:rPr>
              <w:t>N/A</w:t>
            </w:r>
          </w:p>
        </w:tc>
        <w:tc>
          <w:tcPr>
            <w:tcW w:w="2410" w:type="dxa"/>
            <w:tcBorders>
              <w:top w:val="single" w:sz="4" w:space="0" w:color="auto"/>
              <w:bottom w:val="single" w:sz="4" w:space="0" w:color="auto"/>
            </w:tcBorders>
          </w:tcPr>
          <w:p w14:paraId="3110D66D" w14:textId="77777777" w:rsidR="001C4E25" w:rsidRDefault="001C4E25" w:rsidP="001C4E25">
            <w:pPr>
              <w:rPr>
                <w:rFonts w:ascii="Calibri" w:hAnsi="Calibri" w:cs="Calibri"/>
                <w:sz w:val="16"/>
                <w:szCs w:val="16"/>
              </w:rPr>
            </w:pPr>
            <w:r w:rsidRPr="00E73172">
              <w:rPr>
                <w:rFonts w:ascii="Calibri" w:hAnsi="Calibri" w:cs="Calibri"/>
                <w:sz w:val="16"/>
                <w:szCs w:val="16"/>
              </w:rPr>
              <w:t>Ketamine Assisted Psychotherapy. Maximum of 25 in-office therapy sessions.</w:t>
            </w:r>
          </w:p>
          <w:p w14:paraId="67FBD274" w14:textId="77777777" w:rsidR="00A4614F" w:rsidRDefault="00A4614F" w:rsidP="001C4E25">
            <w:pPr>
              <w:rPr>
                <w:rFonts w:ascii="Calibri" w:hAnsi="Calibri" w:cs="Calibri"/>
                <w:b/>
                <w:bCs/>
                <w:sz w:val="16"/>
                <w:szCs w:val="16"/>
              </w:rPr>
            </w:pPr>
          </w:p>
          <w:p w14:paraId="1A5F8EC1" w14:textId="42C58F1F" w:rsidR="00A4614F" w:rsidRPr="00A4614F" w:rsidRDefault="00A4614F" w:rsidP="001C4E25">
            <w:pPr>
              <w:rPr>
                <w:b/>
                <w:bCs/>
                <w:sz w:val="16"/>
                <w:szCs w:val="16"/>
              </w:rPr>
            </w:pPr>
            <w:r w:rsidRPr="00A4614F">
              <w:rPr>
                <w:rFonts w:ascii="Calibri" w:hAnsi="Calibri" w:cs="Calibri"/>
                <w:sz w:val="16"/>
                <w:szCs w:val="16"/>
              </w:rPr>
              <w:t>Participants also prescribed ongoing pharmacological treatments inc. antidepressants, mood stabilisers and antipsychotics. (mean = 2.84 medications each)</w:t>
            </w:r>
          </w:p>
        </w:tc>
        <w:tc>
          <w:tcPr>
            <w:tcW w:w="2126" w:type="dxa"/>
            <w:tcBorders>
              <w:top w:val="single" w:sz="4" w:space="0" w:color="auto"/>
              <w:bottom w:val="single" w:sz="4" w:space="0" w:color="auto"/>
            </w:tcBorders>
          </w:tcPr>
          <w:p w14:paraId="5EF44805" w14:textId="77777777" w:rsidR="001C4E25" w:rsidRPr="00E73172" w:rsidRDefault="001C4E25" w:rsidP="001C4E25">
            <w:pPr>
              <w:rPr>
                <w:rFonts w:ascii="Calibri" w:hAnsi="Calibri" w:cs="Calibri"/>
                <w:sz w:val="16"/>
                <w:szCs w:val="16"/>
              </w:rPr>
            </w:pPr>
            <w:r w:rsidRPr="00E73172">
              <w:rPr>
                <w:rFonts w:ascii="Calibri" w:hAnsi="Calibri" w:cs="Calibri"/>
                <w:sz w:val="16"/>
                <w:szCs w:val="16"/>
              </w:rPr>
              <w:t>Primary measures</w:t>
            </w:r>
            <w:r w:rsidRPr="00E73172">
              <w:rPr>
                <w:rFonts w:ascii="Calibri" w:hAnsi="Calibri" w:cs="Calibri"/>
                <w:i/>
                <w:iCs/>
                <w:sz w:val="16"/>
                <w:szCs w:val="16"/>
              </w:rPr>
              <w:t xml:space="preserve">: </w:t>
            </w:r>
            <w:r w:rsidRPr="00E73172">
              <w:rPr>
                <w:rFonts w:ascii="Calibri" w:hAnsi="Calibri" w:cs="Calibri"/>
                <w:sz w:val="16"/>
                <w:szCs w:val="16"/>
              </w:rPr>
              <w:t>Becks Depression Inventory and Hamilton Anxiety Scale.</w:t>
            </w:r>
          </w:p>
          <w:p w14:paraId="5C7BD3B6" w14:textId="77777777" w:rsidR="001C4E25" w:rsidRPr="00386667" w:rsidRDefault="001C4E25" w:rsidP="001C4E25">
            <w:pPr>
              <w:rPr>
                <w:b/>
                <w:bCs/>
                <w:sz w:val="16"/>
                <w:szCs w:val="16"/>
              </w:rPr>
            </w:pPr>
          </w:p>
        </w:tc>
        <w:tc>
          <w:tcPr>
            <w:tcW w:w="2971" w:type="dxa"/>
            <w:tcBorders>
              <w:top w:val="single" w:sz="4" w:space="0" w:color="auto"/>
              <w:bottom w:val="single" w:sz="4" w:space="0" w:color="auto"/>
            </w:tcBorders>
          </w:tcPr>
          <w:p w14:paraId="1575DC8A" w14:textId="462BE325" w:rsidR="001C4E25" w:rsidRPr="00C060D3" w:rsidRDefault="001C4E25" w:rsidP="001C4E25">
            <w:pPr>
              <w:rPr>
                <w:b/>
                <w:bCs/>
                <w:sz w:val="16"/>
                <w:szCs w:val="16"/>
              </w:rPr>
            </w:pPr>
            <w:r w:rsidRPr="00C060D3">
              <w:rPr>
                <w:rFonts w:ascii="Calibri" w:hAnsi="Calibri" w:cs="Calibri"/>
                <w:sz w:val="16"/>
                <w:szCs w:val="16"/>
              </w:rPr>
              <w:t>Clinically significant reductions in anxiety and depression scores in accordance with HAM-A and BDI scores. Intake HAM-A scores fell within ‘Moderate’ classification (M = 20.35) and reduced by 5.5 on average to the mild-anxiety category</w:t>
            </w:r>
            <w:r w:rsidR="00CF2B80">
              <w:rPr>
                <w:rFonts w:ascii="Calibri" w:hAnsi="Calibri" w:cs="Calibri"/>
                <w:sz w:val="16"/>
                <w:szCs w:val="16"/>
              </w:rPr>
              <w:t>.</w:t>
            </w:r>
            <w:r w:rsidRPr="00C060D3">
              <w:rPr>
                <w:rFonts w:ascii="Calibri" w:hAnsi="Calibri" w:cs="Calibri"/>
                <w:sz w:val="16"/>
                <w:szCs w:val="16"/>
              </w:rPr>
              <w:t xml:space="preserve"> </w:t>
            </w:r>
          </w:p>
        </w:tc>
      </w:tr>
      <w:tr w:rsidR="001C4E25" w:rsidRPr="00386667" w14:paraId="6387AF49" w14:textId="77777777" w:rsidTr="00D53564">
        <w:trPr>
          <w:trHeight w:val="225"/>
        </w:trPr>
        <w:tc>
          <w:tcPr>
            <w:tcW w:w="2367" w:type="dxa"/>
            <w:tcBorders>
              <w:top w:val="single" w:sz="4" w:space="0" w:color="auto"/>
              <w:bottom w:val="single" w:sz="4" w:space="0" w:color="auto"/>
            </w:tcBorders>
          </w:tcPr>
          <w:p w14:paraId="6C32C4BF" w14:textId="77777777" w:rsidR="001C4E25" w:rsidRPr="00386667" w:rsidRDefault="001C4E25" w:rsidP="001C4E25">
            <w:pPr>
              <w:rPr>
                <w:b/>
                <w:bCs/>
                <w:sz w:val="16"/>
                <w:szCs w:val="16"/>
              </w:rPr>
            </w:pPr>
            <w:r w:rsidRPr="00386667">
              <w:rPr>
                <w:b/>
                <w:bCs/>
                <w:sz w:val="16"/>
                <w:szCs w:val="16"/>
              </w:rPr>
              <w:t>Glue et al., 2017</w:t>
            </w:r>
          </w:p>
          <w:p w14:paraId="72B2C0C7" w14:textId="607966FB" w:rsidR="001C4E25" w:rsidRPr="00386667" w:rsidRDefault="001C4E25" w:rsidP="001C4E25">
            <w:pPr>
              <w:rPr>
                <w:b/>
                <w:bCs/>
                <w:sz w:val="16"/>
                <w:szCs w:val="16"/>
              </w:rPr>
            </w:pPr>
            <w:r w:rsidRPr="00386667">
              <w:rPr>
                <w:sz w:val="16"/>
                <w:szCs w:val="16"/>
              </w:rPr>
              <w:t xml:space="preserve">Non-randomised, </w:t>
            </w:r>
            <w:r w:rsidR="00AB496F">
              <w:rPr>
                <w:sz w:val="16"/>
                <w:szCs w:val="16"/>
              </w:rPr>
              <w:t>open label</w:t>
            </w:r>
            <w:r>
              <w:rPr>
                <w:sz w:val="16"/>
                <w:szCs w:val="16"/>
              </w:rPr>
              <w:t xml:space="preserve">, </w:t>
            </w:r>
            <w:r w:rsidRPr="00386667">
              <w:rPr>
                <w:sz w:val="16"/>
                <w:szCs w:val="16"/>
              </w:rPr>
              <w:t>within</w:t>
            </w:r>
            <w:r>
              <w:rPr>
                <w:sz w:val="16"/>
                <w:szCs w:val="16"/>
              </w:rPr>
              <w:t>-</w:t>
            </w:r>
            <w:r w:rsidRPr="00386667">
              <w:rPr>
                <w:sz w:val="16"/>
                <w:szCs w:val="16"/>
              </w:rPr>
              <w:t>subjects ascending dose study</w:t>
            </w:r>
          </w:p>
        </w:tc>
        <w:tc>
          <w:tcPr>
            <w:tcW w:w="2040" w:type="dxa"/>
            <w:tcBorders>
              <w:top w:val="single" w:sz="4" w:space="0" w:color="auto"/>
              <w:bottom w:val="single" w:sz="4" w:space="0" w:color="auto"/>
            </w:tcBorders>
          </w:tcPr>
          <w:p w14:paraId="4E9A99FD" w14:textId="77777777" w:rsidR="001C4E25" w:rsidRPr="00386667" w:rsidRDefault="001C4E25" w:rsidP="001C4E25">
            <w:pPr>
              <w:rPr>
                <w:sz w:val="16"/>
                <w:szCs w:val="16"/>
              </w:rPr>
            </w:pPr>
            <w:r w:rsidRPr="00386667">
              <w:rPr>
                <w:sz w:val="16"/>
                <w:szCs w:val="16"/>
              </w:rPr>
              <w:t>12 patients with treatment refractory Generalised Anxiety Disorder and/or Social Anxiety Disorder (without co-morbid depression)</w:t>
            </w:r>
          </w:p>
        </w:tc>
        <w:tc>
          <w:tcPr>
            <w:tcW w:w="2195" w:type="dxa"/>
            <w:tcBorders>
              <w:top w:val="single" w:sz="4" w:space="0" w:color="auto"/>
              <w:bottom w:val="single" w:sz="4" w:space="0" w:color="auto"/>
            </w:tcBorders>
          </w:tcPr>
          <w:p w14:paraId="1C1256F4" w14:textId="77777777" w:rsidR="001C4E25" w:rsidRPr="00386667" w:rsidRDefault="001C4E25" w:rsidP="001C4E25">
            <w:pPr>
              <w:rPr>
                <w:sz w:val="16"/>
                <w:szCs w:val="16"/>
              </w:rPr>
            </w:pPr>
            <w:r w:rsidRPr="00386667">
              <w:rPr>
                <w:sz w:val="16"/>
                <w:szCs w:val="16"/>
              </w:rPr>
              <w:t>0.25, 0.5, and 1mg/kg subcutaneous, ascending</w:t>
            </w:r>
          </w:p>
        </w:tc>
        <w:tc>
          <w:tcPr>
            <w:tcW w:w="1904" w:type="dxa"/>
            <w:tcBorders>
              <w:top w:val="single" w:sz="4" w:space="0" w:color="auto"/>
              <w:bottom w:val="single" w:sz="4" w:space="0" w:color="auto"/>
            </w:tcBorders>
          </w:tcPr>
          <w:p w14:paraId="069E9288" w14:textId="77777777" w:rsidR="001C4E25" w:rsidRPr="00386667" w:rsidRDefault="001C4E25" w:rsidP="001C4E25">
            <w:pPr>
              <w:rPr>
                <w:sz w:val="16"/>
                <w:szCs w:val="16"/>
              </w:rPr>
            </w:pPr>
            <w:r>
              <w:rPr>
                <w:sz w:val="16"/>
                <w:szCs w:val="16"/>
              </w:rPr>
              <w:t>N/A</w:t>
            </w:r>
          </w:p>
        </w:tc>
        <w:tc>
          <w:tcPr>
            <w:tcW w:w="2410" w:type="dxa"/>
            <w:tcBorders>
              <w:top w:val="single" w:sz="4" w:space="0" w:color="auto"/>
              <w:bottom w:val="single" w:sz="4" w:space="0" w:color="auto"/>
            </w:tcBorders>
          </w:tcPr>
          <w:p w14:paraId="0C680E40" w14:textId="2EC07996" w:rsidR="001C4E25" w:rsidRPr="00C060D3" w:rsidRDefault="00B7072D" w:rsidP="001C4E25">
            <w:pPr>
              <w:rPr>
                <w:sz w:val="16"/>
                <w:szCs w:val="16"/>
              </w:rPr>
            </w:pPr>
            <w:r>
              <w:rPr>
                <w:sz w:val="16"/>
                <w:szCs w:val="16"/>
              </w:rPr>
              <w:t>Participants remained on prescribed medication and continued with psychotherapy where ongoing (no adjustments to dosage or therapy schedule)</w:t>
            </w:r>
          </w:p>
        </w:tc>
        <w:tc>
          <w:tcPr>
            <w:tcW w:w="2126" w:type="dxa"/>
            <w:tcBorders>
              <w:top w:val="single" w:sz="4" w:space="0" w:color="auto"/>
              <w:bottom w:val="single" w:sz="4" w:space="0" w:color="auto"/>
            </w:tcBorders>
          </w:tcPr>
          <w:p w14:paraId="0EF7727D" w14:textId="77777777" w:rsidR="001C4E25" w:rsidRPr="00C060D3" w:rsidRDefault="001C4E25" w:rsidP="001C4E25">
            <w:pPr>
              <w:rPr>
                <w:sz w:val="16"/>
                <w:szCs w:val="16"/>
              </w:rPr>
            </w:pPr>
            <w:r w:rsidRPr="00C060D3">
              <w:rPr>
                <w:sz w:val="16"/>
                <w:szCs w:val="16"/>
              </w:rPr>
              <w:t>Fear Questionnaire and HAM-A scale.</w:t>
            </w:r>
          </w:p>
        </w:tc>
        <w:tc>
          <w:tcPr>
            <w:tcW w:w="2971" w:type="dxa"/>
            <w:tcBorders>
              <w:top w:val="single" w:sz="4" w:space="0" w:color="auto"/>
              <w:bottom w:val="single" w:sz="4" w:space="0" w:color="auto"/>
            </w:tcBorders>
          </w:tcPr>
          <w:p w14:paraId="45EFD298" w14:textId="77777777" w:rsidR="001C4E25" w:rsidRDefault="001C4E25" w:rsidP="001C4E25">
            <w:pPr>
              <w:pStyle w:val="NormalWeb"/>
              <w:rPr>
                <w:rFonts w:ascii="Calibri" w:hAnsi="Calibri" w:cs="Calibri"/>
                <w:sz w:val="16"/>
                <w:szCs w:val="16"/>
              </w:rPr>
            </w:pPr>
            <w:r w:rsidRPr="00034B17">
              <w:rPr>
                <w:rFonts w:ascii="Calibri" w:hAnsi="Calibri" w:cs="Calibri"/>
                <w:sz w:val="16"/>
                <w:szCs w:val="16"/>
              </w:rPr>
              <w:t>83% of participants demonstrated reduction in HAM-A and/or Fear Questionnaire scores following 0.5 or 1mg/kg doses. Within 1 hour of infusion, patients reported reduced anxiety, which persisted for up to seven days</w:t>
            </w:r>
            <w:r>
              <w:rPr>
                <w:rFonts w:ascii="Calibri" w:hAnsi="Calibri" w:cs="Calibri"/>
                <w:sz w:val="16"/>
                <w:szCs w:val="16"/>
              </w:rPr>
              <w:t>.</w:t>
            </w:r>
          </w:p>
          <w:p w14:paraId="1C6ED901" w14:textId="77777777" w:rsidR="001C4E25" w:rsidRPr="00034B17" w:rsidRDefault="001C4E25" w:rsidP="001C4E25">
            <w:pPr>
              <w:pStyle w:val="NormalWeb"/>
              <w:rPr>
                <w:rFonts w:ascii="Calibri" w:hAnsi="Calibri" w:cs="Calibri"/>
              </w:rPr>
            </w:pPr>
          </w:p>
        </w:tc>
      </w:tr>
      <w:tr w:rsidR="00B7072D" w:rsidRPr="00386667" w14:paraId="7ACC954D" w14:textId="77777777" w:rsidTr="00D53564">
        <w:trPr>
          <w:trHeight w:val="225"/>
        </w:trPr>
        <w:tc>
          <w:tcPr>
            <w:tcW w:w="2367" w:type="dxa"/>
            <w:tcBorders>
              <w:top w:val="single" w:sz="4" w:space="0" w:color="auto"/>
              <w:bottom w:val="single" w:sz="4" w:space="0" w:color="auto"/>
            </w:tcBorders>
          </w:tcPr>
          <w:p w14:paraId="675C7F00" w14:textId="77777777" w:rsidR="00B7072D" w:rsidRDefault="00B7072D" w:rsidP="00B7072D">
            <w:pPr>
              <w:rPr>
                <w:b/>
                <w:bCs/>
                <w:sz w:val="16"/>
                <w:szCs w:val="16"/>
              </w:rPr>
            </w:pPr>
            <w:r>
              <w:rPr>
                <w:b/>
                <w:bCs/>
                <w:sz w:val="16"/>
                <w:szCs w:val="16"/>
              </w:rPr>
              <w:t>Glue et al., 2018</w:t>
            </w:r>
          </w:p>
          <w:p w14:paraId="62810A06" w14:textId="667AD13F" w:rsidR="00B7072D" w:rsidRDefault="00AB496F" w:rsidP="00B7072D">
            <w:pPr>
              <w:rPr>
                <w:sz w:val="16"/>
                <w:szCs w:val="16"/>
              </w:rPr>
            </w:pPr>
            <w:r>
              <w:rPr>
                <w:sz w:val="16"/>
                <w:szCs w:val="16"/>
              </w:rPr>
              <w:t>O</w:t>
            </w:r>
            <w:r w:rsidR="00B7072D" w:rsidRPr="00225879">
              <w:rPr>
                <w:sz w:val="16"/>
                <w:szCs w:val="16"/>
              </w:rPr>
              <w:t>pen label study</w:t>
            </w:r>
          </w:p>
          <w:p w14:paraId="0B6A7F05" w14:textId="77777777" w:rsidR="00B7072D" w:rsidRDefault="00B7072D" w:rsidP="00B7072D">
            <w:pPr>
              <w:rPr>
                <w:sz w:val="16"/>
                <w:szCs w:val="16"/>
              </w:rPr>
            </w:pPr>
          </w:p>
          <w:p w14:paraId="0F979971" w14:textId="77777777" w:rsidR="00B7072D" w:rsidRPr="00225879" w:rsidRDefault="00B7072D" w:rsidP="00B7072D">
            <w:pPr>
              <w:rPr>
                <w:sz w:val="16"/>
                <w:szCs w:val="16"/>
              </w:rPr>
            </w:pPr>
          </w:p>
        </w:tc>
        <w:tc>
          <w:tcPr>
            <w:tcW w:w="2040" w:type="dxa"/>
            <w:tcBorders>
              <w:top w:val="single" w:sz="4" w:space="0" w:color="auto"/>
              <w:bottom w:val="single" w:sz="4" w:space="0" w:color="auto"/>
            </w:tcBorders>
          </w:tcPr>
          <w:p w14:paraId="45E6477C" w14:textId="77777777" w:rsidR="00B7072D" w:rsidRPr="00386667" w:rsidRDefault="00B7072D" w:rsidP="00B7072D">
            <w:pPr>
              <w:rPr>
                <w:sz w:val="16"/>
                <w:szCs w:val="16"/>
              </w:rPr>
            </w:pPr>
            <w:r>
              <w:rPr>
                <w:sz w:val="16"/>
                <w:szCs w:val="16"/>
              </w:rPr>
              <w:t>20 patients with treatment-refractory GAD or SAD.</w:t>
            </w:r>
          </w:p>
        </w:tc>
        <w:tc>
          <w:tcPr>
            <w:tcW w:w="2195" w:type="dxa"/>
            <w:tcBorders>
              <w:top w:val="single" w:sz="4" w:space="0" w:color="auto"/>
              <w:bottom w:val="single" w:sz="4" w:space="0" w:color="auto"/>
            </w:tcBorders>
          </w:tcPr>
          <w:p w14:paraId="2E514C2B" w14:textId="77777777" w:rsidR="00B7072D" w:rsidRPr="00386667" w:rsidRDefault="00B7072D" w:rsidP="00B7072D">
            <w:pPr>
              <w:rPr>
                <w:sz w:val="16"/>
                <w:szCs w:val="16"/>
              </w:rPr>
            </w:pPr>
            <w:r>
              <w:rPr>
                <w:sz w:val="16"/>
                <w:szCs w:val="16"/>
              </w:rPr>
              <w:t>One or two weekly subcutaneous infusions, 1mg/kg across 3-month period.</w:t>
            </w:r>
          </w:p>
        </w:tc>
        <w:tc>
          <w:tcPr>
            <w:tcW w:w="1904" w:type="dxa"/>
            <w:tcBorders>
              <w:top w:val="single" w:sz="4" w:space="0" w:color="auto"/>
              <w:bottom w:val="single" w:sz="4" w:space="0" w:color="auto"/>
            </w:tcBorders>
          </w:tcPr>
          <w:p w14:paraId="7FE3EB94" w14:textId="77777777" w:rsidR="00B7072D" w:rsidRPr="00386667" w:rsidRDefault="00B7072D" w:rsidP="00B7072D">
            <w:pPr>
              <w:rPr>
                <w:sz w:val="16"/>
                <w:szCs w:val="16"/>
              </w:rPr>
            </w:pPr>
            <w:r>
              <w:rPr>
                <w:sz w:val="16"/>
                <w:szCs w:val="16"/>
              </w:rPr>
              <w:t>N/A</w:t>
            </w:r>
          </w:p>
        </w:tc>
        <w:tc>
          <w:tcPr>
            <w:tcW w:w="2410" w:type="dxa"/>
            <w:tcBorders>
              <w:top w:val="single" w:sz="4" w:space="0" w:color="auto"/>
              <w:bottom w:val="single" w:sz="4" w:space="0" w:color="auto"/>
            </w:tcBorders>
          </w:tcPr>
          <w:p w14:paraId="65D1846D" w14:textId="25344626" w:rsidR="00B7072D" w:rsidRPr="00AD24DE" w:rsidRDefault="00B7072D" w:rsidP="00B7072D">
            <w:pPr>
              <w:rPr>
                <w:sz w:val="16"/>
                <w:szCs w:val="16"/>
              </w:rPr>
            </w:pPr>
            <w:r>
              <w:rPr>
                <w:sz w:val="16"/>
                <w:szCs w:val="16"/>
              </w:rPr>
              <w:t>Participants remained on prescribed medication and continued with psychotherapy where ongoing (no adjustments to dosage or therapy schedule)</w:t>
            </w:r>
          </w:p>
        </w:tc>
        <w:tc>
          <w:tcPr>
            <w:tcW w:w="2126" w:type="dxa"/>
            <w:tcBorders>
              <w:top w:val="single" w:sz="4" w:space="0" w:color="auto"/>
              <w:bottom w:val="single" w:sz="4" w:space="0" w:color="auto"/>
            </w:tcBorders>
          </w:tcPr>
          <w:p w14:paraId="31D22696" w14:textId="77777777" w:rsidR="00B7072D" w:rsidRPr="00034B17" w:rsidRDefault="00B7072D" w:rsidP="00B7072D">
            <w:pPr>
              <w:rPr>
                <w:sz w:val="16"/>
                <w:szCs w:val="16"/>
              </w:rPr>
            </w:pPr>
            <w:r w:rsidRPr="00034B17">
              <w:rPr>
                <w:sz w:val="16"/>
                <w:szCs w:val="16"/>
              </w:rPr>
              <w:t>Fear Questionnaire</w:t>
            </w:r>
            <w:r>
              <w:rPr>
                <w:sz w:val="16"/>
                <w:szCs w:val="16"/>
              </w:rPr>
              <w:t xml:space="preserve"> and HAM-A.</w:t>
            </w:r>
          </w:p>
        </w:tc>
        <w:tc>
          <w:tcPr>
            <w:tcW w:w="2971" w:type="dxa"/>
            <w:tcBorders>
              <w:top w:val="single" w:sz="4" w:space="0" w:color="auto"/>
              <w:bottom w:val="single" w:sz="4" w:space="0" w:color="auto"/>
            </w:tcBorders>
          </w:tcPr>
          <w:p w14:paraId="661F0BED" w14:textId="77777777" w:rsidR="00B7072D" w:rsidRDefault="00B7072D" w:rsidP="00B7072D">
            <w:pPr>
              <w:pStyle w:val="NormalWeb"/>
              <w:rPr>
                <w:rFonts w:ascii="TimesNewRomanPSMT" w:hAnsi="TimesNewRomanPSMT"/>
                <w:sz w:val="18"/>
                <w:szCs w:val="18"/>
              </w:rPr>
            </w:pPr>
            <w:r w:rsidRPr="00034B17">
              <w:rPr>
                <w:rFonts w:ascii="Calibri" w:hAnsi="Calibri" w:cs="Calibri"/>
                <w:sz w:val="16"/>
                <w:szCs w:val="16"/>
              </w:rPr>
              <w:t>Progressive reduction in baseline Fear Questionnaire scores (asymptote reached by 7.5 weeks) At 1 h post-dosing, all ratings decreased by 50%, with no further decrease at 2 h post-dose. Baseline HAM-A reached asymptote by 3.5 weeks. At 1h</w:t>
            </w:r>
            <w:r>
              <w:rPr>
                <w:rFonts w:ascii="Calibri" w:hAnsi="Calibri" w:cs="Calibri"/>
                <w:sz w:val="16"/>
                <w:szCs w:val="16"/>
              </w:rPr>
              <w:t>r</w:t>
            </w:r>
            <w:r w:rsidRPr="00034B17">
              <w:rPr>
                <w:rFonts w:ascii="Calibri" w:hAnsi="Calibri" w:cs="Calibri"/>
                <w:sz w:val="16"/>
                <w:szCs w:val="16"/>
              </w:rPr>
              <w:t xml:space="preserve"> post-dosing, all ratings </w:t>
            </w:r>
            <w:r>
              <w:rPr>
                <w:rFonts w:ascii="Calibri" w:hAnsi="Calibri" w:cs="Calibri"/>
                <w:sz w:val="16"/>
                <w:szCs w:val="16"/>
              </w:rPr>
              <w:t>reduced</w:t>
            </w:r>
            <w:r w:rsidRPr="00034B17">
              <w:rPr>
                <w:rFonts w:ascii="Calibri" w:hAnsi="Calibri" w:cs="Calibri"/>
                <w:sz w:val="16"/>
                <w:szCs w:val="16"/>
              </w:rPr>
              <w:t xml:space="preserve"> by ~50%, with no further </w:t>
            </w:r>
            <w:r>
              <w:rPr>
                <w:rFonts w:ascii="Calibri" w:hAnsi="Calibri" w:cs="Calibri"/>
                <w:sz w:val="16"/>
                <w:szCs w:val="16"/>
              </w:rPr>
              <w:t>reduction</w:t>
            </w:r>
            <w:r w:rsidRPr="00034B17">
              <w:rPr>
                <w:rFonts w:ascii="Calibri" w:hAnsi="Calibri" w:cs="Calibri"/>
                <w:sz w:val="16"/>
                <w:szCs w:val="16"/>
              </w:rPr>
              <w:t xml:space="preserve"> noted 2</w:t>
            </w:r>
            <w:r>
              <w:rPr>
                <w:rFonts w:ascii="Calibri" w:hAnsi="Calibri" w:cs="Calibri"/>
                <w:sz w:val="16"/>
                <w:szCs w:val="16"/>
              </w:rPr>
              <w:t>hrs</w:t>
            </w:r>
            <w:r w:rsidRPr="00034B17">
              <w:rPr>
                <w:rFonts w:ascii="Calibri" w:hAnsi="Calibri" w:cs="Calibri"/>
                <w:sz w:val="16"/>
                <w:szCs w:val="16"/>
              </w:rPr>
              <w:t xml:space="preserve"> post-dose.</w:t>
            </w:r>
            <w:r>
              <w:rPr>
                <w:rFonts w:ascii="TimesNewRomanPSMT" w:hAnsi="TimesNewRomanPSMT"/>
                <w:sz w:val="18"/>
                <w:szCs w:val="18"/>
              </w:rPr>
              <w:t xml:space="preserve"> </w:t>
            </w:r>
          </w:p>
          <w:p w14:paraId="50196F38" w14:textId="77777777" w:rsidR="00B7072D" w:rsidRPr="00034B17" w:rsidRDefault="00B7072D" w:rsidP="00B7072D">
            <w:pPr>
              <w:pStyle w:val="NormalWeb"/>
            </w:pPr>
          </w:p>
        </w:tc>
      </w:tr>
      <w:tr w:rsidR="009F7ED4" w:rsidRPr="00386667" w14:paraId="23DBE8E7" w14:textId="77777777" w:rsidTr="00D53564">
        <w:trPr>
          <w:trHeight w:val="225"/>
        </w:trPr>
        <w:tc>
          <w:tcPr>
            <w:tcW w:w="2367" w:type="dxa"/>
            <w:tcBorders>
              <w:top w:val="single" w:sz="4" w:space="0" w:color="auto"/>
              <w:bottom w:val="single" w:sz="4" w:space="0" w:color="auto"/>
            </w:tcBorders>
          </w:tcPr>
          <w:p w14:paraId="1453550D" w14:textId="77777777" w:rsidR="009F7ED4" w:rsidRPr="00386667" w:rsidRDefault="009F7ED4" w:rsidP="009F7ED4">
            <w:pPr>
              <w:rPr>
                <w:b/>
                <w:bCs/>
                <w:sz w:val="16"/>
                <w:szCs w:val="16"/>
              </w:rPr>
            </w:pPr>
            <w:r w:rsidRPr="00386667">
              <w:rPr>
                <w:b/>
                <w:bCs/>
                <w:sz w:val="16"/>
                <w:szCs w:val="16"/>
              </w:rPr>
              <w:t>Glue et al., 2019</w:t>
            </w:r>
          </w:p>
          <w:p w14:paraId="319BE852" w14:textId="5BF29090" w:rsidR="009F7ED4" w:rsidRPr="00386667" w:rsidRDefault="009F7ED4" w:rsidP="009F7ED4">
            <w:pPr>
              <w:rPr>
                <w:b/>
                <w:bCs/>
                <w:sz w:val="16"/>
                <w:szCs w:val="16"/>
              </w:rPr>
            </w:pPr>
            <w:r w:rsidRPr="00386667">
              <w:rPr>
                <w:sz w:val="16"/>
                <w:szCs w:val="16"/>
              </w:rPr>
              <w:t xml:space="preserve">Randomised, placebo-controlled ascending dose study </w:t>
            </w:r>
          </w:p>
        </w:tc>
        <w:tc>
          <w:tcPr>
            <w:tcW w:w="2040" w:type="dxa"/>
            <w:tcBorders>
              <w:top w:val="single" w:sz="4" w:space="0" w:color="auto"/>
              <w:bottom w:val="single" w:sz="4" w:space="0" w:color="auto"/>
            </w:tcBorders>
          </w:tcPr>
          <w:p w14:paraId="452C5E11" w14:textId="03A0D10A" w:rsidR="009F7ED4" w:rsidRPr="00386667" w:rsidRDefault="009F7ED4" w:rsidP="009F7ED4">
            <w:pPr>
              <w:rPr>
                <w:sz w:val="16"/>
                <w:szCs w:val="16"/>
              </w:rPr>
            </w:pPr>
            <w:r w:rsidRPr="00386667">
              <w:rPr>
                <w:sz w:val="16"/>
                <w:szCs w:val="16"/>
              </w:rPr>
              <w:t>12 patients with treatment refractory Generalised Anxiety Disorder and/or Social Anxiety Disorder (without co-morbid depression)</w:t>
            </w:r>
          </w:p>
        </w:tc>
        <w:tc>
          <w:tcPr>
            <w:tcW w:w="2195" w:type="dxa"/>
            <w:tcBorders>
              <w:top w:val="single" w:sz="4" w:space="0" w:color="auto"/>
              <w:bottom w:val="single" w:sz="4" w:space="0" w:color="auto"/>
            </w:tcBorders>
          </w:tcPr>
          <w:p w14:paraId="52218891" w14:textId="4B800F40" w:rsidR="009F7ED4" w:rsidRPr="00386667" w:rsidRDefault="009F7ED4" w:rsidP="009F7ED4">
            <w:pPr>
              <w:rPr>
                <w:sz w:val="16"/>
                <w:szCs w:val="16"/>
              </w:rPr>
            </w:pPr>
            <w:r w:rsidRPr="00386667">
              <w:rPr>
                <w:sz w:val="16"/>
                <w:szCs w:val="16"/>
              </w:rPr>
              <w:t>0.25, 0.5, and 1mg/kg subcutaneous, ascending</w:t>
            </w:r>
          </w:p>
        </w:tc>
        <w:tc>
          <w:tcPr>
            <w:tcW w:w="1904" w:type="dxa"/>
            <w:tcBorders>
              <w:top w:val="single" w:sz="4" w:space="0" w:color="auto"/>
              <w:bottom w:val="single" w:sz="4" w:space="0" w:color="auto"/>
            </w:tcBorders>
          </w:tcPr>
          <w:p w14:paraId="6B810D12" w14:textId="0AD5E0F2" w:rsidR="009F7ED4" w:rsidRPr="00386667" w:rsidRDefault="009F7ED4" w:rsidP="009F7ED4">
            <w:pPr>
              <w:rPr>
                <w:sz w:val="16"/>
                <w:szCs w:val="16"/>
              </w:rPr>
            </w:pPr>
            <w:r w:rsidRPr="00386667">
              <w:rPr>
                <w:sz w:val="16"/>
                <w:szCs w:val="16"/>
              </w:rPr>
              <w:t>0.01</w:t>
            </w:r>
            <w:r>
              <w:rPr>
                <w:sz w:val="16"/>
                <w:szCs w:val="16"/>
              </w:rPr>
              <w:t xml:space="preserve"> </w:t>
            </w:r>
            <w:r w:rsidRPr="00386667">
              <w:rPr>
                <w:sz w:val="16"/>
                <w:szCs w:val="16"/>
              </w:rPr>
              <w:t xml:space="preserve">mg/kg </w:t>
            </w:r>
            <w:r>
              <w:rPr>
                <w:sz w:val="16"/>
                <w:szCs w:val="16"/>
              </w:rPr>
              <w:t xml:space="preserve">midazolam </w:t>
            </w:r>
            <w:r w:rsidRPr="00386667">
              <w:rPr>
                <w:sz w:val="16"/>
                <w:szCs w:val="16"/>
              </w:rPr>
              <w:t xml:space="preserve">subcutaneous, randomly inserted into ascending dose sequence </w:t>
            </w:r>
          </w:p>
        </w:tc>
        <w:tc>
          <w:tcPr>
            <w:tcW w:w="2410" w:type="dxa"/>
            <w:tcBorders>
              <w:top w:val="single" w:sz="4" w:space="0" w:color="auto"/>
              <w:bottom w:val="single" w:sz="4" w:space="0" w:color="auto"/>
            </w:tcBorders>
          </w:tcPr>
          <w:p w14:paraId="50DF690B" w14:textId="4A235D75" w:rsidR="009F7ED4" w:rsidRDefault="009F7ED4" w:rsidP="009F7ED4">
            <w:pPr>
              <w:rPr>
                <w:sz w:val="16"/>
                <w:szCs w:val="16"/>
              </w:rPr>
            </w:pPr>
            <w:r>
              <w:rPr>
                <w:sz w:val="16"/>
                <w:szCs w:val="16"/>
              </w:rPr>
              <w:t>Participants remained on prescribed medication and continued with psychotherapy where ongoing (no adjustments to dosage or therapy schedule)</w:t>
            </w:r>
          </w:p>
        </w:tc>
        <w:tc>
          <w:tcPr>
            <w:tcW w:w="2126" w:type="dxa"/>
            <w:tcBorders>
              <w:top w:val="single" w:sz="4" w:space="0" w:color="auto"/>
              <w:bottom w:val="single" w:sz="4" w:space="0" w:color="auto"/>
            </w:tcBorders>
          </w:tcPr>
          <w:p w14:paraId="25CDAE6E" w14:textId="49C53E86" w:rsidR="009F7ED4" w:rsidRDefault="009F7ED4" w:rsidP="009F7ED4">
            <w:pPr>
              <w:rPr>
                <w:sz w:val="16"/>
                <w:szCs w:val="16"/>
              </w:rPr>
            </w:pPr>
            <w:r w:rsidRPr="00A06F3E">
              <w:rPr>
                <w:sz w:val="16"/>
                <w:szCs w:val="16"/>
              </w:rPr>
              <w:t>Fear Questionnaire and HAM-A</w:t>
            </w:r>
            <w:r>
              <w:rPr>
                <w:sz w:val="16"/>
                <w:szCs w:val="16"/>
              </w:rPr>
              <w:t>.</w:t>
            </w:r>
          </w:p>
        </w:tc>
        <w:tc>
          <w:tcPr>
            <w:tcW w:w="2971" w:type="dxa"/>
            <w:tcBorders>
              <w:top w:val="single" w:sz="4" w:space="0" w:color="auto"/>
              <w:bottom w:val="single" w:sz="4" w:space="0" w:color="auto"/>
            </w:tcBorders>
          </w:tcPr>
          <w:p w14:paraId="2EFC7F89" w14:textId="77777777" w:rsidR="009F7ED4" w:rsidRPr="00952447" w:rsidRDefault="009F7ED4" w:rsidP="009F7ED4">
            <w:pPr>
              <w:rPr>
                <w:sz w:val="16"/>
                <w:szCs w:val="16"/>
              </w:rPr>
            </w:pPr>
            <w:r w:rsidRPr="00952447">
              <w:rPr>
                <w:sz w:val="16"/>
                <w:szCs w:val="16"/>
              </w:rPr>
              <w:t xml:space="preserve">Dose-associated reductions in </w:t>
            </w:r>
          </w:p>
          <w:p w14:paraId="27B570FB" w14:textId="77777777" w:rsidR="009F7ED4" w:rsidRPr="00952447" w:rsidRDefault="009F7ED4" w:rsidP="009F7ED4">
            <w:pPr>
              <w:rPr>
                <w:sz w:val="16"/>
                <w:szCs w:val="16"/>
              </w:rPr>
            </w:pPr>
            <w:r w:rsidRPr="00952447">
              <w:rPr>
                <w:sz w:val="16"/>
                <w:szCs w:val="16"/>
              </w:rPr>
              <w:t>&gt;50% reduction in HAM-A scores an</w:t>
            </w:r>
            <w:r>
              <w:rPr>
                <w:sz w:val="16"/>
                <w:szCs w:val="16"/>
              </w:rPr>
              <w:t>d/</w:t>
            </w:r>
            <w:r w:rsidRPr="00952447">
              <w:rPr>
                <w:sz w:val="16"/>
                <w:szCs w:val="16"/>
              </w:rPr>
              <w:t xml:space="preserve">or </w:t>
            </w:r>
            <w:r>
              <w:rPr>
                <w:sz w:val="16"/>
                <w:szCs w:val="16"/>
              </w:rPr>
              <w:t xml:space="preserve">FQ </w:t>
            </w:r>
            <w:r w:rsidRPr="00952447">
              <w:rPr>
                <w:sz w:val="16"/>
                <w:szCs w:val="16"/>
              </w:rPr>
              <w:t>scores observed within 67% of sample following 0.5 and/or 1 mg/kg doses</w:t>
            </w:r>
            <w:r>
              <w:rPr>
                <w:sz w:val="16"/>
                <w:szCs w:val="16"/>
              </w:rPr>
              <w:t xml:space="preserve">. Improvement in anxiety reflected within first hour post-infusion and sustained for up to 1 week. </w:t>
            </w:r>
            <w:r w:rsidRPr="00952447">
              <w:rPr>
                <w:sz w:val="16"/>
                <w:szCs w:val="16"/>
              </w:rPr>
              <w:t xml:space="preserve">Effect of midazolam control on FQ scores overlapped </w:t>
            </w:r>
            <w:r>
              <w:rPr>
                <w:sz w:val="16"/>
                <w:szCs w:val="16"/>
              </w:rPr>
              <w:t>with</w:t>
            </w:r>
            <w:r w:rsidRPr="00952447">
              <w:rPr>
                <w:sz w:val="16"/>
                <w:szCs w:val="16"/>
              </w:rPr>
              <w:t xml:space="preserve"> 0.25 mg/kg </w:t>
            </w:r>
            <w:r>
              <w:rPr>
                <w:sz w:val="16"/>
                <w:szCs w:val="16"/>
              </w:rPr>
              <w:t xml:space="preserve">and 0.5 mg/kg </w:t>
            </w:r>
            <w:r w:rsidRPr="00952447">
              <w:rPr>
                <w:sz w:val="16"/>
                <w:szCs w:val="16"/>
              </w:rPr>
              <w:t>ketamine dose</w:t>
            </w:r>
            <w:r>
              <w:rPr>
                <w:sz w:val="16"/>
                <w:szCs w:val="16"/>
              </w:rPr>
              <w:t>s.</w:t>
            </w:r>
          </w:p>
          <w:p w14:paraId="5EA966DC" w14:textId="77777777" w:rsidR="009F7ED4" w:rsidRPr="00386667" w:rsidRDefault="009F7ED4" w:rsidP="009F7ED4">
            <w:pPr>
              <w:rPr>
                <w:sz w:val="16"/>
                <w:szCs w:val="16"/>
              </w:rPr>
            </w:pPr>
          </w:p>
        </w:tc>
      </w:tr>
      <w:tr w:rsidR="009F7ED4" w:rsidRPr="00386667" w14:paraId="6F84386F" w14:textId="77777777" w:rsidTr="00D53564">
        <w:trPr>
          <w:trHeight w:val="225"/>
        </w:trPr>
        <w:tc>
          <w:tcPr>
            <w:tcW w:w="2367" w:type="dxa"/>
            <w:tcBorders>
              <w:top w:val="single" w:sz="4" w:space="0" w:color="auto"/>
              <w:bottom w:val="single" w:sz="4" w:space="0" w:color="auto"/>
            </w:tcBorders>
          </w:tcPr>
          <w:p w14:paraId="1588A2A3" w14:textId="77777777" w:rsidR="009F7ED4" w:rsidRPr="00386667" w:rsidRDefault="009F7ED4" w:rsidP="009F7ED4">
            <w:pPr>
              <w:rPr>
                <w:b/>
                <w:bCs/>
                <w:sz w:val="16"/>
                <w:szCs w:val="16"/>
              </w:rPr>
            </w:pPr>
            <w:r w:rsidRPr="00386667">
              <w:rPr>
                <w:b/>
                <w:bCs/>
                <w:sz w:val="16"/>
                <w:szCs w:val="16"/>
              </w:rPr>
              <w:t>Taylor et al., 2018</w:t>
            </w:r>
          </w:p>
          <w:p w14:paraId="35D3FDD7" w14:textId="77777777" w:rsidR="009F7ED4" w:rsidRDefault="009F7ED4" w:rsidP="009F7ED4">
            <w:pPr>
              <w:rPr>
                <w:sz w:val="16"/>
                <w:szCs w:val="16"/>
              </w:rPr>
            </w:pPr>
            <w:r w:rsidRPr="00386667">
              <w:rPr>
                <w:sz w:val="16"/>
                <w:szCs w:val="16"/>
              </w:rPr>
              <w:t>Randomised, placebo-controlled crossover trial</w:t>
            </w:r>
          </w:p>
          <w:p w14:paraId="20BDE48B" w14:textId="77777777" w:rsidR="009F7ED4" w:rsidRDefault="009F7ED4" w:rsidP="009F7ED4">
            <w:pPr>
              <w:rPr>
                <w:sz w:val="16"/>
                <w:szCs w:val="16"/>
              </w:rPr>
            </w:pPr>
          </w:p>
          <w:p w14:paraId="2FF56E41" w14:textId="77777777" w:rsidR="009F7ED4" w:rsidRPr="00386667" w:rsidRDefault="009F7ED4" w:rsidP="009F7ED4">
            <w:pPr>
              <w:rPr>
                <w:b/>
                <w:bCs/>
                <w:sz w:val="16"/>
                <w:szCs w:val="16"/>
              </w:rPr>
            </w:pPr>
          </w:p>
        </w:tc>
        <w:tc>
          <w:tcPr>
            <w:tcW w:w="2040" w:type="dxa"/>
            <w:tcBorders>
              <w:top w:val="single" w:sz="4" w:space="0" w:color="auto"/>
              <w:bottom w:val="single" w:sz="4" w:space="0" w:color="auto"/>
            </w:tcBorders>
          </w:tcPr>
          <w:p w14:paraId="75939192" w14:textId="77777777" w:rsidR="009F7ED4" w:rsidRPr="00386667" w:rsidRDefault="009F7ED4" w:rsidP="009F7ED4">
            <w:pPr>
              <w:rPr>
                <w:sz w:val="16"/>
                <w:szCs w:val="16"/>
              </w:rPr>
            </w:pPr>
            <w:r w:rsidRPr="00386667">
              <w:rPr>
                <w:sz w:val="16"/>
                <w:szCs w:val="16"/>
              </w:rPr>
              <w:t>18 patients with Social Anxiety Disorder</w:t>
            </w:r>
            <w:r>
              <w:rPr>
                <w:sz w:val="16"/>
                <w:szCs w:val="16"/>
              </w:rPr>
              <w:t>.</w:t>
            </w:r>
          </w:p>
        </w:tc>
        <w:tc>
          <w:tcPr>
            <w:tcW w:w="2195" w:type="dxa"/>
            <w:tcBorders>
              <w:top w:val="single" w:sz="4" w:space="0" w:color="auto"/>
              <w:bottom w:val="single" w:sz="4" w:space="0" w:color="auto"/>
            </w:tcBorders>
          </w:tcPr>
          <w:p w14:paraId="394485B3" w14:textId="77777777" w:rsidR="009F7ED4" w:rsidRPr="00386667" w:rsidRDefault="009F7ED4" w:rsidP="009F7ED4">
            <w:pPr>
              <w:rPr>
                <w:sz w:val="16"/>
                <w:szCs w:val="16"/>
              </w:rPr>
            </w:pPr>
            <w:r w:rsidRPr="00386667">
              <w:rPr>
                <w:sz w:val="16"/>
                <w:szCs w:val="16"/>
              </w:rPr>
              <w:t>Single dose 0.5mg/kg IV, 40mins</w:t>
            </w:r>
          </w:p>
        </w:tc>
        <w:tc>
          <w:tcPr>
            <w:tcW w:w="1904" w:type="dxa"/>
            <w:tcBorders>
              <w:top w:val="single" w:sz="4" w:space="0" w:color="auto"/>
              <w:bottom w:val="single" w:sz="4" w:space="0" w:color="auto"/>
            </w:tcBorders>
          </w:tcPr>
          <w:p w14:paraId="14CA0104" w14:textId="77777777" w:rsidR="009F7ED4" w:rsidRPr="00386667" w:rsidRDefault="009F7ED4" w:rsidP="009F7ED4">
            <w:pPr>
              <w:rPr>
                <w:sz w:val="16"/>
                <w:szCs w:val="16"/>
              </w:rPr>
            </w:pPr>
            <w:r w:rsidRPr="00386667">
              <w:rPr>
                <w:sz w:val="16"/>
                <w:szCs w:val="16"/>
              </w:rPr>
              <w:t>Single dose saline</w:t>
            </w:r>
          </w:p>
        </w:tc>
        <w:tc>
          <w:tcPr>
            <w:tcW w:w="2410" w:type="dxa"/>
            <w:tcBorders>
              <w:top w:val="single" w:sz="4" w:space="0" w:color="auto"/>
              <w:bottom w:val="single" w:sz="4" w:space="0" w:color="auto"/>
            </w:tcBorders>
          </w:tcPr>
          <w:p w14:paraId="2495B9E4" w14:textId="63D51FDE" w:rsidR="009F7ED4" w:rsidRPr="00386667" w:rsidRDefault="009F7ED4" w:rsidP="009F7ED4">
            <w:pPr>
              <w:rPr>
                <w:sz w:val="16"/>
                <w:szCs w:val="16"/>
              </w:rPr>
            </w:pPr>
            <w:r>
              <w:rPr>
                <w:sz w:val="16"/>
                <w:szCs w:val="16"/>
              </w:rPr>
              <w:t>Ongoing pharmacological treatment (SSRI’s SNRI’S or Benzodiazepines)</w:t>
            </w:r>
          </w:p>
        </w:tc>
        <w:tc>
          <w:tcPr>
            <w:tcW w:w="2126" w:type="dxa"/>
            <w:tcBorders>
              <w:top w:val="single" w:sz="4" w:space="0" w:color="auto"/>
              <w:bottom w:val="single" w:sz="4" w:space="0" w:color="auto"/>
            </w:tcBorders>
          </w:tcPr>
          <w:p w14:paraId="1F092597" w14:textId="77777777" w:rsidR="009F7ED4" w:rsidRPr="00386667" w:rsidRDefault="009F7ED4" w:rsidP="009F7ED4">
            <w:pPr>
              <w:rPr>
                <w:sz w:val="16"/>
                <w:szCs w:val="16"/>
              </w:rPr>
            </w:pPr>
            <w:r>
              <w:rPr>
                <w:sz w:val="16"/>
                <w:szCs w:val="16"/>
              </w:rPr>
              <w:t>Liebowitz Social Anxiety Scale and VAS-Anxiety.</w:t>
            </w:r>
          </w:p>
        </w:tc>
        <w:tc>
          <w:tcPr>
            <w:tcW w:w="2971" w:type="dxa"/>
            <w:tcBorders>
              <w:top w:val="single" w:sz="4" w:space="0" w:color="auto"/>
              <w:bottom w:val="single" w:sz="4" w:space="0" w:color="auto"/>
            </w:tcBorders>
          </w:tcPr>
          <w:p w14:paraId="3CF3C974" w14:textId="77777777" w:rsidR="009F7ED4" w:rsidRPr="00386667" w:rsidRDefault="009F7ED4" w:rsidP="009F7ED4">
            <w:pPr>
              <w:rPr>
                <w:sz w:val="16"/>
                <w:szCs w:val="16"/>
              </w:rPr>
            </w:pPr>
            <w:r w:rsidRPr="00386667">
              <w:rPr>
                <w:sz w:val="16"/>
                <w:szCs w:val="16"/>
              </w:rPr>
              <w:t xml:space="preserve"> </w:t>
            </w:r>
            <w:r>
              <w:rPr>
                <w:sz w:val="16"/>
                <w:szCs w:val="16"/>
              </w:rPr>
              <w:t>Significantly greater decrease in LSAS score amongst ketamine group, relative to control, though no S.D on VAS. 33.33% treatment response in ketamine group within 2weeks post-infusion, compared to 0% response following placebo (in accordance with LSAS)</w:t>
            </w:r>
          </w:p>
        </w:tc>
      </w:tr>
      <w:tr w:rsidR="009F7ED4" w:rsidRPr="00386667" w14:paraId="51CD2AD3" w14:textId="77777777" w:rsidTr="00D53564">
        <w:trPr>
          <w:trHeight w:val="100"/>
        </w:trPr>
        <w:tc>
          <w:tcPr>
            <w:tcW w:w="2367" w:type="dxa"/>
            <w:tcBorders>
              <w:top w:val="single" w:sz="4" w:space="0" w:color="auto"/>
              <w:bottom w:val="single" w:sz="4" w:space="0" w:color="auto"/>
            </w:tcBorders>
          </w:tcPr>
          <w:p w14:paraId="5113929C" w14:textId="77777777" w:rsidR="009F7ED4" w:rsidRPr="005F3082" w:rsidRDefault="009F7ED4" w:rsidP="009F7ED4">
            <w:pPr>
              <w:rPr>
                <w:b/>
                <w:bCs/>
                <w:sz w:val="16"/>
                <w:szCs w:val="16"/>
              </w:rPr>
            </w:pPr>
            <w:proofErr w:type="spellStart"/>
            <w:r w:rsidRPr="005F3082">
              <w:rPr>
                <w:b/>
                <w:bCs/>
                <w:sz w:val="16"/>
                <w:szCs w:val="16"/>
              </w:rPr>
              <w:t>Shadli</w:t>
            </w:r>
            <w:proofErr w:type="spellEnd"/>
            <w:r w:rsidRPr="005F3082">
              <w:rPr>
                <w:b/>
                <w:bCs/>
                <w:sz w:val="16"/>
                <w:szCs w:val="16"/>
              </w:rPr>
              <w:t xml:space="preserve"> et al., 2018 </w:t>
            </w:r>
          </w:p>
          <w:p w14:paraId="76EC3AD8" w14:textId="77777777" w:rsidR="009F7ED4" w:rsidRPr="00386667" w:rsidRDefault="009F7ED4" w:rsidP="009F7ED4">
            <w:pPr>
              <w:rPr>
                <w:sz w:val="16"/>
                <w:szCs w:val="16"/>
              </w:rPr>
            </w:pPr>
            <w:r>
              <w:rPr>
                <w:sz w:val="16"/>
                <w:szCs w:val="16"/>
              </w:rPr>
              <w:t xml:space="preserve">Randomised, controlled placebo cross over trial </w:t>
            </w:r>
          </w:p>
        </w:tc>
        <w:tc>
          <w:tcPr>
            <w:tcW w:w="2040" w:type="dxa"/>
            <w:tcBorders>
              <w:top w:val="single" w:sz="4" w:space="0" w:color="auto"/>
              <w:bottom w:val="single" w:sz="4" w:space="0" w:color="auto"/>
            </w:tcBorders>
          </w:tcPr>
          <w:p w14:paraId="5F9A57F1" w14:textId="77777777" w:rsidR="009F7ED4" w:rsidRPr="00386667" w:rsidRDefault="009F7ED4" w:rsidP="009F7ED4">
            <w:pPr>
              <w:rPr>
                <w:sz w:val="16"/>
                <w:szCs w:val="16"/>
              </w:rPr>
            </w:pPr>
            <w:r>
              <w:rPr>
                <w:sz w:val="16"/>
                <w:szCs w:val="16"/>
              </w:rPr>
              <w:t>12 patients with refractory GAD and/or SAD.</w:t>
            </w:r>
          </w:p>
        </w:tc>
        <w:tc>
          <w:tcPr>
            <w:tcW w:w="2195" w:type="dxa"/>
            <w:tcBorders>
              <w:top w:val="single" w:sz="4" w:space="0" w:color="auto"/>
              <w:bottom w:val="single" w:sz="4" w:space="0" w:color="auto"/>
            </w:tcBorders>
          </w:tcPr>
          <w:p w14:paraId="3F2CB2E9" w14:textId="77777777" w:rsidR="009F7ED4" w:rsidRPr="00D252D3" w:rsidRDefault="009F7ED4" w:rsidP="009F7ED4">
            <w:pPr>
              <w:rPr>
                <w:sz w:val="16"/>
                <w:szCs w:val="16"/>
              </w:rPr>
            </w:pPr>
            <w:r w:rsidRPr="00D252D3">
              <w:rPr>
                <w:sz w:val="16"/>
                <w:szCs w:val="16"/>
              </w:rPr>
              <w:t>0.25, 0.5, and 1 mg/kg,</w:t>
            </w:r>
          </w:p>
          <w:p w14:paraId="30D85FE0" w14:textId="77777777" w:rsidR="009F7ED4" w:rsidRPr="00386667" w:rsidRDefault="009F7ED4" w:rsidP="009F7ED4">
            <w:pPr>
              <w:rPr>
                <w:sz w:val="16"/>
                <w:szCs w:val="16"/>
              </w:rPr>
            </w:pPr>
            <w:r>
              <w:rPr>
                <w:sz w:val="16"/>
                <w:szCs w:val="16"/>
              </w:rPr>
              <w:t>ascending.</w:t>
            </w:r>
          </w:p>
        </w:tc>
        <w:tc>
          <w:tcPr>
            <w:tcW w:w="1904" w:type="dxa"/>
            <w:tcBorders>
              <w:top w:val="single" w:sz="4" w:space="0" w:color="auto"/>
              <w:bottom w:val="single" w:sz="4" w:space="0" w:color="auto"/>
            </w:tcBorders>
          </w:tcPr>
          <w:p w14:paraId="77E2D5EF" w14:textId="77777777" w:rsidR="009F7ED4" w:rsidRPr="00386667" w:rsidRDefault="009F7ED4" w:rsidP="009F7ED4">
            <w:pPr>
              <w:rPr>
                <w:sz w:val="16"/>
                <w:szCs w:val="16"/>
              </w:rPr>
            </w:pPr>
            <w:r>
              <w:rPr>
                <w:sz w:val="16"/>
                <w:szCs w:val="16"/>
              </w:rPr>
              <w:t>0.01 mg/kg midazolam.</w:t>
            </w:r>
          </w:p>
        </w:tc>
        <w:tc>
          <w:tcPr>
            <w:tcW w:w="2410" w:type="dxa"/>
            <w:tcBorders>
              <w:top w:val="single" w:sz="4" w:space="0" w:color="auto"/>
              <w:bottom w:val="single" w:sz="4" w:space="0" w:color="auto"/>
            </w:tcBorders>
          </w:tcPr>
          <w:p w14:paraId="24A5E185" w14:textId="6CDAF794" w:rsidR="009F7ED4" w:rsidRDefault="009F7ED4" w:rsidP="009F7ED4">
            <w:pPr>
              <w:rPr>
                <w:sz w:val="16"/>
                <w:szCs w:val="16"/>
              </w:rPr>
            </w:pPr>
            <w:r w:rsidRPr="00F376FA">
              <w:rPr>
                <w:sz w:val="16"/>
                <w:szCs w:val="16"/>
              </w:rPr>
              <w:t>Patients remained on their current medication regimens</w:t>
            </w:r>
            <w:r>
              <w:rPr>
                <w:sz w:val="16"/>
                <w:szCs w:val="16"/>
              </w:rPr>
              <w:t xml:space="preserve"> (eg. SSRI’s, TCA’s)</w:t>
            </w:r>
            <w:r w:rsidRPr="00F376FA">
              <w:rPr>
                <w:sz w:val="16"/>
                <w:szCs w:val="16"/>
              </w:rPr>
              <w:t xml:space="preserve"> and continued with psychotherapy</w:t>
            </w:r>
            <w:r>
              <w:rPr>
                <w:sz w:val="16"/>
                <w:szCs w:val="16"/>
              </w:rPr>
              <w:t xml:space="preserve"> (eg. CBT)</w:t>
            </w:r>
          </w:p>
          <w:p w14:paraId="1C9B893D" w14:textId="768CB24F" w:rsidR="009F7ED4" w:rsidRPr="00F376FA" w:rsidRDefault="009F7ED4" w:rsidP="009F7ED4">
            <w:pPr>
              <w:rPr>
                <w:sz w:val="16"/>
                <w:szCs w:val="16"/>
              </w:rPr>
            </w:pPr>
            <w:r w:rsidRPr="00F376FA">
              <w:rPr>
                <w:sz w:val="16"/>
                <w:szCs w:val="16"/>
              </w:rPr>
              <w:t xml:space="preserve">However, </w:t>
            </w:r>
            <w:r>
              <w:rPr>
                <w:sz w:val="16"/>
                <w:szCs w:val="16"/>
              </w:rPr>
              <w:t xml:space="preserve">no patients </w:t>
            </w:r>
            <w:r w:rsidRPr="00F376FA">
              <w:rPr>
                <w:sz w:val="16"/>
                <w:szCs w:val="16"/>
              </w:rPr>
              <w:t xml:space="preserve">started new treatments and did not </w:t>
            </w:r>
            <w:r>
              <w:rPr>
                <w:sz w:val="16"/>
                <w:szCs w:val="16"/>
              </w:rPr>
              <w:t>adjust</w:t>
            </w:r>
            <w:r w:rsidRPr="00F376FA">
              <w:rPr>
                <w:sz w:val="16"/>
                <w:szCs w:val="16"/>
              </w:rPr>
              <w:t xml:space="preserve"> doses/</w:t>
            </w:r>
            <w:r>
              <w:rPr>
                <w:sz w:val="16"/>
                <w:szCs w:val="16"/>
              </w:rPr>
              <w:t>therapy frequency.</w:t>
            </w:r>
          </w:p>
          <w:p w14:paraId="54362F8E" w14:textId="61358044" w:rsidR="009F7ED4" w:rsidRPr="00F376FA" w:rsidRDefault="009F7ED4" w:rsidP="009F7ED4">
            <w:pPr>
              <w:rPr>
                <w:sz w:val="16"/>
                <w:szCs w:val="16"/>
              </w:rPr>
            </w:pPr>
          </w:p>
        </w:tc>
        <w:tc>
          <w:tcPr>
            <w:tcW w:w="2126" w:type="dxa"/>
            <w:tcBorders>
              <w:top w:val="single" w:sz="4" w:space="0" w:color="auto"/>
              <w:bottom w:val="single" w:sz="4" w:space="0" w:color="auto"/>
            </w:tcBorders>
          </w:tcPr>
          <w:p w14:paraId="3DCB2CA2" w14:textId="77777777" w:rsidR="009F7ED4" w:rsidRPr="00386667" w:rsidRDefault="009F7ED4" w:rsidP="009F7ED4">
            <w:pPr>
              <w:rPr>
                <w:b/>
                <w:bCs/>
                <w:sz w:val="16"/>
                <w:szCs w:val="16"/>
              </w:rPr>
            </w:pPr>
            <w:r w:rsidRPr="00A06F3E">
              <w:rPr>
                <w:sz w:val="16"/>
                <w:szCs w:val="16"/>
              </w:rPr>
              <w:t>Fear Questionnaire and HAM-A</w:t>
            </w:r>
            <w:r>
              <w:rPr>
                <w:sz w:val="16"/>
                <w:szCs w:val="16"/>
              </w:rPr>
              <w:t>.</w:t>
            </w:r>
          </w:p>
        </w:tc>
        <w:tc>
          <w:tcPr>
            <w:tcW w:w="2971" w:type="dxa"/>
            <w:tcBorders>
              <w:top w:val="single" w:sz="4" w:space="0" w:color="auto"/>
              <w:bottom w:val="single" w:sz="4" w:space="0" w:color="auto"/>
            </w:tcBorders>
          </w:tcPr>
          <w:p w14:paraId="367C18B8" w14:textId="775D32A7" w:rsidR="009F7ED4" w:rsidRPr="00386667" w:rsidRDefault="009F7ED4" w:rsidP="009F7ED4">
            <w:pPr>
              <w:rPr>
                <w:sz w:val="16"/>
                <w:szCs w:val="16"/>
              </w:rPr>
            </w:pPr>
            <w:r>
              <w:rPr>
                <w:sz w:val="16"/>
                <w:szCs w:val="16"/>
              </w:rPr>
              <w:t xml:space="preserve">67% of patients reported &gt;50% reduction in FQ and/or HAM-A scores following the 0.5- 0r 1- mg/kg ketamine doses at 2-hour post-dose assessment. Reduction in HAM-A score did not reach significance. Dose-dependent decrease (max at 0.5mg) in theta wave frequency within right F4 area, which was the only significant predictor of improved FQ score. </w:t>
            </w:r>
          </w:p>
        </w:tc>
      </w:tr>
    </w:tbl>
    <w:p w14:paraId="64057DD1" w14:textId="18367F56" w:rsidR="00386667" w:rsidRDefault="00386667">
      <w:pPr>
        <w:rPr>
          <w:sz w:val="16"/>
          <w:szCs w:val="16"/>
        </w:rPr>
      </w:pPr>
    </w:p>
    <w:p w14:paraId="7DBFB8AA" w14:textId="3F1C5B54" w:rsidR="00DD57D4" w:rsidRDefault="00DD57D4">
      <w:pPr>
        <w:rPr>
          <w:sz w:val="16"/>
          <w:szCs w:val="16"/>
        </w:rPr>
      </w:pPr>
    </w:p>
    <w:p w14:paraId="3DE86BE0" w14:textId="187F395C" w:rsidR="00DD57D4" w:rsidRDefault="00DD57D4">
      <w:pPr>
        <w:rPr>
          <w:sz w:val="16"/>
          <w:szCs w:val="16"/>
        </w:rPr>
      </w:pPr>
    </w:p>
    <w:tbl>
      <w:tblPr>
        <w:tblStyle w:val="TableGrid"/>
        <w:tblpPr w:leftFromText="180" w:rightFromText="180" w:vertAnchor="page" w:horzAnchor="page" w:tblpX="537" w:tblpY="465"/>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2"/>
        <w:gridCol w:w="1857"/>
        <w:gridCol w:w="2285"/>
        <w:gridCol w:w="1999"/>
        <w:gridCol w:w="2428"/>
        <w:gridCol w:w="2088"/>
        <w:gridCol w:w="3219"/>
      </w:tblGrid>
      <w:tr w:rsidR="008E1F4A" w:rsidRPr="00A65189" w14:paraId="0228FACB" w14:textId="77777777" w:rsidTr="00475633">
        <w:trPr>
          <w:trHeight w:val="180"/>
        </w:trPr>
        <w:tc>
          <w:tcPr>
            <w:tcW w:w="16018" w:type="dxa"/>
            <w:gridSpan w:val="7"/>
            <w:tcBorders>
              <w:top w:val="single" w:sz="4" w:space="0" w:color="auto"/>
              <w:bottom w:val="single" w:sz="4" w:space="0" w:color="auto"/>
            </w:tcBorders>
          </w:tcPr>
          <w:p w14:paraId="1EB43383" w14:textId="0EC6FF67" w:rsidR="008E1F4A" w:rsidRPr="00A65189" w:rsidRDefault="008E1F4A" w:rsidP="00F479EC">
            <w:pPr>
              <w:rPr>
                <w:b/>
                <w:bCs/>
                <w:sz w:val="16"/>
                <w:szCs w:val="16"/>
              </w:rPr>
            </w:pPr>
            <w:r>
              <w:rPr>
                <w:b/>
                <w:bCs/>
                <w:sz w:val="16"/>
                <w:szCs w:val="16"/>
              </w:rPr>
              <w:lastRenderedPageBreak/>
              <w:t xml:space="preserve">Table 8: </w:t>
            </w:r>
            <w:r w:rsidRPr="002F6B68">
              <w:rPr>
                <w:rFonts w:cs="Times New Roman"/>
                <w:sz w:val="16"/>
                <w:szCs w:val="16"/>
              </w:rPr>
              <w:t xml:space="preserve"> </w:t>
            </w:r>
            <w:r w:rsidRPr="002F6B68">
              <w:rPr>
                <w:rFonts w:cs="Times New Roman"/>
                <w:sz w:val="16"/>
                <w:szCs w:val="16"/>
              </w:rPr>
              <w:t xml:space="preserve">Characteristics and results of included studies on </w:t>
            </w:r>
            <w:r>
              <w:rPr>
                <w:rFonts w:cs="Times New Roman"/>
                <w:sz w:val="16"/>
                <w:szCs w:val="16"/>
              </w:rPr>
              <w:t xml:space="preserve">OCD </w:t>
            </w:r>
          </w:p>
        </w:tc>
      </w:tr>
      <w:tr w:rsidR="00DD57D4" w:rsidRPr="00A65189" w14:paraId="6D4079E9" w14:textId="77777777" w:rsidTr="00D53564">
        <w:trPr>
          <w:trHeight w:val="180"/>
        </w:trPr>
        <w:tc>
          <w:tcPr>
            <w:tcW w:w="2142" w:type="dxa"/>
            <w:tcBorders>
              <w:top w:val="single" w:sz="4" w:space="0" w:color="auto"/>
              <w:bottom w:val="single" w:sz="4" w:space="0" w:color="auto"/>
            </w:tcBorders>
          </w:tcPr>
          <w:p w14:paraId="0E1EBC94" w14:textId="77777777" w:rsidR="00DD57D4" w:rsidRPr="00A65189" w:rsidRDefault="00DD57D4" w:rsidP="00F479EC">
            <w:pPr>
              <w:rPr>
                <w:b/>
                <w:bCs/>
                <w:sz w:val="16"/>
                <w:szCs w:val="16"/>
              </w:rPr>
            </w:pPr>
            <w:r w:rsidRPr="00A65189">
              <w:rPr>
                <w:b/>
                <w:bCs/>
                <w:sz w:val="16"/>
                <w:szCs w:val="16"/>
              </w:rPr>
              <w:t>Authors, date &amp; design</w:t>
            </w:r>
          </w:p>
        </w:tc>
        <w:tc>
          <w:tcPr>
            <w:tcW w:w="1857" w:type="dxa"/>
            <w:tcBorders>
              <w:top w:val="single" w:sz="4" w:space="0" w:color="auto"/>
              <w:bottom w:val="single" w:sz="4" w:space="0" w:color="auto"/>
            </w:tcBorders>
          </w:tcPr>
          <w:p w14:paraId="4C353FF9" w14:textId="77777777" w:rsidR="00DD57D4" w:rsidRPr="00A65189" w:rsidRDefault="00DD57D4" w:rsidP="00F479EC">
            <w:pPr>
              <w:rPr>
                <w:sz w:val="16"/>
                <w:szCs w:val="16"/>
              </w:rPr>
            </w:pPr>
            <w:r w:rsidRPr="00A65189">
              <w:rPr>
                <w:b/>
                <w:bCs/>
                <w:sz w:val="16"/>
                <w:szCs w:val="16"/>
              </w:rPr>
              <w:t xml:space="preserve">Patient demographics </w:t>
            </w:r>
          </w:p>
        </w:tc>
        <w:tc>
          <w:tcPr>
            <w:tcW w:w="2285" w:type="dxa"/>
            <w:tcBorders>
              <w:top w:val="single" w:sz="4" w:space="0" w:color="auto"/>
              <w:bottom w:val="single" w:sz="4" w:space="0" w:color="auto"/>
            </w:tcBorders>
          </w:tcPr>
          <w:p w14:paraId="31E414DD" w14:textId="77777777" w:rsidR="00DD57D4" w:rsidRPr="00A65189" w:rsidRDefault="00DD57D4" w:rsidP="00F479EC">
            <w:pPr>
              <w:rPr>
                <w:sz w:val="16"/>
                <w:szCs w:val="16"/>
              </w:rPr>
            </w:pPr>
            <w:r w:rsidRPr="00A65189">
              <w:rPr>
                <w:b/>
                <w:bCs/>
                <w:sz w:val="16"/>
                <w:szCs w:val="16"/>
              </w:rPr>
              <w:t xml:space="preserve">Ketamine treatment </w:t>
            </w:r>
          </w:p>
        </w:tc>
        <w:tc>
          <w:tcPr>
            <w:tcW w:w="1999" w:type="dxa"/>
            <w:tcBorders>
              <w:top w:val="single" w:sz="4" w:space="0" w:color="auto"/>
              <w:bottom w:val="single" w:sz="4" w:space="0" w:color="auto"/>
            </w:tcBorders>
          </w:tcPr>
          <w:p w14:paraId="16014139" w14:textId="77777777" w:rsidR="00DD57D4" w:rsidRPr="00A65189" w:rsidRDefault="00DD57D4" w:rsidP="00F479EC">
            <w:pPr>
              <w:rPr>
                <w:sz w:val="16"/>
                <w:szCs w:val="16"/>
              </w:rPr>
            </w:pPr>
            <w:r w:rsidRPr="00A65189">
              <w:rPr>
                <w:b/>
                <w:bCs/>
                <w:sz w:val="16"/>
                <w:szCs w:val="16"/>
              </w:rPr>
              <w:t xml:space="preserve">Control </w:t>
            </w:r>
          </w:p>
        </w:tc>
        <w:tc>
          <w:tcPr>
            <w:tcW w:w="2428" w:type="dxa"/>
            <w:tcBorders>
              <w:top w:val="single" w:sz="4" w:space="0" w:color="auto"/>
              <w:bottom w:val="single" w:sz="4" w:space="0" w:color="auto"/>
            </w:tcBorders>
          </w:tcPr>
          <w:p w14:paraId="492FE081" w14:textId="77777777" w:rsidR="00DD57D4" w:rsidRPr="00A65189" w:rsidRDefault="00DD57D4" w:rsidP="00F479EC">
            <w:pPr>
              <w:rPr>
                <w:sz w:val="16"/>
                <w:szCs w:val="16"/>
              </w:rPr>
            </w:pPr>
            <w:r w:rsidRPr="00A65189">
              <w:rPr>
                <w:b/>
                <w:bCs/>
                <w:sz w:val="16"/>
                <w:szCs w:val="16"/>
              </w:rPr>
              <w:t xml:space="preserve">Adjunct treatments </w:t>
            </w:r>
          </w:p>
        </w:tc>
        <w:tc>
          <w:tcPr>
            <w:tcW w:w="2088" w:type="dxa"/>
            <w:tcBorders>
              <w:top w:val="single" w:sz="4" w:space="0" w:color="auto"/>
              <w:bottom w:val="single" w:sz="4" w:space="0" w:color="auto"/>
            </w:tcBorders>
          </w:tcPr>
          <w:p w14:paraId="4CC48290" w14:textId="77777777" w:rsidR="00DD57D4" w:rsidRPr="00A65189" w:rsidRDefault="00DD57D4" w:rsidP="00F479EC">
            <w:pPr>
              <w:rPr>
                <w:sz w:val="16"/>
                <w:szCs w:val="16"/>
              </w:rPr>
            </w:pPr>
            <w:r w:rsidRPr="00A65189">
              <w:rPr>
                <w:b/>
                <w:bCs/>
                <w:sz w:val="16"/>
                <w:szCs w:val="16"/>
              </w:rPr>
              <w:t>Outcome measures</w:t>
            </w:r>
          </w:p>
        </w:tc>
        <w:tc>
          <w:tcPr>
            <w:tcW w:w="3219" w:type="dxa"/>
            <w:tcBorders>
              <w:top w:val="single" w:sz="4" w:space="0" w:color="auto"/>
              <w:bottom w:val="single" w:sz="4" w:space="0" w:color="auto"/>
            </w:tcBorders>
          </w:tcPr>
          <w:p w14:paraId="29D1B604" w14:textId="77777777" w:rsidR="00DD57D4" w:rsidRPr="00A65189" w:rsidRDefault="00DD57D4" w:rsidP="00F479EC">
            <w:pPr>
              <w:rPr>
                <w:b/>
                <w:bCs/>
                <w:sz w:val="16"/>
                <w:szCs w:val="16"/>
              </w:rPr>
            </w:pPr>
            <w:r w:rsidRPr="00A65189">
              <w:rPr>
                <w:b/>
                <w:bCs/>
                <w:sz w:val="16"/>
                <w:szCs w:val="16"/>
              </w:rPr>
              <w:t>Results</w:t>
            </w:r>
          </w:p>
        </w:tc>
      </w:tr>
      <w:tr w:rsidR="00DD57D4" w:rsidRPr="00A65189" w14:paraId="66955709" w14:textId="77777777" w:rsidTr="00D53564">
        <w:trPr>
          <w:trHeight w:val="2275"/>
        </w:trPr>
        <w:tc>
          <w:tcPr>
            <w:tcW w:w="2142" w:type="dxa"/>
            <w:tcBorders>
              <w:top w:val="single" w:sz="4" w:space="0" w:color="auto"/>
              <w:bottom w:val="single" w:sz="4" w:space="0" w:color="auto"/>
            </w:tcBorders>
          </w:tcPr>
          <w:p w14:paraId="5D91E444" w14:textId="77777777" w:rsidR="00DD57D4" w:rsidRDefault="00DD57D4" w:rsidP="00F479EC">
            <w:pPr>
              <w:rPr>
                <w:b/>
                <w:bCs/>
                <w:sz w:val="16"/>
                <w:szCs w:val="16"/>
              </w:rPr>
            </w:pPr>
          </w:p>
          <w:p w14:paraId="40EEF206" w14:textId="77777777" w:rsidR="00DD57D4" w:rsidRPr="00A65189" w:rsidRDefault="00DD57D4" w:rsidP="00F479EC">
            <w:pPr>
              <w:rPr>
                <w:b/>
                <w:bCs/>
                <w:sz w:val="16"/>
                <w:szCs w:val="16"/>
              </w:rPr>
            </w:pPr>
            <w:r w:rsidRPr="00A65189">
              <w:rPr>
                <w:b/>
                <w:bCs/>
                <w:sz w:val="16"/>
                <w:szCs w:val="16"/>
              </w:rPr>
              <w:t>Bloch et al., 2012</w:t>
            </w:r>
          </w:p>
          <w:p w14:paraId="29C7AA8B" w14:textId="77777777" w:rsidR="00DD57D4" w:rsidRPr="00A65189" w:rsidRDefault="00DD57D4" w:rsidP="00F479EC">
            <w:pPr>
              <w:rPr>
                <w:sz w:val="16"/>
                <w:szCs w:val="16"/>
              </w:rPr>
            </w:pPr>
            <w:r w:rsidRPr="00A65189">
              <w:rPr>
                <w:sz w:val="16"/>
                <w:szCs w:val="16"/>
              </w:rPr>
              <w:t xml:space="preserve">Open label study </w:t>
            </w:r>
          </w:p>
        </w:tc>
        <w:tc>
          <w:tcPr>
            <w:tcW w:w="1857" w:type="dxa"/>
            <w:tcBorders>
              <w:top w:val="single" w:sz="4" w:space="0" w:color="auto"/>
              <w:bottom w:val="single" w:sz="4" w:space="0" w:color="auto"/>
            </w:tcBorders>
          </w:tcPr>
          <w:p w14:paraId="6BE67295" w14:textId="77777777" w:rsidR="00DD57D4" w:rsidRDefault="00DD57D4" w:rsidP="00F479EC">
            <w:pPr>
              <w:rPr>
                <w:sz w:val="16"/>
                <w:szCs w:val="16"/>
              </w:rPr>
            </w:pPr>
          </w:p>
          <w:p w14:paraId="02C6A10A" w14:textId="77777777" w:rsidR="00DD57D4" w:rsidRPr="00A65189" w:rsidRDefault="00DD57D4" w:rsidP="00F479EC">
            <w:pPr>
              <w:rPr>
                <w:sz w:val="16"/>
                <w:szCs w:val="16"/>
              </w:rPr>
            </w:pPr>
            <w:r w:rsidRPr="00A65189">
              <w:rPr>
                <w:sz w:val="16"/>
                <w:szCs w:val="16"/>
              </w:rPr>
              <w:t>10 patients with severe treatment refractory OCD</w:t>
            </w:r>
          </w:p>
        </w:tc>
        <w:tc>
          <w:tcPr>
            <w:tcW w:w="2285" w:type="dxa"/>
            <w:tcBorders>
              <w:top w:val="single" w:sz="4" w:space="0" w:color="auto"/>
              <w:bottom w:val="single" w:sz="4" w:space="0" w:color="auto"/>
            </w:tcBorders>
          </w:tcPr>
          <w:p w14:paraId="191CA71F" w14:textId="77777777" w:rsidR="00DD57D4" w:rsidRDefault="00DD57D4" w:rsidP="00F479EC">
            <w:pPr>
              <w:rPr>
                <w:sz w:val="16"/>
                <w:szCs w:val="16"/>
              </w:rPr>
            </w:pPr>
          </w:p>
          <w:p w14:paraId="7B44035D" w14:textId="77777777" w:rsidR="00DD57D4" w:rsidRPr="00A65189" w:rsidRDefault="00DD57D4" w:rsidP="00F479EC">
            <w:pPr>
              <w:rPr>
                <w:sz w:val="16"/>
                <w:szCs w:val="16"/>
              </w:rPr>
            </w:pPr>
            <w:r w:rsidRPr="00A65189">
              <w:rPr>
                <w:sz w:val="16"/>
                <w:szCs w:val="16"/>
              </w:rPr>
              <w:t>Single dose 0.5mg/kg IV, 40mins</w:t>
            </w:r>
          </w:p>
        </w:tc>
        <w:tc>
          <w:tcPr>
            <w:tcW w:w="1999" w:type="dxa"/>
            <w:tcBorders>
              <w:top w:val="single" w:sz="4" w:space="0" w:color="auto"/>
              <w:bottom w:val="single" w:sz="4" w:space="0" w:color="auto"/>
            </w:tcBorders>
          </w:tcPr>
          <w:p w14:paraId="7B41F2FA" w14:textId="77777777" w:rsidR="00DD57D4" w:rsidRDefault="00DD57D4" w:rsidP="00F479EC">
            <w:pPr>
              <w:rPr>
                <w:sz w:val="16"/>
                <w:szCs w:val="16"/>
              </w:rPr>
            </w:pPr>
          </w:p>
          <w:p w14:paraId="2C136C1D" w14:textId="77777777" w:rsidR="00DD57D4" w:rsidRPr="00A65189" w:rsidRDefault="00DD57D4" w:rsidP="00F479EC">
            <w:pPr>
              <w:rPr>
                <w:sz w:val="16"/>
                <w:szCs w:val="16"/>
              </w:rPr>
            </w:pPr>
            <w:r w:rsidRPr="00A65189">
              <w:rPr>
                <w:sz w:val="16"/>
                <w:szCs w:val="16"/>
              </w:rPr>
              <w:t>N/A</w:t>
            </w:r>
          </w:p>
        </w:tc>
        <w:tc>
          <w:tcPr>
            <w:tcW w:w="2428" w:type="dxa"/>
            <w:tcBorders>
              <w:top w:val="single" w:sz="4" w:space="0" w:color="auto"/>
              <w:bottom w:val="single" w:sz="4" w:space="0" w:color="auto"/>
            </w:tcBorders>
          </w:tcPr>
          <w:p w14:paraId="002761CA" w14:textId="77777777" w:rsidR="00DD57D4" w:rsidRDefault="00DD57D4" w:rsidP="00F479EC">
            <w:pPr>
              <w:rPr>
                <w:sz w:val="16"/>
                <w:szCs w:val="16"/>
              </w:rPr>
            </w:pPr>
          </w:p>
          <w:p w14:paraId="01DF4047" w14:textId="6D90E058" w:rsidR="00DD57D4" w:rsidRPr="00A4614F" w:rsidRDefault="00A4614F" w:rsidP="00F479EC">
            <w:pPr>
              <w:rPr>
                <w:sz w:val="16"/>
                <w:szCs w:val="16"/>
              </w:rPr>
            </w:pPr>
            <w:r w:rsidRPr="00A4614F">
              <w:rPr>
                <w:rFonts w:ascii="Calibri" w:hAnsi="Calibri" w:cs="Calibri"/>
                <w:sz w:val="16"/>
                <w:szCs w:val="16"/>
              </w:rPr>
              <w:t>7 participants prescribed SRI’s (eg. citalopram &amp; fluvoxamine) 4 out of this 7 taking also taking antipsychotic medication and 1 participant taking n-acetylcysteine and riluzole glutamate-modulating agents</w:t>
            </w:r>
          </w:p>
        </w:tc>
        <w:tc>
          <w:tcPr>
            <w:tcW w:w="2088" w:type="dxa"/>
            <w:tcBorders>
              <w:top w:val="single" w:sz="4" w:space="0" w:color="auto"/>
              <w:bottom w:val="single" w:sz="4" w:space="0" w:color="auto"/>
            </w:tcBorders>
          </w:tcPr>
          <w:p w14:paraId="6CB1989E" w14:textId="77777777" w:rsidR="00DD57D4" w:rsidRDefault="00DD57D4" w:rsidP="00F479EC">
            <w:pPr>
              <w:rPr>
                <w:rFonts w:ascii="Calibri" w:hAnsi="Calibri" w:cs="Calibri"/>
                <w:sz w:val="16"/>
                <w:szCs w:val="16"/>
              </w:rPr>
            </w:pPr>
          </w:p>
          <w:p w14:paraId="7438CFC8" w14:textId="77777777" w:rsidR="00DD57D4" w:rsidRPr="00A65189" w:rsidRDefault="00DD57D4" w:rsidP="00F479EC">
            <w:pPr>
              <w:rPr>
                <w:rFonts w:ascii="Calibri" w:hAnsi="Calibri" w:cs="Calibri"/>
                <w:sz w:val="16"/>
                <w:szCs w:val="16"/>
              </w:rPr>
            </w:pPr>
            <w:r w:rsidRPr="00A65189">
              <w:rPr>
                <w:rFonts w:ascii="Calibri" w:hAnsi="Calibri" w:cs="Calibri"/>
                <w:sz w:val="16"/>
                <w:szCs w:val="16"/>
              </w:rPr>
              <w:t>Yale-Brown Obsessive-Compulsive Scale, Hamilton Depression Rating Scale, Clinical Global Impression scale.</w:t>
            </w:r>
          </w:p>
          <w:p w14:paraId="42882950" w14:textId="77777777" w:rsidR="00DD57D4" w:rsidRPr="00A65189" w:rsidRDefault="00DD57D4" w:rsidP="00F479EC">
            <w:pPr>
              <w:rPr>
                <w:rFonts w:ascii="Calibri" w:hAnsi="Calibri" w:cs="Calibri"/>
                <w:i/>
                <w:iCs/>
                <w:sz w:val="16"/>
                <w:szCs w:val="16"/>
              </w:rPr>
            </w:pPr>
          </w:p>
          <w:p w14:paraId="7CA5AD10" w14:textId="77777777" w:rsidR="00DD57D4" w:rsidRPr="00A65189" w:rsidRDefault="00DD57D4" w:rsidP="00F479EC">
            <w:pPr>
              <w:rPr>
                <w:sz w:val="16"/>
                <w:szCs w:val="16"/>
              </w:rPr>
            </w:pPr>
          </w:p>
        </w:tc>
        <w:tc>
          <w:tcPr>
            <w:tcW w:w="3219" w:type="dxa"/>
            <w:tcBorders>
              <w:top w:val="single" w:sz="4" w:space="0" w:color="auto"/>
              <w:bottom w:val="single" w:sz="4" w:space="0" w:color="auto"/>
            </w:tcBorders>
          </w:tcPr>
          <w:p w14:paraId="7AED3831" w14:textId="77777777" w:rsidR="00DD57D4" w:rsidRDefault="00DD57D4" w:rsidP="00F479EC">
            <w:pPr>
              <w:rPr>
                <w:rFonts w:ascii="Calibri" w:hAnsi="Calibri" w:cs="Calibri"/>
                <w:sz w:val="16"/>
                <w:szCs w:val="16"/>
              </w:rPr>
            </w:pPr>
          </w:p>
          <w:p w14:paraId="7991B9E4" w14:textId="77777777" w:rsidR="00DD57D4" w:rsidRPr="00A65189" w:rsidRDefault="00DD57D4" w:rsidP="00F479EC">
            <w:pPr>
              <w:rPr>
                <w:sz w:val="16"/>
                <w:szCs w:val="16"/>
              </w:rPr>
            </w:pPr>
            <w:r w:rsidRPr="00A65189">
              <w:rPr>
                <w:rFonts w:ascii="Calibri" w:hAnsi="Calibri" w:cs="Calibri"/>
                <w:sz w:val="16"/>
                <w:szCs w:val="16"/>
              </w:rPr>
              <w:t xml:space="preserve">Statistically significant </w:t>
            </w:r>
            <w:r w:rsidRPr="00A65189">
              <w:rPr>
                <w:rFonts w:ascii="Calibri" w:hAnsi="Calibri" w:cs="Calibri"/>
                <w:sz w:val="16"/>
                <w:szCs w:val="16"/>
                <w:u w:val="single"/>
              </w:rPr>
              <w:t>acute</w:t>
            </w:r>
            <w:r w:rsidRPr="00A65189">
              <w:rPr>
                <w:rFonts w:ascii="Calibri" w:hAnsi="Calibri" w:cs="Calibri"/>
                <w:sz w:val="16"/>
                <w:szCs w:val="16"/>
              </w:rPr>
              <w:t xml:space="preserve"> improvement in OCD symptoms over initial 3 days post-infusion. However, 0% </w:t>
            </w:r>
            <w:r w:rsidRPr="00A06F3E">
              <w:rPr>
                <w:rFonts w:ascii="Calibri" w:hAnsi="Calibri" w:cs="Calibri"/>
                <w:sz w:val="16"/>
                <w:szCs w:val="16"/>
                <w:u w:val="single"/>
              </w:rPr>
              <w:t>response</w:t>
            </w:r>
            <w:r w:rsidRPr="00A65189">
              <w:rPr>
                <w:rFonts w:ascii="Calibri" w:hAnsi="Calibri" w:cs="Calibri"/>
                <w:sz w:val="16"/>
                <w:szCs w:val="16"/>
              </w:rPr>
              <w:t xml:space="preserve"> to ketamine treatment (defined as 35% improvement in Y-BOCS at any stage across initial 1-3day period post-infusion. </w:t>
            </w:r>
            <w:r>
              <w:rPr>
                <w:rFonts w:ascii="Calibri" w:hAnsi="Calibri" w:cs="Calibri"/>
                <w:sz w:val="16"/>
                <w:szCs w:val="16"/>
              </w:rPr>
              <w:t>Statistically sig. i</w:t>
            </w:r>
            <w:r w:rsidRPr="00A65189">
              <w:rPr>
                <w:rFonts w:ascii="Calibri" w:hAnsi="Calibri" w:cs="Calibri"/>
                <w:sz w:val="16"/>
                <w:szCs w:val="16"/>
              </w:rPr>
              <w:t>mprovement in OCD symptoms 1-7 days post-infusio</w:t>
            </w:r>
            <w:r>
              <w:rPr>
                <w:rFonts w:ascii="Calibri" w:hAnsi="Calibri" w:cs="Calibri"/>
                <w:sz w:val="16"/>
                <w:szCs w:val="16"/>
              </w:rPr>
              <w:t>n</w:t>
            </w:r>
            <w:r w:rsidRPr="00A65189">
              <w:rPr>
                <w:rFonts w:ascii="Calibri" w:hAnsi="Calibri" w:cs="Calibri"/>
                <w:sz w:val="16"/>
                <w:szCs w:val="16"/>
              </w:rPr>
              <w:t xml:space="preserve">, </w:t>
            </w:r>
            <w:r>
              <w:rPr>
                <w:rFonts w:ascii="Calibri" w:hAnsi="Calibri" w:cs="Calibri"/>
                <w:sz w:val="16"/>
                <w:szCs w:val="16"/>
              </w:rPr>
              <w:t>al</w:t>
            </w:r>
            <w:r w:rsidRPr="00A65189">
              <w:rPr>
                <w:rFonts w:ascii="Calibri" w:hAnsi="Calibri" w:cs="Calibri"/>
                <w:sz w:val="16"/>
                <w:szCs w:val="16"/>
              </w:rPr>
              <w:t>though only &lt;12% overall, relative to 60% symptom reduction within the initial 1-hour period post-infusion (suggests only transient effect)</w:t>
            </w:r>
          </w:p>
        </w:tc>
      </w:tr>
      <w:tr w:rsidR="00DD57D4" w14:paraId="65CA2953" w14:textId="77777777" w:rsidTr="00D53564">
        <w:trPr>
          <w:trHeight w:val="1685"/>
        </w:trPr>
        <w:tc>
          <w:tcPr>
            <w:tcW w:w="2142" w:type="dxa"/>
            <w:tcBorders>
              <w:top w:val="single" w:sz="4" w:space="0" w:color="auto"/>
              <w:bottom w:val="single" w:sz="4" w:space="0" w:color="auto"/>
            </w:tcBorders>
          </w:tcPr>
          <w:p w14:paraId="0A38F42D" w14:textId="77777777" w:rsidR="00DD57D4" w:rsidRPr="00386667" w:rsidRDefault="00DD57D4" w:rsidP="00F479EC">
            <w:pPr>
              <w:rPr>
                <w:b/>
                <w:bCs/>
                <w:sz w:val="16"/>
                <w:szCs w:val="16"/>
              </w:rPr>
            </w:pPr>
            <w:r w:rsidRPr="00386667">
              <w:rPr>
                <w:b/>
                <w:bCs/>
                <w:sz w:val="16"/>
                <w:szCs w:val="16"/>
              </w:rPr>
              <w:t xml:space="preserve">Rodriguez et al., 2013 </w:t>
            </w:r>
          </w:p>
          <w:p w14:paraId="5294DB74" w14:textId="77777777" w:rsidR="00DD57D4" w:rsidRDefault="00DD57D4" w:rsidP="00F479EC">
            <w:pPr>
              <w:rPr>
                <w:sz w:val="16"/>
                <w:szCs w:val="16"/>
              </w:rPr>
            </w:pPr>
            <w:r w:rsidRPr="00386667">
              <w:rPr>
                <w:sz w:val="16"/>
                <w:szCs w:val="16"/>
              </w:rPr>
              <w:t>Randomised controlled crossover trial</w:t>
            </w:r>
          </w:p>
          <w:p w14:paraId="1467A662" w14:textId="77777777" w:rsidR="00FE5075" w:rsidRDefault="00FE5075" w:rsidP="00F479EC">
            <w:pPr>
              <w:rPr>
                <w:b/>
                <w:bCs/>
                <w:sz w:val="16"/>
                <w:szCs w:val="16"/>
              </w:rPr>
            </w:pPr>
          </w:p>
          <w:p w14:paraId="6B4AAAED" w14:textId="77777777" w:rsidR="00FE5075" w:rsidRDefault="00FE5075" w:rsidP="00F479EC">
            <w:pPr>
              <w:rPr>
                <w:b/>
                <w:bCs/>
                <w:sz w:val="16"/>
                <w:szCs w:val="16"/>
              </w:rPr>
            </w:pPr>
          </w:p>
          <w:p w14:paraId="5DD45ECC" w14:textId="77777777" w:rsidR="00FE5075" w:rsidRDefault="00FE5075" w:rsidP="00F479EC">
            <w:pPr>
              <w:rPr>
                <w:b/>
                <w:bCs/>
                <w:sz w:val="16"/>
                <w:szCs w:val="16"/>
              </w:rPr>
            </w:pPr>
          </w:p>
          <w:p w14:paraId="03C8FFC5" w14:textId="77777777" w:rsidR="00FE5075" w:rsidRDefault="00FE5075" w:rsidP="00F479EC">
            <w:pPr>
              <w:rPr>
                <w:b/>
                <w:bCs/>
                <w:sz w:val="16"/>
                <w:szCs w:val="16"/>
              </w:rPr>
            </w:pPr>
          </w:p>
          <w:p w14:paraId="5E022BBE" w14:textId="77777777" w:rsidR="00FE5075" w:rsidRDefault="00FE5075" w:rsidP="00F479EC">
            <w:pPr>
              <w:rPr>
                <w:b/>
                <w:bCs/>
                <w:sz w:val="16"/>
                <w:szCs w:val="16"/>
              </w:rPr>
            </w:pPr>
          </w:p>
          <w:p w14:paraId="1A791554" w14:textId="77777777" w:rsidR="00FE5075" w:rsidRDefault="00FE5075" w:rsidP="00F479EC">
            <w:pPr>
              <w:rPr>
                <w:b/>
                <w:bCs/>
                <w:sz w:val="16"/>
                <w:szCs w:val="16"/>
              </w:rPr>
            </w:pPr>
          </w:p>
          <w:p w14:paraId="108818E2" w14:textId="77777777" w:rsidR="00FE5075" w:rsidRDefault="00FE5075" w:rsidP="00F479EC">
            <w:pPr>
              <w:rPr>
                <w:b/>
                <w:bCs/>
                <w:sz w:val="16"/>
                <w:szCs w:val="16"/>
              </w:rPr>
            </w:pPr>
          </w:p>
          <w:p w14:paraId="5BA811FF" w14:textId="77777777" w:rsidR="00FE5075" w:rsidRDefault="00FE5075" w:rsidP="00F479EC">
            <w:pPr>
              <w:rPr>
                <w:b/>
                <w:bCs/>
                <w:sz w:val="16"/>
                <w:szCs w:val="16"/>
              </w:rPr>
            </w:pPr>
          </w:p>
          <w:p w14:paraId="45FC1825" w14:textId="42C2FC6D" w:rsidR="00FE5075" w:rsidRPr="00386667" w:rsidRDefault="00FE5075" w:rsidP="00F479EC">
            <w:pPr>
              <w:rPr>
                <w:b/>
                <w:bCs/>
                <w:sz w:val="16"/>
                <w:szCs w:val="16"/>
              </w:rPr>
            </w:pPr>
          </w:p>
        </w:tc>
        <w:tc>
          <w:tcPr>
            <w:tcW w:w="1857" w:type="dxa"/>
            <w:tcBorders>
              <w:top w:val="single" w:sz="4" w:space="0" w:color="auto"/>
              <w:bottom w:val="single" w:sz="4" w:space="0" w:color="auto"/>
            </w:tcBorders>
          </w:tcPr>
          <w:p w14:paraId="73372D50" w14:textId="77777777" w:rsidR="00DD57D4" w:rsidRDefault="00DD57D4" w:rsidP="00F479EC">
            <w:pPr>
              <w:rPr>
                <w:sz w:val="16"/>
                <w:szCs w:val="16"/>
              </w:rPr>
            </w:pPr>
          </w:p>
          <w:p w14:paraId="558D1FBD" w14:textId="77777777" w:rsidR="00DD57D4" w:rsidRDefault="00DD57D4" w:rsidP="00F479EC">
            <w:pPr>
              <w:rPr>
                <w:sz w:val="16"/>
                <w:szCs w:val="16"/>
              </w:rPr>
            </w:pPr>
            <w:r w:rsidRPr="00386667">
              <w:rPr>
                <w:sz w:val="16"/>
                <w:szCs w:val="16"/>
              </w:rPr>
              <w:t>15 outpatients with a principle diagnosis of OCD</w:t>
            </w:r>
          </w:p>
          <w:p w14:paraId="14A33846" w14:textId="77777777" w:rsidR="00FE5075" w:rsidRDefault="00FE5075" w:rsidP="00F479EC">
            <w:pPr>
              <w:rPr>
                <w:sz w:val="16"/>
                <w:szCs w:val="16"/>
              </w:rPr>
            </w:pPr>
          </w:p>
          <w:p w14:paraId="63EF9346" w14:textId="77777777" w:rsidR="00FE5075" w:rsidRDefault="00FE5075" w:rsidP="00F479EC">
            <w:pPr>
              <w:rPr>
                <w:sz w:val="16"/>
                <w:szCs w:val="16"/>
              </w:rPr>
            </w:pPr>
          </w:p>
          <w:p w14:paraId="26D24927" w14:textId="75426FC9" w:rsidR="00FE5075" w:rsidRPr="00FE5075" w:rsidRDefault="00FE5075" w:rsidP="00FE5075">
            <w:pPr>
              <w:rPr>
                <w:rFonts w:ascii="Calibri" w:hAnsi="Calibri" w:cs="Calibri"/>
                <w:sz w:val="16"/>
                <w:szCs w:val="16"/>
              </w:rPr>
            </w:pPr>
          </w:p>
        </w:tc>
        <w:tc>
          <w:tcPr>
            <w:tcW w:w="2285" w:type="dxa"/>
            <w:tcBorders>
              <w:top w:val="single" w:sz="4" w:space="0" w:color="auto"/>
              <w:bottom w:val="single" w:sz="4" w:space="0" w:color="auto"/>
            </w:tcBorders>
          </w:tcPr>
          <w:p w14:paraId="6C4D3701" w14:textId="77777777" w:rsidR="00DD57D4" w:rsidRDefault="00DD57D4" w:rsidP="00F479EC">
            <w:pPr>
              <w:rPr>
                <w:sz w:val="16"/>
                <w:szCs w:val="16"/>
              </w:rPr>
            </w:pPr>
          </w:p>
          <w:p w14:paraId="7CB0A7E8" w14:textId="77777777" w:rsidR="00DD57D4" w:rsidRDefault="00DD57D4" w:rsidP="00F479EC">
            <w:pPr>
              <w:rPr>
                <w:sz w:val="16"/>
                <w:szCs w:val="16"/>
              </w:rPr>
            </w:pPr>
            <w:r>
              <w:rPr>
                <w:sz w:val="16"/>
                <w:szCs w:val="16"/>
              </w:rPr>
              <w:t>(</w:t>
            </w:r>
            <w:r w:rsidRPr="0030547E">
              <w:rPr>
                <w:color w:val="000000" w:themeColor="text1"/>
                <w:sz w:val="16"/>
                <w:szCs w:val="16"/>
              </w:rPr>
              <w:t>x2</w:t>
            </w:r>
            <w:r>
              <w:rPr>
                <w:sz w:val="16"/>
                <w:szCs w:val="16"/>
              </w:rPr>
              <w:t xml:space="preserve">) </w:t>
            </w:r>
            <w:r w:rsidRPr="00386667">
              <w:rPr>
                <w:sz w:val="16"/>
                <w:szCs w:val="16"/>
              </w:rPr>
              <w:t>Single dose 0.5mg/kg IV, 40mins</w:t>
            </w:r>
            <w:r>
              <w:rPr>
                <w:sz w:val="16"/>
                <w:szCs w:val="16"/>
              </w:rPr>
              <w:t xml:space="preserve"> (n=8)</w:t>
            </w:r>
          </w:p>
          <w:p w14:paraId="7E926E27" w14:textId="77777777" w:rsidR="00FE5075" w:rsidRDefault="00FE5075" w:rsidP="00F479EC">
            <w:pPr>
              <w:rPr>
                <w:sz w:val="16"/>
                <w:szCs w:val="16"/>
              </w:rPr>
            </w:pPr>
          </w:p>
          <w:p w14:paraId="4854E529" w14:textId="77777777" w:rsidR="00FE5075" w:rsidRDefault="00FE5075" w:rsidP="00F479EC">
            <w:pPr>
              <w:rPr>
                <w:sz w:val="16"/>
                <w:szCs w:val="16"/>
              </w:rPr>
            </w:pPr>
          </w:p>
          <w:p w14:paraId="17AC97C1" w14:textId="77777777" w:rsidR="00FE5075" w:rsidRDefault="00FE5075" w:rsidP="00F479EC">
            <w:pPr>
              <w:rPr>
                <w:sz w:val="16"/>
                <w:szCs w:val="16"/>
              </w:rPr>
            </w:pPr>
          </w:p>
          <w:p w14:paraId="521901AE" w14:textId="77777777" w:rsidR="00FE5075" w:rsidRDefault="00FE5075" w:rsidP="00F479EC">
            <w:pPr>
              <w:rPr>
                <w:sz w:val="16"/>
                <w:szCs w:val="16"/>
              </w:rPr>
            </w:pPr>
          </w:p>
          <w:p w14:paraId="6D577D02" w14:textId="77777777" w:rsidR="00FE5075" w:rsidRDefault="00FE5075" w:rsidP="00F479EC">
            <w:pPr>
              <w:rPr>
                <w:sz w:val="16"/>
                <w:szCs w:val="16"/>
              </w:rPr>
            </w:pPr>
          </w:p>
          <w:p w14:paraId="1A0E16D1" w14:textId="77777777" w:rsidR="00FE5075" w:rsidRDefault="00FE5075" w:rsidP="00F479EC">
            <w:pPr>
              <w:rPr>
                <w:sz w:val="16"/>
                <w:szCs w:val="16"/>
              </w:rPr>
            </w:pPr>
          </w:p>
          <w:p w14:paraId="4AAC1AFE" w14:textId="77777777" w:rsidR="00FE5075" w:rsidRDefault="00FE5075" w:rsidP="00F479EC">
            <w:pPr>
              <w:rPr>
                <w:sz w:val="16"/>
                <w:szCs w:val="16"/>
              </w:rPr>
            </w:pPr>
          </w:p>
          <w:p w14:paraId="69441965" w14:textId="0228CF6C" w:rsidR="00FE5075" w:rsidRPr="00FE5075" w:rsidRDefault="00FE5075" w:rsidP="00F479EC">
            <w:pPr>
              <w:rPr>
                <w:sz w:val="16"/>
                <w:szCs w:val="16"/>
              </w:rPr>
            </w:pPr>
          </w:p>
        </w:tc>
        <w:tc>
          <w:tcPr>
            <w:tcW w:w="1999" w:type="dxa"/>
            <w:tcBorders>
              <w:top w:val="single" w:sz="4" w:space="0" w:color="auto"/>
              <w:bottom w:val="single" w:sz="4" w:space="0" w:color="auto"/>
            </w:tcBorders>
          </w:tcPr>
          <w:p w14:paraId="748F3797" w14:textId="77777777" w:rsidR="00DD57D4" w:rsidRDefault="00DD57D4" w:rsidP="00F479EC">
            <w:pPr>
              <w:rPr>
                <w:sz w:val="16"/>
                <w:szCs w:val="16"/>
              </w:rPr>
            </w:pPr>
          </w:p>
          <w:p w14:paraId="274B5A3B" w14:textId="77777777" w:rsidR="00DD57D4" w:rsidRDefault="00DD57D4" w:rsidP="00F479EC">
            <w:pPr>
              <w:rPr>
                <w:sz w:val="16"/>
                <w:szCs w:val="16"/>
              </w:rPr>
            </w:pPr>
            <w:r w:rsidRPr="00386667">
              <w:rPr>
                <w:sz w:val="16"/>
                <w:szCs w:val="16"/>
              </w:rPr>
              <w:t xml:space="preserve">Single dose </w:t>
            </w:r>
            <w:r>
              <w:rPr>
                <w:sz w:val="16"/>
                <w:szCs w:val="16"/>
              </w:rPr>
              <w:t xml:space="preserve">placebo </w:t>
            </w:r>
            <w:r w:rsidRPr="00386667">
              <w:rPr>
                <w:sz w:val="16"/>
                <w:szCs w:val="16"/>
              </w:rPr>
              <w:t>saline</w:t>
            </w:r>
            <w:r>
              <w:rPr>
                <w:sz w:val="16"/>
                <w:szCs w:val="16"/>
              </w:rPr>
              <w:t xml:space="preserve"> (n=7)</w:t>
            </w:r>
          </w:p>
          <w:p w14:paraId="48005276" w14:textId="77777777" w:rsidR="00FE5075" w:rsidRDefault="00FE5075" w:rsidP="00F479EC">
            <w:pPr>
              <w:rPr>
                <w:sz w:val="16"/>
                <w:szCs w:val="16"/>
              </w:rPr>
            </w:pPr>
          </w:p>
          <w:p w14:paraId="35549E62" w14:textId="3C4885F8" w:rsidR="00FE5075" w:rsidRPr="00386667" w:rsidRDefault="00FE5075" w:rsidP="00F479EC">
            <w:pPr>
              <w:rPr>
                <w:sz w:val="16"/>
                <w:szCs w:val="16"/>
              </w:rPr>
            </w:pPr>
          </w:p>
        </w:tc>
        <w:tc>
          <w:tcPr>
            <w:tcW w:w="2428" w:type="dxa"/>
            <w:tcBorders>
              <w:top w:val="single" w:sz="4" w:space="0" w:color="auto"/>
              <w:bottom w:val="single" w:sz="4" w:space="0" w:color="auto"/>
            </w:tcBorders>
          </w:tcPr>
          <w:p w14:paraId="0A4CD944" w14:textId="77777777" w:rsidR="00DD57D4" w:rsidRDefault="00DD57D4" w:rsidP="00F479EC">
            <w:pPr>
              <w:rPr>
                <w:sz w:val="16"/>
                <w:szCs w:val="16"/>
              </w:rPr>
            </w:pPr>
          </w:p>
          <w:p w14:paraId="2B292E92" w14:textId="77777777" w:rsidR="00DD57D4" w:rsidRDefault="00DD57D4" w:rsidP="00F479EC">
            <w:pPr>
              <w:rPr>
                <w:sz w:val="16"/>
                <w:szCs w:val="16"/>
              </w:rPr>
            </w:pPr>
            <w:r>
              <w:rPr>
                <w:sz w:val="16"/>
                <w:szCs w:val="16"/>
              </w:rPr>
              <w:t>N/A</w:t>
            </w:r>
          </w:p>
          <w:p w14:paraId="37BBFF94" w14:textId="77777777" w:rsidR="00FE5075" w:rsidRDefault="00FE5075" w:rsidP="00F479EC">
            <w:pPr>
              <w:rPr>
                <w:sz w:val="16"/>
                <w:szCs w:val="16"/>
              </w:rPr>
            </w:pPr>
          </w:p>
          <w:p w14:paraId="4137BA01" w14:textId="1EA78EFF" w:rsidR="00FE5075" w:rsidRDefault="00FE5075" w:rsidP="00754DEA">
            <w:pPr>
              <w:rPr>
                <w:sz w:val="16"/>
                <w:szCs w:val="16"/>
              </w:rPr>
            </w:pPr>
          </w:p>
        </w:tc>
        <w:tc>
          <w:tcPr>
            <w:tcW w:w="2088" w:type="dxa"/>
            <w:tcBorders>
              <w:top w:val="single" w:sz="4" w:space="0" w:color="auto"/>
              <w:bottom w:val="single" w:sz="4" w:space="0" w:color="auto"/>
            </w:tcBorders>
          </w:tcPr>
          <w:p w14:paraId="11E789F7" w14:textId="77777777" w:rsidR="00DD57D4" w:rsidRDefault="00DD57D4" w:rsidP="00F479EC">
            <w:pPr>
              <w:rPr>
                <w:sz w:val="16"/>
                <w:szCs w:val="16"/>
              </w:rPr>
            </w:pPr>
          </w:p>
          <w:p w14:paraId="2B92D8B0" w14:textId="77777777" w:rsidR="00DD57D4" w:rsidRDefault="00DD57D4" w:rsidP="00F479EC">
            <w:pPr>
              <w:rPr>
                <w:sz w:val="16"/>
                <w:szCs w:val="16"/>
              </w:rPr>
            </w:pPr>
            <w:r>
              <w:rPr>
                <w:sz w:val="16"/>
                <w:szCs w:val="16"/>
              </w:rPr>
              <w:t>OCD-VAS and Yale-Brown Obsessive-Compulsive Scale.</w:t>
            </w:r>
          </w:p>
          <w:p w14:paraId="7AA474C9" w14:textId="18616530" w:rsidR="00AA0EF5" w:rsidRDefault="00AA0EF5" w:rsidP="00754DEA">
            <w:pPr>
              <w:rPr>
                <w:sz w:val="16"/>
                <w:szCs w:val="16"/>
              </w:rPr>
            </w:pPr>
          </w:p>
        </w:tc>
        <w:tc>
          <w:tcPr>
            <w:tcW w:w="3219" w:type="dxa"/>
            <w:tcBorders>
              <w:top w:val="single" w:sz="4" w:space="0" w:color="auto"/>
              <w:bottom w:val="single" w:sz="4" w:space="0" w:color="auto"/>
            </w:tcBorders>
          </w:tcPr>
          <w:p w14:paraId="12213BBB" w14:textId="77777777" w:rsidR="00DD57D4" w:rsidRPr="00FE5075" w:rsidRDefault="00DD57D4" w:rsidP="00F479EC">
            <w:pPr>
              <w:rPr>
                <w:sz w:val="16"/>
                <w:szCs w:val="16"/>
              </w:rPr>
            </w:pPr>
          </w:p>
          <w:p w14:paraId="1FFD4063" w14:textId="77777777" w:rsidR="00DD57D4" w:rsidRPr="00FE5075" w:rsidRDefault="00DD57D4" w:rsidP="00F479EC">
            <w:pPr>
              <w:rPr>
                <w:sz w:val="16"/>
                <w:szCs w:val="16"/>
              </w:rPr>
            </w:pPr>
            <w:r w:rsidRPr="00FE5075">
              <w:rPr>
                <w:sz w:val="16"/>
                <w:szCs w:val="16"/>
              </w:rPr>
              <w:t>Significant improvement in OCD-VAS score amongst ketamine group during infusion, relative to controls. At one -week follow-up, 50% of participants in ketamine group reached criteria indexing ‘treatment response’ (</w:t>
            </w:r>
            <w:r w:rsidRPr="00FE5075">
              <w:rPr>
                <w:rFonts w:ascii="Arial" w:hAnsi="Arial" w:cs="Arial"/>
                <w:color w:val="202124"/>
                <w:sz w:val="16"/>
                <w:szCs w:val="16"/>
                <w:shd w:val="clear" w:color="auto" w:fill="FFFFFF"/>
              </w:rPr>
              <w:t>≥</w:t>
            </w:r>
            <w:r w:rsidRPr="00FE5075">
              <w:rPr>
                <w:sz w:val="16"/>
                <w:szCs w:val="16"/>
              </w:rPr>
              <w:t>35% Y-BOCS reduction), whereas 0% of controls met ‘response’ criteria.</w:t>
            </w:r>
          </w:p>
          <w:p w14:paraId="519BEC6E" w14:textId="70C244A3" w:rsidR="00FE5075" w:rsidRPr="00FE5075" w:rsidRDefault="00FE5075" w:rsidP="00754DEA">
            <w:pPr>
              <w:rPr>
                <w:sz w:val="16"/>
                <w:szCs w:val="16"/>
              </w:rPr>
            </w:pPr>
          </w:p>
        </w:tc>
      </w:tr>
    </w:tbl>
    <w:p w14:paraId="63C82EC0" w14:textId="414D07E3" w:rsidR="00DD57D4" w:rsidRDefault="00DD57D4">
      <w:pPr>
        <w:rPr>
          <w:sz w:val="16"/>
          <w:szCs w:val="16"/>
        </w:rPr>
      </w:pPr>
    </w:p>
    <w:p w14:paraId="73DD9F55" w14:textId="77777777" w:rsidR="00DD57D4" w:rsidRPr="00386667" w:rsidRDefault="00DD57D4">
      <w:pPr>
        <w:rPr>
          <w:sz w:val="16"/>
          <w:szCs w:val="16"/>
        </w:rPr>
      </w:pPr>
      <w:bookmarkStart w:id="0" w:name="_GoBack"/>
      <w:bookmarkEnd w:id="0"/>
    </w:p>
    <w:sectPr w:rsidR="00DD57D4" w:rsidRPr="00386667" w:rsidSect="00490F13">
      <w:pgSz w:w="16840" w:h="15876"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28D"/>
    <w:rsid w:val="0001040B"/>
    <w:rsid w:val="000267A1"/>
    <w:rsid w:val="00034B17"/>
    <w:rsid w:val="0005196F"/>
    <w:rsid w:val="000D7012"/>
    <w:rsid w:val="000E4175"/>
    <w:rsid w:val="00114AD2"/>
    <w:rsid w:val="00126329"/>
    <w:rsid w:val="001766DD"/>
    <w:rsid w:val="00177FDB"/>
    <w:rsid w:val="00197180"/>
    <w:rsid w:val="001A239E"/>
    <w:rsid w:val="001B3F6A"/>
    <w:rsid w:val="001C4E25"/>
    <w:rsid w:val="001E05A9"/>
    <w:rsid w:val="00225879"/>
    <w:rsid w:val="002557DE"/>
    <w:rsid w:val="00261AA1"/>
    <w:rsid w:val="0028730E"/>
    <w:rsid w:val="002A6C7A"/>
    <w:rsid w:val="002B2031"/>
    <w:rsid w:val="002C7FA0"/>
    <w:rsid w:val="002D1047"/>
    <w:rsid w:val="002F5F1E"/>
    <w:rsid w:val="0030547E"/>
    <w:rsid w:val="00313130"/>
    <w:rsid w:val="00313DD5"/>
    <w:rsid w:val="00332608"/>
    <w:rsid w:val="00341DE8"/>
    <w:rsid w:val="00386667"/>
    <w:rsid w:val="003B0CF0"/>
    <w:rsid w:val="003B2E63"/>
    <w:rsid w:val="00415BBA"/>
    <w:rsid w:val="00431828"/>
    <w:rsid w:val="00484117"/>
    <w:rsid w:val="00490F13"/>
    <w:rsid w:val="004A5A2F"/>
    <w:rsid w:val="004A6BFA"/>
    <w:rsid w:val="004C6B56"/>
    <w:rsid w:val="005400DE"/>
    <w:rsid w:val="00542925"/>
    <w:rsid w:val="005663AD"/>
    <w:rsid w:val="00574051"/>
    <w:rsid w:val="005767A1"/>
    <w:rsid w:val="0059672B"/>
    <w:rsid w:val="005D460B"/>
    <w:rsid w:val="005F3082"/>
    <w:rsid w:val="005F5D0D"/>
    <w:rsid w:val="00603666"/>
    <w:rsid w:val="006210D3"/>
    <w:rsid w:val="006248C9"/>
    <w:rsid w:val="006829E7"/>
    <w:rsid w:val="006925DC"/>
    <w:rsid w:val="006A43C0"/>
    <w:rsid w:val="006C6A7C"/>
    <w:rsid w:val="006E0562"/>
    <w:rsid w:val="006F146D"/>
    <w:rsid w:val="006F6432"/>
    <w:rsid w:val="006F6E0F"/>
    <w:rsid w:val="00754DEA"/>
    <w:rsid w:val="007955F4"/>
    <w:rsid w:val="007A08E3"/>
    <w:rsid w:val="0081528D"/>
    <w:rsid w:val="0083445F"/>
    <w:rsid w:val="00861874"/>
    <w:rsid w:val="008C2EC8"/>
    <w:rsid w:val="008E1F4A"/>
    <w:rsid w:val="00900082"/>
    <w:rsid w:val="0091139E"/>
    <w:rsid w:val="00930EEB"/>
    <w:rsid w:val="00952447"/>
    <w:rsid w:val="00970C8A"/>
    <w:rsid w:val="009831F9"/>
    <w:rsid w:val="00997B90"/>
    <w:rsid w:val="009E5B48"/>
    <w:rsid w:val="009F5913"/>
    <w:rsid w:val="009F7ED4"/>
    <w:rsid w:val="00A038E6"/>
    <w:rsid w:val="00A06F3E"/>
    <w:rsid w:val="00A1028D"/>
    <w:rsid w:val="00A2108E"/>
    <w:rsid w:val="00A4614F"/>
    <w:rsid w:val="00A65189"/>
    <w:rsid w:val="00A8316F"/>
    <w:rsid w:val="00A8545E"/>
    <w:rsid w:val="00A953BB"/>
    <w:rsid w:val="00AA0EF5"/>
    <w:rsid w:val="00AB496F"/>
    <w:rsid w:val="00AD24DE"/>
    <w:rsid w:val="00AD2FD4"/>
    <w:rsid w:val="00AE0587"/>
    <w:rsid w:val="00B2358A"/>
    <w:rsid w:val="00B5706C"/>
    <w:rsid w:val="00B7072D"/>
    <w:rsid w:val="00BC11D9"/>
    <w:rsid w:val="00BF19E2"/>
    <w:rsid w:val="00C060D3"/>
    <w:rsid w:val="00C0727F"/>
    <w:rsid w:val="00C24A93"/>
    <w:rsid w:val="00C3571F"/>
    <w:rsid w:val="00C5004D"/>
    <w:rsid w:val="00C52FC6"/>
    <w:rsid w:val="00C8137D"/>
    <w:rsid w:val="00C97F05"/>
    <w:rsid w:val="00CA21D3"/>
    <w:rsid w:val="00CD547F"/>
    <w:rsid w:val="00CE3573"/>
    <w:rsid w:val="00CF2B80"/>
    <w:rsid w:val="00D23556"/>
    <w:rsid w:val="00D252D3"/>
    <w:rsid w:val="00D40F70"/>
    <w:rsid w:val="00D53564"/>
    <w:rsid w:val="00D57701"/>
    <w:rsid w:val="00D62F0D"/>
    <w:rsid w:val="00D93AC7"/>
    <w:rsid w:val="00D951D5"/>
    <w:rsid w:val="00D969FD"/>
    <w:rsid w:val="00DD57D4"/>
    <w:rsid w:val="00DF72AD"/>
    <w:rsid w:val="00E11421"/>
    <w:rsid w:val="00E15583"/>
    <w:rsid w:val="00E16433"/>
    <w:rsid w:val="00E204E1"/>
    <w:rsid w:val="00E20775"/>
    <w:rsid w:val="00E73172"/>
    <w:rsid w:val="00EB1648"/>
    <w:rsid w:val="00EB5E0F"/>
    <w:rsid w:val="00EF64F8"/>
    <w:rsid w:val="00EF79FA"/>
    <w:rsid w:val="00F108C5"/>
    <w:rsid w:val="00F1260F"/>
    <w:rsid w:val="00F17D33"/>
    <w:rsid w:val="00F3374B"/>
    <w:rsid w:val="00F339C7"/>
    <w:rsid w:val="00F376FA"/>
    <w:rsid w:val="00F4778E"/>
    <w:rsid w:val="00F479EC"/>
    <w:rsid w:val="00F63B63"/>
    <w:rsid w:val="00F97E94"/>
    <w:rsid w:val="00FE3AC6"/>
    <w:rsid w:val="00FE50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ECBB7"/>
  <w15:chartTrackingRefBased/>
  <w15:docId w15:val="{361B79F7-9B2A-4759-8380-9221E2A2A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02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F64F8"/>
    <w:rPr>
      <w:sz w:val="16"/>
      <w:szCs w:val="16"/>
    </w:rPr>
  </w:style>
  <w:style w:type="paragraph" w:styleId="CommentText">
    <w:name w:val="annotation text"/>
    <w:basedOn w:val="Normal"/>
    <w:link w:val="CommentTextChar"/>
    <w:uiPriority w:val="99"/>
    <w:semiHidden/>
    <w:unhideWhenUsed/>
    <w:rsid w:val="00EF64F8"/>
    <w:pPr>
      <w:spacing w:line="240" w:lineRule="auto"/>
    </w:pPr>
    <w:rPr>
      <w:sz w:val="20"/>
      <w:szCs w:val="20"/>
    </w:rPr>
  </w:style>
  <w:style w:type="character" w:customStyle="1" w:styleId="CommentTextChar">
    <w:name w:val="Comment Text Char"/>
    <w:basedOn w:val="DefaultParagraphFont"/>
    <w:link w:val="CommentText"/>
    <w:uiPriority w:val="99"/>
    <w:semiHidden/>
    <w:rsid w:val="00EF64F8"/>
    <w:rPr>
      <w:sz w:val="20"/>
      <w:szCs w:val="20"/>
    </w:rPr>
  </w:style>
  <w:style w:type="paragraph" w:styleId="CommentSubject">
    <w:name w:val="annotation subject"/>
    <w:basedOn w:val="CommentText"/>
    <w:next w:val="CommentText"/>
    <w:link w:val="CommentSubjectChar"/>
    <w:uiPriority w:val="99"/>
    <w:semiHidden/>
    <w:unhideWhenUsed/>
    <w:rsid w:val="00EF64F8"/>
    <w:rPr>
      <w:b/>
      <w:bCs/>
    </w:rPr>
  </w:style>
  <w:style w:type="character" w:customStyle="1" w:styleId="CommentSubjectChar">
    <w:name w:val="Comment Subject Char"/>
    <w:basedOn w:val="CommentTextChar"/>
    <w:link w:val="CommentSubject"/>
    <w:uiPriority w:val="99"/>
    <w:semiHidden/>
    <w:rsid w:val="00EF64F8"/>
    <w:rPr>
      <w:b/>
      <w:bCs/>
      <w:sz w:val="20"/>
      <w:szCs w:val="20"/>
    </w:rPr>
  </w:style>
  <w:style w:type="paragraph" w:styleId="BalloonText">
    <w:name w:val="Balloon Text"/>
    <w:basedOn w:val="Normal"/>
    <w:link w:val="BalloonTextChar"/>
    <w:uiPriority w:val="99"/>
    <w:semiHidden/>
    <w:unhideWhenUsed/>
    <w:rsid w:val="00EF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4F8"/>
    <w:rPr>
      <w:rFonts w:ascii="Segoe UI" w:hAnsi="Segoe UI" w:cs="Segoe UI"/>
      <w:sz w:val="18"/>
      <w:szCs w:val="18"/>
    </w:rPr>
  </w:style>
  <w:style w:type="paragraph" w:styleId="NormalWeb">
    <w:name w:val="Normal (Web)"/>
    <w:basedOn w:val="Normal"/>
    <w:uiPriority w:val="99"/>
    <w:unhideWhenUsed/>
    <w:rsid w:val="00034B1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912403">
      <w:bodyDiv w:val="1"/>
      <w:marLeft w:val="0"/>
      <w:marRight w:val="0"/>
      <w:marTop w:val="0"/>
      <w:marBottom w:val="0"/>
      <w:divBdr>
        <w:top w:val="none" w:sz="0" w:space="0" w:color="auto"/>
        <w:left w:val="none" w:sz="0" w:space="0" w:color="auto"/>
        <w:bottom w:val="none" w:sz="0" w:space="0" w:color="auto"/>
        <w:right w:val="none" w:sz="0" w:space="0" w:color="auto"/>
      </w:divBdr>
    </w:div>
    <w:div w:id="272177623">
      <w:bodyDiv w:val="1"/>
      <w:marLeft w:val="0"/>
      <w:marRight w:val="0"/>
      <w:marTop w:val="0"/>
      <w:marBottom w:val="0"/>
      <w:divBdr>
        <w:top w:val="none" w:sz="0" w:space="0" w:color="auto"/>
        <w:left w:val="none" w:sz="0" w:space="0" w:color="auto"/>
        <w:bottom w:val="none" w:sz="0" w:space="0" w:color="auto"/>
        <w:right w:val="none" w:sz="0" w:space="0" w:color="auto"/>
      </w:divBdr>
    </w:div>
    <w:div w:id="291904996">
      <w:bodyDiv w:val="1"/>
      <w:marLeft w:val="0"/>
      <w:marRight w:val="0"/>
      <w:marTop w:val="0"/>
      <w:marBottom w:val="0"/>
      <w:divBdr>
        <w:top w:val="none" w:sz="0" w:space="0" w:color="auto"/>
        <w:left w:val="none" w:sz="0" w:space="0" w:color="auto"/>
        <w:bottom w:val="none" w:sz="0" w:space="0" w:color="auto"/>
        <w:right w:val="none" w:sz="0" w:space="0" w:color="auto"/>
      </w:divBdr>
      <w:divsChild>
        <w:div w:id="1868713116">
          <w:marLeft w:val="0"/>
          <w:marRight w:val="0"/>
          <w:marTop w:val="0"/>
          <w:marBottom w:val="0"/>
          <w:divBdr>
            <w:top w:val="none" w:sz="0" w:space="0" w:color="auto"/>
            <w:left w:val="none" w:sz="0" w:space="0" w:color="auto"/>
            <w:bottom w:val="none" w:sz="0" w:space="0" w:color="auto"/>
            <w:right w:val="none" w:sz="0" w:space="0" w:color="auto"/>
          </w:divBdr>
          <w:divsChild>
            <w:div w:id="1799761572">
              <w:marLeft w:val="0"/>
              <w:marRight w:val="0"/>
              <w:marTop w:val="0"/>
              <w:marBottom w:val="0"/>
              <w:divBdr>
                <w:top w:val="none" w:sz="0" w:space="0" w:color="auto"/>
                <w:left w:val="none" w:sz="0" w:space="0" w:color="auto"/>
                <w:bottom w:val="none" w:sz="0" w:space="0" w:color="auto"/>
                <w:right w:val="none" w:sz="0" w:space="0" w:color="auto"/>
              </w:divBdr>
              <w:divsChild>
                <w:div w:id="117442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456182">
      <w:bodyDiv w:val="1"/>
      <w:marLeft w:val="0"/>
      <w:marRight w:val="0"/>
      <w:marTop w:val="0"/>
      <w:marBottom w:val="0"/>
      <w:divBdr>
        <w:top w:val="none" w:sz="0" w:space="0" w:color="auto"/>
        <w:left w:val="none" w:sz="0" w:space="0" w:color="auto"/>
        <w:bottom w:val="none" w:sz="0" w:space="0" w:color="auto"/>
        <w:right w:val="none" w:sz="0" w:space="0" w:color="auto"/>
      </w:divBdr>
    </w:div>
    <w:div w:id="570583276">
      <w:bodyDiv w:val="1"/>
      <w:marLeft w:val="0"/>
      <w:marRight w:val="0"/>
      <w:marTop w:val="0"/>
      <w:marBottom w:val="0"/>
      <w:divBdr>
        <w:top w:val="none" w:sz="0" w:space="0" w:color="auto"/>
        <w:left w:val="none" w:sz="0" w:space="0" w:color="auto"/>
        <w:bottom w:val="none" w:sz="0" w:space="0" w:color="auto"/>
        <w:right w:val="none" w:sz="0" w:space="0" w:color="auto"/>
      </w:divBdr>
    </w:div>
    <w:div w:id="586227748">
      <w:bodyDiv w:val="1"/>
      <w:marLeft w:val="0"/>
      <w:marRight w:val="0"/>
      <w:marTop w:val="0"/>
      <w:marBottom w:val="0"/>
      <w:divBdr>
        <w:top w:val="none" w:sz="0" w:space="0" w:color="auto"/>
        <w:left w:val="none" w:sz="0" w:space="0" w:color="auto"/>
        <w:bottom w:val="none" w:sz="0" w:space="0" w:color="auto"/>
        <w:right w:val="none" w:sz="0" w:space="0" w:color="auto"/>
      </w:divBdr>
    </w:div>
    <w:div w:id="651325731">
      <w:bodyDiv w:val="1"/>
      <w:marLeft w:val="0"/>
      <w:marRight w:val="0"/>
      <w:marTop w:val="0"/>
      <w:marBottom w:val="0"/>
      <w:divBdr>
        <w:top w:val="none" w:sz="0" w:space="0" w:color="auto"/>
        <w:left w:val="none" w:sz="0" w:space="0" w:color="auto"/>
        <w:bottom w:val="none" w:sz="0" w:space="0" w:color="auto"/>
        <w:right w:val="none" w:sz="0" w:space="0" w:color="auto"/>
      </w:divBdr>
    </w:div>
    <w:div w:id="985088088">
      <w:bodyDiv w:val="1"/>
      <w:marLeft w:val="0"/>
      <w:marRight w:val="0"/>
      <w:marTop w:val="0"/>
      <w:marBottom w:val="0"/>
      <w:divBdr>
        <w:top w:val="none" w:sz="0" w:space="0" w:color="auto"/>
        <w:left w:val="none" w:sz="0" w:space="0" w:color="auto"/>
        <w:bottom w:val="none" w:sz="0" w:space="0" w:color="auto"/>
        <w:right w:val="none" w:sz="0" w:space="0" w:color="auto"/>
      </w:divBdr>
    </w:div>
    <w:div w:id="1003969160">
      <w:bodyDiv w:val="1"/>
      <w:marLeft w:val="0"/>
      <w:marRight w:val="0"/>
      <w:marTop w:val="0"/>
      <w:marBottom w:val="0"/>
      <w:divBdr>
        <w:top w:val="none" w:sz="0" w:space="0" w:color="auto"/>
        <w:left w:val="none" w:sz="0" w:space="0" w:color="auto"/>
        <w:bottom w:val="none" w:sz="0" w:space="0" w:color="auto"/>
        <w:right w:val="none" w:sz="0" w:space="0" w:color="auto"/>
      </w:divBdr>
    </w:div>
    <w:div w:id="1022704510">
      <w:bodyDiv w:val="1"/>
      <w:marLeft w:val="0"/>
      <w:marRight w:val="0"/>
      <w:marTop w:val="0"/>
      <w:marBottom w:val="0"/>
      <w:divBdr>
        <w:top w:val="none" w:sz="0" w:space="0" w:color="auto"/>
        <w:left w:val="none" w:sz="0" w:space="0" w:color="auto"/>
        <w:bottom w:val="none" w:sz="0" w:space="0" w:color="auto"/>
        <w:right w:val="none" w:sz="0" w:space="0" w:color="auto"/>
      </w:divBdr>
    </w:div>
    <w:div w:id="1125736052">
      <w:bodyDiv w:val="1"/>
      <w:marLeft w:val="0"/>
      <w:marRight w:val="0"/>
      <w:marTop w:val="0"/>
      <w:marBottom w:val="0"/>
      <w:divBdr>
        <w:top w:val="none" w:sz="0" w:space="0" w:color="auto"/>
        <w:left w:val="none" w:sz="0" w:space="0" w:color="auto"/>
        <w:bottom w:val="none" w:sz="0" w:space="0" w:color="auto"/>
        <w:right w:val="none" w:sz="0" w:space="0" w:color="auto"/>
      </w:divBdr>
    </w:div>
    <w:div w:id="1173034582">
      <w:bodyDiv w:val="1"/>
      <w:marLeft w:val="0"/>
      <w:marRight w:val="0"/>
      <w:marTop w:val="0"/>
      <w:marBottom w:val="0"/>
      <w:divBdr>
        <w:top w:val="none" w:sz="0" w:space="0" w:color="auto"/>
        <w:left w:val="none" w:sz="0" w:space="0" w:color="auto"/>
        <w:bottom w:val="none" w:sz="0" w:space="0" w:color="auto"/>
        <w:right w:val="none" w:sz="0" w:space="0" w:color="auto"/>
      </w:divBdr>
    </w:div>
    <w:div w:id="1280145292">
      <w:bodyDiv w:val="1"/>
      <w:marLeft w:val="0"/>
      <w:marRight w:val="0"/>
      <w:marTop w:val="0"/>
      <w:marBottom w:val="0"/>
      <w:divBdr>
        <w:top w:val="none" w:sz="0" w:space="0" w:color="auto"/>
        <w:left w:val="none" w:sz="0" w:space="0" w:color="auto"/>
        <w:bottom w:val="none" w:sz="0" w:space="0" w:color="auto"/>
        <w:right w:val="none" w:sz="0" w:space="0" w:color="auto"/>
      </w:divBdr>
    </w:div>
    <w:div w:id="1318995157">
      <w:bodyDiv w:val="1"/>
      <w:marLeft w:val="0"/>
      <w:marRight w:val="0"/>
      <w:marTop w:val="0"/>
      <w:marBottom w:val="0"/>
      <w:divBdr>
        <w:top w:val="none" w:sz="0" w:space="0" w:color="auto"/>
        <w:left w:val="none" w:sz="0" w:space="0" w:color="auto"/>
        <w:bottom w:val="none" w:sz="0" w:space="0" w:color="auto"/>
        <w:right w:val="none" w:sz="0" w:space="0" w:color="auto"/>
      </w:divBdr>
      <w:divsChild>
        <w:div w:id="809253340">
          <w:marLeft w:val="0"/>
          <w:marRight w:val="0"/>
          <w:marTop w:val="0"/>
          <w:marBottom w:val="0"/>
          <w:divBdr>
            <w:top w:val="none" w:sz="0" w:space="0" w:color="auto"/>
            <w:left w:val="none" w:sz="0" w:space="0" w:color="auto"/>
            <w:bottom w:val="none" w:sz="0" w:space="0" w:color="auto"/>
            <w:right w:val="none" w:sz="0" w:space="0" w:color="auto"/>
          </w:divBdr>
          <w:divsChild>
            <w:div w:id="592009297">
              <w:marLeft w:val="0"/>
              <w:marRight w:val="0"/>
              <w:marTop w:val="0"/>
              <w:marBottom w:val="0"/>
              <w:divBdr>
                <w:top w:val="none" w:sz="0" w:space="0" w:color="auto"/>
                <w:left w:val="none" w:sz="0" w:space="0" w:color="auto"/>
                <w:bottom w:val="none" w:sz="0" w:space="0" w:color="auto"/>
                <w:right w:val="none" w:sz="0" w:space="0" w:color="auto"/>
              </w:divBdr>
              <w:divsChild>
                <w:div w:id="72175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833834">
      <w:bodyDiv w:val="1"/>
      <w:marLeft w:val="0"/>
      <w:marRight w:val="0"/>
      <w:marTop w:val="0"/>
      <w:marBottom w:val="0"/>
      <w:divBdr>
        <w:top w:val="none" w:sz="0" w:space="0" w:color="auto"/>
        <w:left w:val="none" w:sz="0" w:space="0" w:color="auto"/>
        <w:bottom w:val="none" w:sz="0" w:space="0" w:color="auto"/>
        <w:right w:val="none" w:sz="0" w:space="0" w:color="auto"/>
      </w:divBdr>
    </w:div>
    <w:div w:id="1410542484">
      <w:bodyDiv w:val="1"/>
      <w:marLeft w:val="0"/>
      <w:marRight w:val="0"/>
      <w:marTop w:val="0"/>
      <w:marBottom w:val="0"/>
      <w:divBdr>
        <w:top w:val="none" w:sz="0" w:space="0" w:color="auto"/>
        <w:left w:val="none" w:sz="0" w:space="0" w:color="auto"/>
        <w:bottom w:val="none" w:sz="0" w:space="0" w:color="auto"/>
        <w:right w:val="none" w:sz="0" w:space="0" w:color="auto"/>
      </w:divBdr>
    </w:div>
    <w:div w:id="1493596338">
      <w:bodyDiv w:val="1"/>
      <w:marLeft w:val="0"/>
      <w:marRight w:val="0"/>
      <w:marTop w:val="0"/>
      <w:marBottom w:val="0"/>
      <w:divBdr>
        <w:top w:val="none" w:sz="0" w:space="0" w:color="auto"/>
        <w:left w:val="none" w:sz="0" w:space="0" w:color="auto"/>
        <w:bottom w:val="none" w:sz="0" w:space="0" w:color="auto"/>
        <w:right w:val="none" w:sz="0" w:space="0" w:color="auto"/>
      </w:divBdr>
    </w:div>
    <w:div w:id="1508514950">
      <w:bodyDiv w:val="1"/>
      <w:marLeft w:val="0"/>
      <w:marRight w:val="0"/>
      <w:marTop w:val="0"/>
      <w:marBottom w:val="0"/>
      <w:divBdr>
        <w:top w:val="none" w:sz="0" w:space="0" w:color="auto"/>
        <w:left w:val="none" w:sz="0" w:space="0" w:color="auto"/>
        <w:bottom w:val="none" w:sz="0" w:space="0" w:color="auto"/>
        <w:right w:val="none" w:sz="0" w:space="0" w:color="auto"/>
      </w:divBdr>
    </w:div>
    <w:div w:id="1648196427">
      <w:bodyDiv w:val="1"/>
      <w:marLeft w:val="0"/>
      <w:marRight w:val="0"/>
      <w:marTop w:val="0"/>
      <w:marBottom w:val="0"/>
      <w:divBdr>
        <w:top w:val="none" w:sz="0" w:space="0" w:color="auto"/>
        <w:left w:val="none" w:sz="0" w:space="0" w:color="auto"/>
        <w:bottom w:val="none" w:sz="0" w:space="0" w:color="auto"/>
        <w:right w:val="none" w:sz="0" w:space="0" w:color="auto"/>
      </w:divBdr>
    </w:div>
    <w:div w:id="1743454295">
      <w:bodyDiv w:val="1"/>
      <w:marLeft w:val="0"/>
      <w:marRight w:val="0"/>
      <w:marTop w:val="0"/>
      <w:marBottom w:val="0"/>
      <w:divBdr>
        <w:top w:val="none" w:sz="0" w:space="0" w:color="auto"/>
        <w:left w:val="none" w:sz="0" w:space="0" w:color="auto"/>
        <w:bottom w:val="none" w:sz="0" w:space="0" w:color="auto"/>
        <w:right w:val="none" w:sz="0" w:space="0" w:color="auto"/>
      </w:divBdr>
    </w:div>
    <w:div w:id="1942761906">
      <w:bodyDiv w:val="1"/>
      <w:marLeft w:val="0"/>
      <w:marRight w:val="0"/>
      <w:marTop w:val="0"/>
      <w:marBottom w:val="0"/>
      <w:divBdr>
        <w:top w:val="none" w:sz="0" w:space="0" w:color="auto"/>
        <w:left w:val="none" w:sz="0" w:space="0" w:color="auto"/>
        <w:bottom w:val="none" w:sz="0" w:space="0" w:color="auto"/>
        <w:right w:val="none" w:sz="0" w:space="0" w:color="auto"/>
      </w:divBdr>
      <w:divsChild>
        <w:div w:id="330108798">
          <w:marLeft w:val="0"/>
          <w:marRight w:val="0"/>
          <w:marTop w:val="0"/>
          <w:marBottom w:val="0"/>
          <w:divBdr>
            <w:top w:val="none" w:sz="0" w:space="0" w:color="auto"/>
            <w:left w:val="none" w:sz="0" w:space="0" w:color="auto"/>
            <w:bottom w:val="none" w:sz="0" w:space="0" w:color="auto"/>
            <w:right w:val="none" w:sz="0" w:space="0" w:color="auto"/>
          </w:divBdr>
          <w:divsChild>
            <w:div w:id="1351950088">
              <w:marLeft w:val="0"/>
              <w:marRight w:val="0"/>
              <w:marTop w:val="0"/>
              <w:marBottom w:val="0"/>
              <w:divBdr>
                <w:top w:val="none" w:sz="0" w:space="0" w:color="auto"/>
                <w:left w:val="none" w:sz="0" w:space="0" w:color="auto"/>
                <w:bottom w:val="none" w:sz="0" w:space="0" w:color="auto"/>
                <w:right w:val="none" w:sz="0" w:space="0" w:color="auto"/>
              </w:divBdr>
              <w:divsChild>
                <w:div w:id="9124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538844">
      <w:bodyDiv w:val="1"/>
      <w:marLeft w:val="0"/>
      <w:marRight w:val="0"/>
      <w:marTop w:val="0"/>
      <w:marBottom w:val="0"/>
      <w:divBdr>
        <w:top w:val="none" w:sz="0" w:space="0" w:color="auto"/>
        <w:left w:val="none" w:sz="0" w:space="0" w:color="auto"/>
        <w:bottom w:val="none" w:sz="0" w:space="0" w:color="auto"/>
        <w:right w:val="none" w:sz="0" w:space="0" w:color="auto"/>
      </w:divBdr>
    </w:div>
    <w:div w:id="2071801133">
      <w:bodyDiv w:val="1"/>
      <w:marLeft w:val="0"/>
      <w:marRight w:val="0"/>
      <w:marTop w:val="0"/>
      <w:marBottom w:val="0"/>
      <w:divBdr>
        <w:top w:val="none" w:sz="0" w:space="0" w:color="auto"/>
        <w:left w:val="none" w:sz="0" w:space="0" w:color="auto"/>
        <w:bottom w:val="none" w:sz="0" w:space="0" w:color="auto"/>
        <w:right w:val="none" w:sz="0" w:space="0" w:color="auto"/>
      </w:divBdr>
    </w:div>
    <w:div w:id="210425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7603100498BB47A8A1D3BEA5CF2B59" ma:contentTypeVersion="13" ma:contentTypeDescription="Create a new document." ma:contentTypeScope="" ma:versionID="deec660efc95cf6d516840ac4d3ffa5d">
  <xsd:schema xmlns:xsd="http://www.w3.org/2001/XMLSchema" xmlns:xs="http://www.w3.org/2001/XMLSchema" xmlns:p="http://schemas.microsoft.com/office/2006/metadata/properties" xmlns:ns3="e5dfee87-d944-41cf-aed8-f27cc41f0643" xmlns:ns4="2f7ed84b-5db8-4af5-be34-53a8ab8463b0" targetNamespace="http://schemas.microsoft.com/office/2006/metadata/properties" ma:root="true" ma:fieldsID="449a955f87d4cf8e475914f2d43adf86" ns3:_="" ns4:_="">
    <xsd:import namespace="e5dfee87-d944-41cf-aed8-f27cc41f0643"/>
    <xsd:import namespace="2f7ed84b-5db8-4af5-be34-53a8ab8463b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dfee87-d944-41cf-aed8-f27cc41f06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7ed84b-5db8-4af5-be34-53a8ab8463b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7FD76D-8564-4435-BA8C-626C6280A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dfee87-d944-41cf-aed8-f27cc41f0643"/>
    <ds:schemaRef ds:uri="2f7ed84b-5db8-4af5-be34-53a8ab8463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BD56B3-C006-45F4-9488-57F018EB0145}">
  <ds:schemaRefs>
    <ds:schemaRef ds:uri="http://schemas.microsoft.com/sharepoint/v3/contenttype/forms"/>
  </ds:schemaRefs>
</ds:datastoreItem>
</file>

<file path=customXml/itemProps3.xml><?xml version="1.0" encoding="utf-8"?>
<ds:datastoreItem xmlns:ds="http://schemas.openxmlformats.org/officeDocument/2006/customXml" ds:itemID="{93E2C6A2-C3BC-446F-A657-9BADB47018DE}">
  <ds:schemaRefs>
    <ds:schemaRef ds:uri="http://schemas.microsoft.com/office/2006/documentManagement/types"/>
    <ds:schemaRef ds:uri="http://schemas.microsoft.com/office/2006/metadata/properties"/>
    <ds:schemaRef ds:uri="http://purl.org/dc/elements/1.1/"/>
    <ds:schemaRef ds:uri="http://www.w3.org/XML/1998/namespace"/>
    <ds:schemaRef ds:uri="http://purl.org/dc/dcmitype/"/>
    <ds:schemaRef ds:uri="http://schemas.microsoft.com/office/infopath/2007/PartnerControls"/>
    <ds:schemaRef ds:uri="e5dfee87-d944-41cf-aed8-f27cc41f0643"/>
    <ds:schemaRef ds:uri="http://schemas.openxmlformats.org/package/2006/metadata/core-properties"/>
    <ds:schemaRef ds:uri="2f7ed84b-5db8-4af5-be34-53a8ab8463b0"/>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1862</Words>
  <Characters>10614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12452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Mollaahmetoglu, Ozden Merve</dc:creator>
  <cp:keywords/>
  <dc:description/>
  <cp:lastModifiedBy>Mollaahmetoglu, Ozden Merve</cp:lastModifiedBy>
  <cp:revision>9</cp:revision>
  <dcterms:created xsi:type="dcterms:W3CDTF">2021-05-26T09:20:00Z</dcterms:created>
  <dcterms:modified xsi:type="dcterms:W3CDTF">2021-06-10T17:01:00Z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0x0101001D7603100498BB47A8A1D3BEA5CF2B59</vt:lpwstr>
  </property>
</Properties>
</file>