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600E" w14:textId="1FA274D7" w:rsidR="00C64552" w:rsidRPr="000E3609" w:rsidRDefault="00C64552">
      <w:pPr>
        <w:rPr>
          <w:rFonts w:ascii="Times New Roman" w:hAnsi="Times New Roman" w:cs="Times New Roman"/>
          <w:sz w:val="32"/>
          <w:szCs w:val="24"/>
        </w:rPr>
      </w:pPr>
      <w:r w:rsidRPr="000E3609">
        <w:rPr>
          <w:rFonts w:ascii="Times New Roman" w:hAnsi="Times New Roman" w:cs="Times New Roman"/>
          <w:sz w:val="32"/>
          <w:szCs w:val="24"/>
        </w:rPr>
        <w:t>Prevalence of</w:t>
      </w:r>
      <w:r w:rsidR="00EA768C">
        <w:rPr>
          <w:rFonts w:ascii="Times New Roman" w:hAnsi="Times New Roman" w:cs="Times New Roman"/>
          <w:sz w:val="32"/>
          <w:szCs w:val="24"/>
        </w:rPr>
        <w:t xml:space="preserve"> adult</w:t>
      </w:r>
      <w:bookmarkStart w:id="0" w:name="_GoBack"/>
      <w:bookmarkEnd w:id="0"/>
      <w:r w:rsidRPr="000E3609">
        <w:rPr>
          <w:rFonts w:ascii="Times New Roman" w:hAnsi="Times New Roman" w:cs="Times New Roman"/>
          <w:sz w:val="32"/>
          <w:szCs w:val="24"/>
        </w:rPr>
        <w:t xml:space="preserve"> sexual abuse in men with mental illness</w:t>
      </w:r>
      <w:r w:rsidR="003C69F7">
        <w:rPr>
          <w:rFonts w:ascii="Times New Roman" w:hAnsi="Times New Roman" w:cs="Times New Roman"/>
          <w:sz w:val="32"/>
          <w:szCs w:val="24"/>
        </w:rPr>
        <w:t>: A Bayesian meta-analysis</w:t>
      </w:r>
      <w:r w:rsidRPr="000E3609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6AAEC68F" w14:textId="77777777" w:rsidR="00C64552" w:rsidRPr="000E3609" w:rsidRDefault="00C64552" w:rsidP="00C64552">
      <w:pPr>
        <w:pStyle w:val="Heading1"/>
        <w:jc w:val="center"/>
        <w:rPr>
          <w:rFonts w:ascii="Times New Roman" w:hAnsi="Times New Roman" w:cs="Times New Roman"/>
          <w:color w:val="C00000"/>
          <w:sz w:val="36"/>
        </w:rPr>
      </w:pPr>
    </w:p>
    <w:p w14:paraId="4E04551C" w14:textId="77777777" w:rsidR="00C64552" w:rsidRPr="000E3609" w:rsidRDefault="00C64552" w:rsidP="00C64552">
      <w:pPr>
        <w:pStyle w:val="Heading1"/>
        <w:jc w:val="center"/>
        <w:rPr>
          <w:rFonts w:ascii="Times New Roman" w:hAnsi="Times New Roman" w:cs="Times New Roman"/>
          <w:color w:val="C00000"/>
          <w:sz w:val="36"/>
        </w:rPr>
      </w:pPr>
    </w:p>
    <w:p w14:paraId="5587D0C6" w14:textId="2A5533F7" w:rsidR="00EB6C53" w:rsidRPr="000E3609" w:rsidRDefault="003C69F7">
      <w:pPr>
        <w:rPr>
          <w:rFonts w:ascii="Times New Roman" w:hAnsi="Times New Roman" w:cs="Times New Roman"/>
        </w:rPr>
      </w:pPr>
      <w:r w:rsidRPr="003C69F7">
        <w:rPr>
          <w:rFonts w:ascii="Times New Roman" w:eastAsiaTheme="majorEastAsia" w:hAnsi="Times New Roman" w:cs="Times New Roman"/>
          <w:color w:val="C00000"/>
          <w:sz w:val="36"/>
          <w:szCs w:val="32"/>
          <w:lang w:val="en-GB"/>
        </w:rPr>
        <w:t xml:space="preserve">Supplementary </w:t>
      </w:r>
      <w:r>
        <w:rPr>
          <w:rFonts w:ascii="Times New Roman" w:eastAsiaTheme="majorEastAsia" w:hAnsi="Times New Roman" w:cs="Times New Roman"/>
          <w:color w:val="C00000"/>
          <w:sz w:val="36"/>
          <w:szCs w:val="32"/>
          <w:lang w:val="en-GB"/>
        </w:rPr>
        <w:t>Materials</w:t>
      </w:r>
      <w:r w:rsidR="00C64552" w:rsidRPr="000E3609">
        <w:rPr>
          <w:rFonts w:ascii="Times New Roman" w:hAnsi="Times New Roman" w:cs="Times New Roman"/>
        </w:rPr>
        <w:br w:type="page"/>
      </w:r>
    </w:p>
    <w:p w14:paraId="56610D4D" w14:textId="77777777" w:rsidR="00EB6C53" w:rsidRPr="000E3609" w:rsidRDefault="00EB6C53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44826DA" w14:textId="77777777" w:rsidR="00EB6C53" w:rsidRPr="000E3609" w:rsidRDefault="00EB6C53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E3609">
        <w:rPr>
          <w:rFonts w:ascii="Times New Roman" w:hAnsi="Times New Roman" w:cs="Times New Roman"/>
          <w:color w:val="222222"/>
          <w:shd w:val="clear" w:color="auto" w:fill="FFFFFF"/>
        </w:rPr>
        <w:t>Keyword string used to search for studies across databases:</w:t>
      </w:r>
    </w:p>
    <w:p w14:paraId="3F0757E8" w14:textId="77777777" w:rsidR="00EB6C53" w:rsidRPr="000E3609" w:rsidRDefault="00EB6C53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7C4298A" w14:textId="77777777" w:rsidR="00EB6C53" w:rsidRPr="000E3609" w:rsidRDefault="00EB6C53">
      <w:pPr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  <w:color w:val="222222"/>
          <w:shd w:val="clear" w:color="auto" w:fill="FFFFFF"/>
        </w:rPr>
        <w:t>('sexual violence'/de OR 'sex trafficking'/de OR 'sexual assault'/de OR Rape/exp OR 'sexual abuse'/de OR 'sexual harassment'/exp OR 'sexual coercion'/de OR 'sexual exploitation'/de OR 'dating violence'/de OR 'sexual crime'/de OR (((sex* OR dating) NEAR/3 (violen* OR violation* OR traffick* OR assault* OR coerc* OR exploitat* OR abus* OR harass* OR bullying OR trauma* OR trading OR victim* OR non-consens* OR nonconsens* OR crime*)) OR rape):ab,ti) AND ('prevalence'/de OR epidemiology/de OR (prevalen* OR epidemiolog* OR ((rate OR rates OR Frequenc*) NEAR/3 (violence OR abuse))):ab,ti) AND ('mental health'/exp OR 'mental health care'/exp OR 'mental health center'/exp OR 'mental disease'/exp OR 'mental patient'/exp OR 'psychiatry'/exp OR 'psychiatric department'/de OR 'Diagnostic and Statistical Manual of Mental Disorders'/exp OR ((mental NEAR/3 (health* OR disease* OR patient* OR disorder*)) OR psychiatr* OR dual-diagnos* OR dsm OR ptsd OR ((posttraum* OR post-traum*) NEAR/3 stress) OR depress* OR borderline OR (personalit* NEAR/3 disorder*) OR bipolar* OR schizophreni* OR suicid* OR psychosis OR psychoses):ab,ti) NOT ((female/exp OR (women OR woman OR female*):ab,ti) NOT (male/exp OR (men OR man OR male*):ab,ti)) NOT ([Conference Abstract]/lim AND [1800-2017]/py) AND [English]/lim NOT ((juvenile/exp OR 'child abuse'/exp OR (child* OR boys OR girls):ab,ti) NOT (adult/exp OR (adult* OR men OR women):ab,ti))</w:t>
      </w:r>
      <w:r w:rsidRPr="000E3609">
        <w:rPr>
          <w:rFonts w:ascii="Times New Roman" w:hAnsi="Times New Roman" w:cs="Times New Roman"/>
        </w:rPr>
        <w:br w:type="page"/>
      </w:r>
    </w:p>
    <w:tbl>
      <w:tblPr>
        <w:tblW w:w="14473" w:type="dxa"/>
        <w:tblInd w:w="-432" w:type="dxa"/>
        <w:tblLook w:val="04A0" w:firstRow="1" w:lastRow="0" w:firstColumn="1" w:lastColumn="0" w:noHBand="0" w:noVBand="1"/>
      </w:tblPr>
      <w:tblGrid>
        <w:gridCol w:w="1260"/>
        <w:gridCol w:w="1170"/>
        <w:gridCol w:w="4050"/>
        <w:gridCol w:w="990"/>
        <w:gridCol w:w="1289"/>
        <w:gridCol w:w="1263"/>
        <w:gridCol w:w="862"/>
        <w:gridCol w:w="624"/>
        <w:gridCol w:w="725"/>
        <w:gridCol w:w="1561"/>
        <w:gridCol w:w="679"/>
      </w:tblGrid>
      <w:tr w:rsidR="00485FC7" w:rsidRPr="00D54A22" w14:paraId="033AF369" w14:textId="77777777" w:rsidTr="00485FC7">
        <w:trPr>
          <w:trHeight w:val="330"/>
        </w:trPr>
        <w:tc>
          <w:tcPr>
            <w:tcW w:w="14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4681E" w14:textId="353E4F2B" w:rsidR="00485FC7" w:rsidRPr="00485FC7" w:rsidRDefault="00325CA9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325CA9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Supplementary</w:t>
            </w:r>
            <w:r w:rsidRPr="00325CA9">
              <w:rPr>
                <w:rFonts w:ascii="Times New Roman" w:hAnsi="Times New Roman" w:cs="Times New Roman"/>
                <w:noProof/>
              </w:rPr>
              <w:t xml:space="preserve"> </w:t>
            </w:r>
            <w:r w:rsidR="00485FC7" w:rsidRPr="00485FC7">
              <w:rPr>
                <w:rFonts w:ascii="Times New Roman" w:hAnsi="Times New Roman" w:cs="Times New Roman"/>
                <w:color w:val="808080" w:themeColor="background1" w:themeShade="80"/>
              </w:rPr>
              <w:t>Table 1. Studies included in the meta-analysis for each sample type</w:t>
            </w:r>
          </w:p>
        </w:tc>
      </w:tr>
      <w:tr w:rsidR="00485FC7" w:rsidRPr="00D54A22" w14:paraId="570E7B7E" w14:textId="77777777" w:rsidTr="00485FC7">
        <w:trPr>
          <w:trHeight w:val="330"/>
        </w:trPr>
        <w:tc>
          <w:tcPr>
            <w:tcW w:w="126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A12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</w:p>
          <w:p w14:paraId="00BD1C2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8BC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Author</w:t>
            </w:r>
          </w:p>
        </w:tc>
        <w:tc>
          <w:tcPr>
            <w:tcW w:w="405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B87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Title</w:t>
            </w:r>
          </w:p>
        </w:tc>
        <w:tc>
          <w:tcPr>
            <w:tcW w:w="99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9A8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Sampling</w:t>
            </w:r>
          </w:p>
        </w:tc>
        <w:tc>
          <w:tcPr>
            <w:tcW w:w="1289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33C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Instrument</w:t>
            </w:r>
          </w:p>
        </w:tc>
        <w:tc>
          <w:tcPr>
            <w:tcW w:w="1263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6A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Implementation</w:t>
            </w:r>
          </w:p>
        </w:tc>
        <w:tc>
          <w:tcPr>
            <w:tcW w:w="862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985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Country</w:t>
            </w:r>
          </w:p>
        </w:tc>
        <w:tc>
          <w:tcPr>
            <w:tcW w:w="624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D462D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Quality</w:t>
            </w:r>
          </w:p>
        </w:tc>
        <w:tc>
          <w:tcPr>
            <w:tcW w:w="725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F4B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N (men)</w:t>
            </w:r>
          </w:p>
        </w:tc>
        <w:tc>
          <w:tcPr>
            <w:tcW w:w="1561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D10E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Past year Sexual Abuse</w:t>
            </w:r>
          </w:p>
        </w:tc>
        <w:tc>
          <w:tcPr>
            <w:tcW w:w="679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A0F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 xml:space="preserve">Lifetime </w:t>
            </w:r>
          </w:p>
        </w:tc>
      </w:tr>
      <w:tr w:rsidR="00485FC7" w:rsidRPr="00D54A22" w14:paraId="369C3BE4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7C3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E5C5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Goodman 2001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85F7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Recent victimization in women and men with severe Mental illness: prevalence and correlates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2985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A379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35F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25B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6CF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145F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461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54DF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7.6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E1DD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24.5</w:t>
            </w:r>
          </w:p>
        </w:tc>
      </w:tr>
      <w:tr w:rsidR="00485FC7" w:rsidRPr="00D54A22" w14:paraId="4F0F0D5F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B271C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45C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Anderson 2016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0B45D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Childhood maltreatment and adulthood domestic and sexual Violence victimisation among people with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8440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B9821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CTQ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C015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13FE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4CD400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1D6FC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181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62A7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7024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21.6</w:t>
            </w:r>
          </w:p>
        </w:tc>
      </w:tr>
      <w:tr w:rsidR="00485FC7" w:rsidRPr="00D54A22" w14:paraId="0EA0DCE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0DC7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68AB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Yen 2002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52F6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Traumatic exposure and posttraumatic stress disorder in borderline, Schizotypal, avoidant, and obsessive-compulsive personality disorders: Findings from the collaborative longitudinal personality disorders study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86BD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E06D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SCID trauma addendum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89FD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82CF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17B8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D0A0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60DB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95CF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19.3</w:t>
            </w:r>
          </w:p>
        </w:tc>
      </w:tr>
      <w:tr w:rsidR="00485FC7" w:rsidRPr="00D54A22" w14:paraId="2E717D4B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6797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AE4F8D" w14:textId="6B90D1B3" w:rsidR="00485FC7" w:rsidRPr="00485FC7" w:rsidRDefault="00485FC7" w:rsidP="00BD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De</w:t>
            </w:r>
            <w:r w:rsid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O</w:t>
            </w: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liveira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EAA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Factors associated with self-report of sexual violence Against men and women with mental disorders in brazil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4014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591B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6872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2C433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Brazil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A1AFFC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D33F9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1198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3C97C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98293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12.5</w:t>
            </w:r>
          </w:p>
        </w:tc>
      </w:tr>
      <w:tr w:rsidR="00485FC7" w:rsidRPr="00D54A22" w14:paraId="58EE8E8A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722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7F5B9" w14:textId="19AE3304" w:rsidR="00485FC7" w:rsidRPr="00485FC7" w:rsidRDefault="00BD3FCD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De W</w:t>
            </w:r>
            <w:r w:rsidR="00485FC7"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aal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FB08F" w14:textId="3EBFEDE2" w:rsidR="00BD3FCD" w:rsidRPr="00BD3FCD" w:rsidRDefault="00BD3FCD" w:rsidP="00BD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Gender differences in characteristics of</w:t>
            </w: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</w:t>
            </w: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physical and sexual victimization in</w:t>
            </w:r>
          </w:p>
          <w:p w14:paraId="05EA6C7D" w14:textId="7BDF6647" w:rsidR="00485FC7" w:rsidRPr="00485FC7" w:rsidRDefault="00BD3FCD" w:rsidP="00BD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patients with dual diagnosis: a cross</w:t>
            </w: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-</w:t>
            </w: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sectional</w:t>
            </w: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</w:t>
            </w: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study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0A65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9400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Safety monitor (Veiligheidsmonitor)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A14C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BCDA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Netherlands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DD59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7CBB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FC90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4.1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01AB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477C7534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DF21B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1D64A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Coverdale 2000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AB98E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Sexual and physical abuse of chronically ill psychiatric outpatients compared with a matched sample of medical outpatients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16039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95066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24A1D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61CD4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New Zealand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0D3FF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5C97E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3CBF0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79534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26.1</w:t>
            </w:r>
          </w:p>
        </w:tc>
      </w:tr>
      <w:tr w:rsidR="00485FC7" w:rsidRPr="00D54A22" w14:paraId="0092D74A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91E6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F95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Hutchings 1993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EB26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Sexual assault history In a community mental health Center clinical population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F5C6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7E73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D9A4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Self-administered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5185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4C84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44ED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1826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432E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</w:t>
            </w:r>
          </w:p>
        </w:tc>
      </w:tr>
      <w:tr w:rsidR="00485FC7" w:rsidRPr="00D54A22" w14:paraId="3021A010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59EAE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95828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Kamperman 2014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BD358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Criminal victimisation in people with severe mental Illness: a multi-site prevalence and incidence survey in The Netherlands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BB019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38C24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Dutch crime and victimisation survey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17E6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DAE4D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Netherlands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28A31D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A7239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608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CC52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F326B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7FDDA99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64E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5795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Khalifeh 2015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CFB5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Domestic and sexual violence against patients with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3E2D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1696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Crime survey for England and wales (CSEW)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6845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Self-completed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EBB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5D8F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0935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157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1E2E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3.2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B620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22.9</w:t>
            </w:r>
          </w:p>
        </w:tc>
      </w:tr>
      <w:tr w:rsidR="00485FC7" w:rsidRPr="00D54A22" w14:paraId="69E39E3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1203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FE982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Lipschitz 1996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001D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characteristics Of physical and sexual abuse Among psychiatric outpatients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F3374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9C4BA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Traumatic events questionnaire (TEQ)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0FFE1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Self-completed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94AFA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F242D2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E6136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435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F2639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14.7</w:t>
            </w:r>
          </w:p>
        </w:tc>
      </w:tr>
      <w:tr w:rsidR="00485FC7" w:rsidRPr="00D54A22" w14:paraId="55CEEA88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8FE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EEB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Dammeyr 2018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99C8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 national survey on violence and Discrimination among people with Disabilities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6783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E2D3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99E6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Online questionnaire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DAB5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Denmark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2A94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4FAF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493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D687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E869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71A7EFB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0857E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21BD8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Shack 2004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70679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Prior history of physical and Sexual abuse among the Psychiatric inpatient population: A comparison of males and females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41ED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4AFB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96976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3C191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49CA3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29614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84C16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D18A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25</w:t>
            </w:r>
          </w:p>
        </w:tc>
      </w:tr>
      <w:tr w:rsidR="00485FC7" w:rsidRPr="00D54A22" w14:paraId="62ED837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46E7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D9DA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Teplin 2005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4BBE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Crime victimization in adults with severe mental illness: Comparison with the national crime victimization survey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A1A6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4FC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NCSV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5B0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13A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AA7E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9483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483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5A39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0.8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146F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019FA64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DA775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20A35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Mueser 1998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27019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 and posttraumatic stress disorder in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74041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E068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 History questionnaire (THQ)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DE366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D9C57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D793AF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D84D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122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F047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2A3E2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25.9</w:t>
            </w:r>
          </w:p>
        </w:tc>
      </w:tr>
      <w:tr w:rsidR="00485FC7" w:rsidRPr="00D54A22" w14:paraId="369991C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BB8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FDF8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Villano 2007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E199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correlates of posttraumatic stress disorder and chronic Severe pain in psychiatric outpatients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801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6466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Stressful Life events inventory (SLEI)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F2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69D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800C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711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9576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AA7F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12.6</w:t>
            </w:r>
          </w:p>
        </w:tc>
      </w:tr>
      <w:tr w:rsidR="00485FC7" w:rsidRPr="00D54A22" w14:paraId="4828E33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7984B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Intellectual disability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50DA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Llario 2019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9FA8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sequelae of self-reported and other reported Sexual abuse in adults with intellectual disability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1D5A6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22B6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BA81B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Self-report/documented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F66A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Spain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5E2FE3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3EADF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180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A4A27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FA735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29.4</w:t>
            </w:r>
          </w:p>
        </w:tc>
      </w:tr>
      <w:tr w:rsidR="00485FC7" w:rsidRPr="00D54A22" w14:paraId="44EFB35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0CD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Intellectual disability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00E0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Pan 2007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64E2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of sexual abuse of people with intellectual Disabilities in Taiwan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1D9F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Probability cluster sampling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35C0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52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Face-to-face/family interviews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CBC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Taiwan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9EE4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626B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190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7A13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1261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4.2</w:t>
            </w:r>
          </w:p>
        </w:tc>
      </w:tr>
      <w:tr w:rsidR="00485FC7" w:rsidRPr="00D54A22" w14:paraId="568F60A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0399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Intellectual disability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6D60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Platt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1C96E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The role of gender in Violence experienced By adults with Developmental Disabilities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6B6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11D94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Assisted computer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A1FA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Anonymous self-report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C80B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51BCE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C9938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2DB48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737D01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7.1</w:t>
            </w:r>
          </w:p>
        </w:tc>
      </w:tr>
      <w:tr w:rsidR="00485FC7" w:rsidRPr="00D54A22" w14:paraId="4A30909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C1BC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Psychosis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22F6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Amir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07BC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correlates of physical and sexual assault history in patients With schizophrenia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9251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176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 assessment for adults (TAA)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F96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6B11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Egypt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3D26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DBF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15F3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E1FA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26.2</w:t>
            </w:r>
          </w:p>
        </w:tc>
      </w:tr>
      <w:tr w:rsidR="00485FC7" w:rsidRPr="00D54A22" w14:paraId="12138231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27218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Psychosis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3D44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Calhoun 2007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741F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Interpersonal trauma, war zone exposure, and posttraumatic stress Disorder among veterans with schizophrenia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E9D73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F2C8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SAEQ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0F310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996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37D7FA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68AE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A741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10.3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2553F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26.7</w:t>
            </w:r>
          </w:p>
        </w:tc>
      </w:tr>
      <w:tr w:rsidR="00485FC7" w:rsidRPr="00D54A22" w14:paraId="1CB0BBC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63DF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Psychosis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2D32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Bengtsson-tops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AD35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Victimization in individuals suffering from psychosis: A Swedish cross-sectional study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A5A1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00AE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Composite abuse scale (CAS)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E861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580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Sweden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C0B9B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0CCB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B37C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6.7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825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13.3</w:t>
            </w:r>
          </w:p>
        </w:tc>
      </w:tr>
      <w:tr w:rsidR="00485FC7" w:rsidRPr="00D54A22" w14:paraId="4EDFB7C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FC90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PTSD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023A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Lapp 2005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149F2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Lifetime sexual and physical victimization among male veterans With combat-related post-traumatic stress disorder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2A5A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E6ACC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FB5E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71FD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510C2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0A53E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133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41769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6.02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6F8F7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47.3</w:t>
            </w:r>
          </w:p>
        </w:tc>
      </w:tr>
      <w:tr w:rsidR="00485FC7" w:rsidRPr="00D54A22" w14:paraId="1899224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AF8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PTSD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40B4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Clancy 2006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250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Lifetime trauma exposure in veterans With military-related posttraumatic stress disorder: Association with current symptomatology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3B6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46C6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TLEQ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0791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1A1D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9DFE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FD9B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422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F324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93CA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5.9</w:t>
            </w:r>
          </w:p>
        </w:tc>
      </w:tr>
      <w:tr w:rsidR="00485FC7" w:rsidRPr="00D54A22" w14:paraId="3C0ACAD5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C57DA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7314F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Tiet 2006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712C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Recent sexual abuse, physical abuse, and suicide attempts among male Veterans seeking psychiatric treatment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843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52D1A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Addiction severity index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41B6A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090D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451B94A" w14:textId="4331390D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3E414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33236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5BCC4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B8F7E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8.4</w:t>
            </w:r>
          </w:p>
        </w:tc>
      </w:tr>
      <w:tr w:rsidR="00485FC7" w:rsidRPr="00D54A22" w14:paraId="135FE82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218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lastRenderedPageBreak/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6EAD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Moncrieff 1996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C402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Sexual abuse in people with alcohol problems. A study of the prevalence of Sexual abuse and its relationship to drinking behaviour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5F05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2CB3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BF0D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3A12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B2E3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8B8E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89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AC70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2C94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23.6</w:t>
            </w:r>
          </w:p>
        </w:tc>
      </w:tr>
      <w:tr w:rsidR="00485FC7" w:rsidRPr="00D54A22" w14:paraId="7E94648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591D3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1CD8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Afful 2010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F656A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Exposure to trauma: a comparison of cocaine-dependent cases and a Community-matched sample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6768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10F3E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69AB9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E80B5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807890E" w14:textId="43DB2816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21BB5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216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1E0AD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1F5E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11.6</w:t>
            </w:r>
          </w:p>
        </w:tc>
      </w:tr>
      <w:tr w:rsidR="00485FC7" w:rsidRPr="00D54A22" w14:paraId="6154A0B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2852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B4D3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Bone 2018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F55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of sexual violence and its association With depression among male and female patients with risky Drug use in urban federally qualified health centers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E33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2036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870A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Self-administered through tablet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F33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10C5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3C47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210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048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EBB5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24.8</w:t>
            </w:r>
          </w:p>
        </w:tc>
      </w:tr>
      <w:tr w:rsidR="00485FC7" w:rsidRPr="00D54A22" w14:paraId="671D3F8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A740B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6B507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Armstrong 2014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FB2C8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Suicidal ideation and attempts among men who inject drugs In Delhi, India: psychological and social risk factors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E88A4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Probability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0D2E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B4BF3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17A88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India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DA7E6FB" w14:textId="3F176D97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4F2A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420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EE5F8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D40DA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15.8</w:t>
            </w:r>
          </w:p>
        </w:tc>
      </w:tr>
      <w:tr w:rsidR="00485FC7" w:rsidRPr="00D54A22" w14:paraId="288CC59A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BC34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ABA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Bonin 2000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60C7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Drinking away the hurt: the nature and prevalence Of PTSD in substance abuse patients attending A community-based treatment program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9398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0B3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0FC3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8C0A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Canada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2F2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276B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1FCA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5DA1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8.2</w:t>
            </w:r>
          </w:p>
        </w:tc>
      </w:tr>
      <w:tr w:rsidR="00485FC7" w:rsidRPr="00D54A22" w14:paraId="12A177F1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857A9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CBDF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Barry 2011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F53D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Exploring relations among traumatic, posttraumatic, and physical Pain experiences in methadone-maintained 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CF322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4932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Life experiences checklist (LEC)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4D4E6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5911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65C31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4245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83B19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3FE0D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16.5</w:t>
            </w:r>
          </w:p>
        </w:tc>
      </w:tr>
      <w:tr w:rsidR="00485FC7" w:rsidRPr="00D54A22" w14:paraId="76812C1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3183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5C52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Braitstein 2003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8958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Sexual violence among a cohort of injection drug users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E00C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1128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1D53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E3E1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Canada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16D7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08DE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932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F8D9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78AB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18.6</w:t>
            </w:r>
          </w:p>
        </w:tc>
      </w:tr>
      <w:tr w:rsidR="00485FC7" w:rsidRPr="00D54A22" w14:paraId="05BA839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84CB7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D6F5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Branstetter 2008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2431E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 history of sexual, emotional, or physical abuse predicts adjustment During opioid maintenance treatment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9BE6C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F0408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ASI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E90A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5079D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A5F3AC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5F6A1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191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75E73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343AA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</w:t>
            </w:r>
          </w:p>
        </w:tc>
      </w:tr>
      <w:tr w:rsidR="00485FC7" w:rsidRPr="00D54A22" w14:paraId="610699FD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7F64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0D7C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Dansky 1996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1F85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Victimization and PTSD in individuals with Substance use disorders: gender and racial Differences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099F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5E7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8BF5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270D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E921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81F01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A333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CAF1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20.6</w:t>
            </w:r>
          </w:p>
        </w:tc>
      </w:tr>
      <w:tr w:rsidR="00485FC7" w:rsidRPr="00D54A22" w14:paraId="59524A6B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4E706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3BE68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Dworkin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08B11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The unique associations of sexual assault and intimate partner violence with PTSD symptom clusters in a traumatized substance-abusing sample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7DF76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9DC0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National women’s study PTSD module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CBB54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F5C3C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C63729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0F76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8F383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6CE9C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33.9</w:t>
            </w:r>
          </w:p>
        </w:tc>
      </w:tr>
      <w:tr w:rsidR="00485FC7" w:rsidRPr="00D54A22" w14:paraId="79AAEA7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C8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B84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Fiorentine 1999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2B3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Drug treatment outcomes: investigating the Long-term effects of sexual and physical abuse Histories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B2E1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48F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C963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7A4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25455" w14:textId="605E03DB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A067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7B96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1B0D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13.6</w:t>
            </w:r>
          </w:p>
        </w:tc>
      </w:tr>
      <w:tr w:rsidR="00485FC7" w:rsidRPr="00D54A22" w14:paraId="1071ABD0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F1014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CB40A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Daigre 2015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7D5A6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History of sexual, emotional or physical abuse and psychiatric Comorbidity in substance-dependent 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012F2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7AC50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European addiction severity index 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E4AF6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29B57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Spain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B22A4B7" w14:textId="1310C9B1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15D33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387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5439B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3835B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6.7</w:t>
            </w:r>
          </w:p>
        </w:tc>
      </w:tr>
      <w:tr w:rsidR="00485FC7" w:rsidRPr="00D54A22" w14:paraId="0FAF5427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9077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0C70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Pearce 2008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82F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The cedar project: historical trauma, sexual abuse and HIV risk among Young aboriginal people who use injection and non-injection drugs in Two Canadian cities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7B5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BBB5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75F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DC6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Canada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24B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35F4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281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3EB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E5F01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28.8</w:t>
            </w:r>
          </w:p>
        </w:tc>
      </w:tr>
      <w:tr w:rsidR="00485FC7" w:rsidRPr="00D54A22" w14:paraId="6592B631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3C04C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0315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Guimaraes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2AC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Gender differences in patterns of drug use And sexual risky behaviour among crack Cocaine users in central brazil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8046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E7AE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ADB75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5EC8F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Brazil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506F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C2AA8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914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141F4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1EA9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8.2</w:t>
            </w:r>
          </w:p>
        </w:tc>
      </w:tr>
      <w:tr w:rsidR="00485FC7" w:rsidRPr="00D54A22" w14:paraId="00C0FB66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46D5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2650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Jakubczyk 2014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AF5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History of sexual abuse and suicide attempts in alcohol-dependent 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2FA1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175B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Substance abuse outcomes module 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D9EC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4C9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Poland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38F2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864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284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7847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2DE2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7.4</w:t>
            </w:r>
          </w:p>
        </w:tc>
      </w:tr>
      <w:tr w:rsidR="00485FC7" w:rsidRPr="00D54A22" w14:paraId="4A200268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79365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25BF7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Mckeganey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2EBE6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Physical and sexual abuse among drug users Contacting drug treatment services in Scotland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4B80B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5934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40818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B61DC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Scotland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8A1B0F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0FB54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715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A91BD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DB46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6.9</w:t>
            </w:r>
          </w:p>
        </w:tc>
      </w:tr>
      <w:tr w:rsidR="00485FC7" w:rsidRPr="00D54A22" w14:paraId="5232912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921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397E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Tham 1995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699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 survey of domestic violence and other forms of abuse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BAEB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A40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57CD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288E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4B3FD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C015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CBE0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2CE5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4.4</w:t>
            </w:r>
          </w:p>
        </w:tc>
      </w:tr>
      <w:tr w:rsidR="00485FC7" w:rsidRPr="00D54A22" w14:paraId="768CC42D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F6A1A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4C83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Heru 2006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A15DD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severity of intimate partner violence and associations with family functioning and alcohol abuse in psychiatric patients with suicidal intent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98D61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B29C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Cts2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E417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03008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836E8DE" w14:textId="1EF48426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0799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95B11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8406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45F5A7D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EFB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38E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Chang 2011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41DF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Partner violence screening in mental health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F415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B471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AAS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2B03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01C8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3575C" w14:textId="7C17069C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B490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158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E4F6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76E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</w:t>
            </w:r>
          </w:p>
        </w:tc>
      </w:tr>
      <w:tr w:rsidR="00485FC7" w:rsidRPr="00D54A22" w14:paraId="5422239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5114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E60FF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Khalifeh 2015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FF51C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Domestic and sexual violence against patients with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0C0A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1B37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CSEW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36E1B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D49C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284F2AC" w14:textId="4249FA06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5E88F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B9A62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27FD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4.1</w:t>
            </w:r>
          </w:p>
        </w:tc>
      </w:tr>
      <w:tr w:rsidR="00485FC7" w:rsidRPr="00D54A22" w14:paraId="15D1B47F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B7CF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034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Ruiz-Perez 2018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84B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Intimate partner violence and mental disorders: co-occurrence and gender Differences in a large cross-sectional population based study in Spain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F9B1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D30D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8B65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85E4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Spain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5C3DB" w14:textId="2B642245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757E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407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47E0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2.2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4B50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47B8051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635A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44B5A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Shack 2004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FAE3F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Prior history of physical and Sexual abuse among the Psychiatric inpatient population: A comparison of males and females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99D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E67F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BC5B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CDAC3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953A70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3C49A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E1904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82DF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7.5</w:t>
            </w:r>
          </w:p>
        </w:tc>
      </w:tr>
      <w:tr w:rsidR="00485FC7" w:rsidRPr="00D54A22" w14:paraId="0DFA3CA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79A9261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69262FA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Kalokhe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78FF96B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Intimate partner violence among HIV-infected Crack cocaine users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00453A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7AD79D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STAT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3CCDE6C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421AC9E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</w:tcPr>
          <w:p w14:paraId="18BFFD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1876AB5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1B989E8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490633B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</w:t>
            </w:r>
          </w:p>
        </w:tc>
      </w:tr>
    </w:tbl>
    <w:p w14:paraId="4072AF65" w14:textId="27EBCE0B" w:rsidR="00485FC7" w:rsidRDefault="00485FC7">
      <w:pPr>
        <w:rPr>
          <w:rFonts w:ascii="Times New Roman" w:hAnsi="Times New Roman" w:cs="Times New Roman"/>
        </w:rPr>
      </w:pPr>
    </w:p>
    <w:p w14:paraId="1C4C4534" w14:textId="77777777" w:rsidR="00485FC7" w:rsidRDefault="00485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614047" w14:textId="77777777" w:rsidR="000E3609" w:rsidRPr="000E3609" w:rsidRDefault="000E3609">
      <w:pPr>
        <w:rPr>
          <w:rFonts w:ascii="Times New Roman" w:hAnsi="Times New Roman" w:cs="Times New Roman"/>
        </w:rPr>
      </w:pPr>
    </w:p>
    <w:tbl>
      <w:tblPr>
        <w:tblW w:w="11070" w:type="dxa"/>
        <w:jc w:val="center"/>
        <w:tblLook w:val="04A0" w:firstRow="1" w:lastRow="0" w:firstColumn="1" w:lastColumn="0" w:noHBand="0" w:noVBand="1"/>
      </w:tblPr>
      <w:tblGrid>
        <w:gridCol w:w="2520"/>
        <w:gridCol w:w="2070"/>
        <w:gridCol w:w="2340"/>
        <w:gridCol w:w="1890"/>
        <w:gridCol w:w="2250"/>
      </w:tblGrid>
      <w:tr w:rsidR="000E3609" w:rsidRPr="000E3609" w14:paraId="70361D06" w14:textId="77777777" w:rsidTr="000E3609">
        <w:trPr>
          <w:trHeight w:val="1065"/>
          <w:jc w:val="center"/>
        </w:trPr>
        <w:tc>
          <w:tcPr>
            <w:tcW w:w="11070" w:type="dxa"/>
            <w:gridSpan w:val="5"/>
            <w:tcBorders>
              <w:top w:val="nil"/>
              <w:left w:val="nil"/>
              <w:bottom w:val="single" w:sz="12" w:space="0" w:color="D3D3D3"/>
              <w:right w:val="nil"/>
            </w:tcBorders>
            <w:shd w:val="clear" w:color="000000" w:fill="FFFFFF"/>
            <w:vAlign w:val="center"/>
            <w:hideMark/>
          </w:tcPr>
          <w:p w14:paraId="0BAFBEC4" w14:textId="00556AAA" w:rsidR="000E3609" w:rsidRPr="000E3609" w:rsidRDefault="00325CA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325CA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Supplementary </w:t>
            </w:r>
            <w:r w:rsidR="000E3609" w:rsidRPr="000E360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Table 2. Comparing random and fixed effect models based on the Leave-One-Out (LOO) and Widely Applicable Information Criterion (WAIC). Lower values indicate better model fit.</w:t>
            </w:r>
          </w:p>
        </w:tc>
      </w:tr>
      <w:tr w:rsidR="000E3609" w:rsidRPr="000E3609" w14:paraId="72425A32" w14:textId="77777777" w:rsidTr="000E3609">
        <w:trPr>
          <w:trHeight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45561" w14:textId="77777777" w:rsidR="000E3609" w:rsidRPr="000E3609" w:rsidRDefault="000E3609" w:rsidP="000E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6127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LOO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7D2C3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LOO Std. Error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D4228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WAIC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FBEAA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WAIC Std. Error</w:t>
            </w:r>
          </w:p>
        </w:tc>
      </w:tr>
      <w:tr w:rsidR="000E3609" w:rsidRPr="000E3609" w14:paraId="506D2A47" w14:textId="77777777" w:rsidTr="000E3609">
        <w:trPr>
          <w:trHeight w:val="360"/>
          <w:jc w:val="center"/>
        </w:trPr>
        <w:tc>
          <w:tcPr>
            <w:tcW w:w="11070" w:type="dxa"/>
            <w:gridSpan w:val="5"/>
            <w:tcBorders>
              <w:top w:val="single" w:sz="12" w:space="0" w:color="D3D3D3"/>
              <w:left w:val="nil"/>
              <w:bottom w:val="single" w:sz="12" w:space="0" w:color="D3D3D3"/>
              <w:right w:val="nil"/>
            </w:tcBorders>
            <w:shd w:val="clear" w:color="000000" w:fill="FFFFFF"/>
            <w:vAlign w:val="center"/>
            <w:hideMark/>
          </w:tcPr>
          <w:p w14:paraId="768B1337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Past year</w:t>
            </w:r>
          </w:p>
        </w:tc>
      </w:tr>
      <w:tr w:rsidR="000E3609" w:rsidRPr="000E3609" w14:paraId="7406273E" w14:textId="77777777" w:rsidTr="000E3609">
        <w:trPr>
          <w:trHeight w:val="360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nil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06FBC508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Random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7237" w14:textId="10706C5B" w:rsidR="000E3609" w:rsidRPr="000E3609" w:rsidRDefault="00CA209E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79.479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46532" w14:textId="7A1C0214" w:rsidR="000E3609" w:rsidRPr="000E3609" w:rsidRDefault="00CA209E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5.061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185E" w14:textId="2C28EC5E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68.623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28285" w14:textId="26AE5139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3.108</w:t>
            </w:r>
          </w:p>
        </w:tc>
      </w:tr>
      <w:tr w:rsidR="000E3609" w:rsidRPr="000E3609" w14:paraId="520B7B92" w14:textId="77777777" w:rsidTr="000E3609">
        <w:trPr>
          <w:trHeight w:val="345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nil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2B1C6A57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Fixed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845F9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152.962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14E67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40.204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9A374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152.796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07168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40.184</w:t>
            </w:r>
          </w:p>
        </w:tc>
      </w:tr>
      <w:tr w:rsidR="000E3609" w:rsidRPr="000E3609" w14:paraId="49A1FE3E" w14:textId="77777777" w:rsidTr="000E3609">
        <w:trPr>
          <w:trHeight w:val="360"/>
          <w:jc w:val="center"/>
        </w:trPr>
        <w:tc>
          <w:tcPr>
            <w:tcW w:w="11070" w:type="dxa"/>
            <w:gridSpan w:val="5"/>
            <w:tcBorders>
              <w:top w:val="single" w:sz="12" w:space="0" w:color="D3D3D3"/>
              <w:left w:val="nil"/>
              <w:bottom w:val="single" w:sz="12" w:space="0" w:color="D3D3D3"/>
              <w:right w:val="nil"/>
            </w:tcBorders>
            <w:shd w:val="clear" w:color="000000" w:fill="FFFFFF"/>
            <w:vAlign w:val="center"/>
            <w:hideMark/>
          </w:tcPr>
          <w:p w14:paraId="1D90733F" w14:textId="43D5C62F" w:rsidR="000E3609" w:rsidRPr="000E3609" w:rsidRDefault="00AD18C4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Adulthood</w:t>
            </w:r>
          </w:p>
        </w:tc>
      </w:tr>
      <w:tr w:rsidR="000E3609" w:rsidRPr="000E3609" w14:paraId="779CBB3F" w14:textId="77777777" w:rsidTr="000E3609">
        <w:trPr>
          <w:trHeight w:val="360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nil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66A37FDD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Random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3E58" w14:textId="7F4B4B0A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296.439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D6F83" w14:textId="33F47474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9.798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E19C" w14:textId="43227386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263.3</w:t>
            </w:r>
            <w:r w:rsidR="000E3609" w:rsidRPr="000E3609">
              <w:rPr>
                <w:rFonts w:ascii="Times New Roman" w:eastAsia="Times New Roman" w:hAnsi="Times New Roman" w:cs="Times New Roman"/>
                <w:color w:val="333333"/>
              </w:rPr>
              <w:t>93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B0286" w14:textId="355818AF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8.250</w:t>
            </w:r>
          </w:p>
        </w:tc>
      </w:tr>
      <w:tr w:rsidR="000E3609" w:rsidRPr="000E3609" w14:paraId="3AF507A1" w14:textId="77777777" w:rsidTr="000E3609">
        <w:trPr>
          <w:trHeight w:val="345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single" w:sz="12" w:space="0" w:color="A8A8A8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52C867A8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Fixed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6D3D76F7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1148.927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6A09C0E3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214.247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1339B8AF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1181.196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286EBA7D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234.228</w:t>
            </w:r>
          </w:p>
        </w:tc>
      </w:tr>
    </w:tbl>
    <w:p w14:paraId="4476CE10" w14:textId="77777777" w:rsidR="000E3609" w:rsidRDefault="000E3609">
      <w:pPr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</w:rPr>
        <w:br w:type="page"/>
      </w:r>
    </w:p>
    <w:p w14:paraId="39F54011" w14:textId="1126BBDD" w:rsidR="000E3609" w:rsidRDefault="000E3609" w:rsidP="00AD18C4">
      <w:pPr>
        <w:tabs>
          <w:tab w:val="left" w:pos="7707"/>
        </w:tabs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17509C" wp14:editId="13B415FE">
                <wp:simplePos x="0" y="0"/>
                <wp:positionH relativeFrom="margin">
                  <wp:posOffset>1563164</wp:posOffset>
                </wp:positionH>
                <wp:positionV relativeFrom="paragraph">
                  <wp:posOffset>35759</wp:posOffset>
                </wp:positionV>
                <wp:extent cx="4817202" cy="771365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202" cy="7713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AC171" w14:textId="58E1B124" w:rsidR="00AD18C4" w:rsidRPr="00700416" w:rsidRDefault="00AD18C4" w:rsidP="00700416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Supplementary Figure 1. Posterior predictive checks for the past year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and adulthood models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. In dark blue is distribution of empirical data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(study prevalences)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, light blue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is simulated data from the mode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(estimated prevalences).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50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pt;margin-top:2.8pt;width:379.3pt;height:6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yoLgIAAGAEAAAOAAAAZHJzL2Uyb0RvYy54bWysVE1vGjEQvVfqf7B8L8tHm0SIJaJEVJVQ&#10;EgmqnI3XZi15Pe7YsEt/fcf7Qdq0p6oXM54ZP+97b8zivqksOysMBlzOJ6MxZ8pJKIw75vzbfvPh&#10;jrMQhSuEBadyflGB3y/fv1vUfq6mUIItFDICcWFe+5yXMfp5lgVZqkqEEXjlqKgBKxFpi8esQFET&#10;emWz6Xh8k9WAhUeQKgTKPnRFvmzxtVYyPmkdVGQ25/RtsV2xXQ9pzZYLMT+i8KWR/WeIf/iKShhH&#10;l16hHkQU7ITmD6jKSIQAOo4kVBlobaRqORCbyfgNm10pvGq5kDjBX2UK/w9WPp6fkZki5zPOnKjI&#10;or1qIvsMDZsldWof5tS089QWG0qTy0M+UDKRbjRW6ZfoMKqTzpertglMUvLj3eR2Op5yJql2ezuZ&#10;3XxKMNnraY8hflFQsRTkHMm7VlJx3obYtQ4t6bIA1hQbY23apMLaIjsL8rkuTVQ9+G9d1qVeB+lU&#10;B5gyWaLYUUlRbA5Nz/sAxYVoI3RjE7zcGLpoK0J8FkhzQkxp9uMTLdpCnXPoI85KwB9/y6d+so+q&#10;nNU0dzkP308CFWf2qyNj05AOAQ7BYQjcqVoDUZzQq/KyDekARjuEGqF6oSexSrdQSThJd+U8DuE6&#10;dtNPT0qq1aptolH0Im7dzssEPQi6b14E+t6OSEY+wjCRYv7Gla63k3d1iqBNa1kStFOx15nGuDW9&#10;f3Lpnfy6b7te/xiWPwEAAP//AwBQSwMEFAAGAAgAAAAhAGsbwNrfAAAACgEAAA8AAABkcnMvZG93&#10;bnJldi54bWxMj8FOwzAQRO9I/IO1SFxQa9cqoQpxKmjhBoeWqmc3NklEvI5sp0n/nu0Jbjua0eyb&#10;Yj25jp1tiK1HBYu5AGax8qbFWsHh6322AhaTRqM7j1bBxUZYl7c3hc6NH3Fnz/tUMyrBmGsFTUp9&#10;znmsGut0nPveInnfPjidSIaam6BHKncdl0Jk3OkW6UOje7tpbPWzH5yCbBuGcYebh+3h7UN/9rU8&#10;vl6OSt3fTS/PwJKd0l8YrviEDiUxnfyAJrJOgVxmkqIKHjNgV1+IJW050SWfFsDLgv+fUP4CAAD/&#10;/wMAUEsBAi0AFAAGAAgAAAAhALaDOJL+AAAA4QEAABMAAAAAAAAAAAAAAAAAAAAAAFtDb250ZW50&#10;X1R5cGVzXS54bWxQSwECLQAUAAYACAAAACEAOP0h/9YAAACUAQAACwAAAAAAAAAAAAAAAAAvAQAA&#10;X3JlbHMvLnJlbHNQSwECLQAUAAYACAAAACEALqFsqC4CAABgBAAADgAAAAAAAAAAAAAAAAAuAgAA&#10;ZHJzL2Uyb0RvYy54bWxQSwECLQAUAAYACAAAACEAaxvA2t8AAAAKAQAADwAAAAAAAAAAAAAAAACI&#10;BAAAZHJzL2Rvd25yZXYueG1sUEsFBgAAAAAEAAQA8wAAAJQFAAAAAA==&#10;" stroked="f">
                <v:textbox inset="0,0,0,0">
                  <w:txbxContent>
                    <w:p w14:paraId="2B9AC171" w14:textId="58E1B124" w:rsidR="00AD18C4" w:rsidRPr="00700416" w:rsidRDefault="00AD18C4" w:rsidP="00700416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</w:pP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Supplementary Figure 1. Posterior predictive checks for the past year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and adulthood models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. In dark blue is distribution of empirical data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(study prevalences)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, light blue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is simulated data from the mode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l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(estimated prevalences).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8C4">
        <w:rPr>
          <w:rFonts w:ascii="Times New Roman" w:hAnsi="Times New Roman" w:cs="Times New Roman"/>
        </w:rPr>
        <w:tab/>
      </w:r>
    </w:p>
    <w:p w14:paraId="040A9E47" w14:textId="6799D5FB" w:rsidR="000E3609" w:rsidRPr="000E3609" w:rsidRDefault="000E3609" w:rsidP="00632A5C">
      <w:pPr>
        <w:tabs>
          <w:tab w:val="left" w:pos="3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DD13A41" wp14:editId="6B59CAF7">
            <wp:simplePos x="0" y="0"/>
            <wp:positionH relativeFrom="margin">
              <wp:posOffset>1256417</wp:posOffset>
            </wp:positionH>
            <wp:positionV relativeFrom="paragraph">
              <wp:posOffset>648278</wp:posOffset>
            </wp:positionV>
            <wp:extent cx="5889625" cy="27070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pp_checks_submodel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" t="17735" r="444" b="18499"/>
                    <a:stretch/>
                  </pic:blipFill>
                  <pic:spPr bwMode="auto">
                    <a:xfrm>
                      <a:off x="0" y="0"/>
                      <a:ext cx="588962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  <w:r w:rsidR="00632A5C">
        <w:rPr>
          <w:rFonts w:ascii="Times New Roman" w:hAnsi="Times New Roman" w:cs="Times New Roman"/>
        </w:rPr>
        <w:lastRenderedPageBreak/>
        <w:tab/>
      </w:r>
    </w:p>
    <w:p w14:paraId="19FAFC9A" w14:textId="78B3A41C" w:rsidR="00A601DA" w:rsidRDefault="00A601DA">
      <w:pPr>
        <w:rPr>
          <w:rFonts w:ascii="Times New Roman" w:hAnsi="Times New Roman" w:cs="Times New Roman"/>
        </w:rPr>
      </w:pPr>
    </w:p>
    <w:p w14:paraId="7C0D100D" w14:textId="0789E8A5" w:rsidR="00A601DA" w:rsidRDefault="00700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8868675" wp14:editId="65B3718E">
            <wp:simplePos x="0" y="0"/>
            <wp:positionH relativeFrom="margin">
              <wp:posOffset>1276975</wp:posOffset>
            </wp:positionH>
            <wp:positionV relativeFrom="paragraph">
              <wp:posOffset>916447</wp:posOffset>
            </wp:positionV>
            <wp:extent cx="4867344" cy="4392582"/>
            <wp:effectExtent l="0" t="0" r="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INetCache\Content.Word\sigma_varian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344" cy="43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609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0D3C26" wp14:editId="50AEC66D">
                <wp:simplePos x="0" y="0"/>
                <wp:positionH relativeFrom="margin">
                  <wp:posOffset>633067</wp:posOffset>
                </wp:positionH>
                <wp:positionV relativeFrom="paragraph">
                  <wp:posOffset>418004</wp:posOffset>
                </wp:positionV>
                <wp:extent cx="5777578" cy="720281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578" cy="72028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DA7195" w14:textId="40BA7160" w:rsidR="00AD18C4" w:rsidRPr="00700416" w:rsidRDefault="00AD18C4" w:rsidP="00700416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808080" w:themeColor="background1" w:themeShade="80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 xml:space="preserve">Supplementary Figure 2. Posterior distribution of between-study variance coefficient for the </w:t>
                            </w:r>
                            <w:r w:rsid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 xml:space="preserve">past year and adulthood sexual abuse 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>models. Higher values indicate more variance between studies</w:t>
                            </w:r>
                            <w:r w:rsid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 xml:space="preserve"> or groups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3C26" id="Text Box 6" o:spid="_x0000_s1027" type="#_x0000_t202" style="position:absolute;margin-left:49.85pt;margin-top:32.9pt;width:454.95pt;height:56.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8peMQIAAGcEAAAOAAAAZHJzL2Uyb0RvYy54bWysVMGO2yAQvVfqPyDujZNIm6ysOKs0q1SV&#10;ot2VkmrPBEOMBAwFEjv9+g44zrbbnqpe8DAzDLz3Zrx46IwmZ+GDAlvRyWhMibAcamWPFf2233y6&#10;pyREZmumwYqKXkSgD8uPHxatK8UUGtC18ASL2FC2rqJNjK4sisAbYVgYgRMWgxK8YRG3/ljUnrVY&#10;3ehiOh7PihZ87TxwEQJ6H/sgXeb6Ugoen6UMIhJdUXxbzKvP6yGtxXLByqNnrlH8+gz2D68wTFm8&#10;9FbqkUVGTl79Ucoo7iGAjCMOpgApFRcZA6KZjN+h2TXMiYwFyQnuRlP4f2X50/nFE1VXdEaJZQYl&#10;2osuks/QkVlip3WhxKSdw7TYoRtVHvwBnQl0J71JX4RDMI48X27cpmIcnXfz+fxujt3AMTafjqf3&#10;uUzxdtr5EL8IMCQZFfWoXaaUnbch4kswdUhJlwXQqt4ordMmBdbakzNDndtGRZHeiCd+y9I25VpI&#10;p/pw8hQJYg8lWbE7dJmQG8wD1BdE76HvnuD4RuF9WxbiC/PYLggYRyA+4yI1tBWFq0VJA/7H3/wp&#10;H1XEKCUttl9Fw/cT84IS/dWivqlXB8MPxmEw7MmsAZFOcLgczyYe8FEPpvRgXnEyVukWDDHL8a6K&#10;xsFcx34IcLK4WK1yEnakY3Frd46n0gOv++6VeXdVJaKeTzA0JivfidPn9iyvThGkysolXnsWr3Rj&#10;N2d5rpOXxuXXfc56+z8sfwIAAP//AwBQSwMEFAAGAAgAAAAhAB8UVTHfAAAACgEAAA8AAABkcnMv&#10;ZG93bnJldi54bWxMj8FOwzAQRO9I/IO1SFwQtYlESkKcClq4waGl6tmNlyQiXkex06R/z/YEtx3N&#10;6O1MsZpdJ044hNaThoeFAoFUedtSrWH/9X7/BCJEQ9Z0nlDDGQOsyuurwuTWT7TF0y7WgiEUcqOh&#10;ibHPpQxVg86Ehe+R2Pv2gzOR5VBLO5iJ4a6TiVKpdKYl/tCYHtcNVj+70WlIN8M4bWl9t9m/fZjP&#10;vk4Or+eD1rc388sziIhz/AvDpT5Xh5I7Hf1INohOQ5YtOcmsR15w8ZXKUhBHvpZZArIs5P8J5S8A&#10;AAD//wMAUEsBAi0AFAAGAAgAAAAhALaDOJL+AAAA4QEAABMAAAAAAAAAAAAAAAAAAAAAAFtDb250&#10;ZW50X1R5cGVzXS54bWxQSwECLQAUAAYACAAAACEAOP0h/9YAAACUAQAACwAAAAAAAAAAAAAAAAAv&#10;AQAAX3JlbHMvLnJlbHNQSwECLQAUAAYACAAAACEA9e/KXjECAABnBAAADgAAAAAAAAAAAAAAAAAu&#10;AgAAZHJzL2Uyb0RvYy54bWxQSwECLQAUAAYACAAAACEAHxRVMd8AAAAKAQAADwAAAAAAAAAAAAAA&#10;AACLBAAAZHJzL2Rvd25yZXYueG1sUEsFBgAAAAAEAAQA8wAAAJcFAAAAAA==&#10;" stroked="f">
                <v:textbox inset="0,0,0,0">
                  <w:txbxContent>
                    <w:p w14:paraId="38DA7195" w14:textId="40BA7160" w:rsidR="00AD18C4" w:rsidRPr="00700416" w:rsidRDefault="00AD18C4" w:rsidP="00700416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808080" w:themeColor="background1" w:themeShade="80"/>
                          <w:sz w:val="20"/>
                          <w:szCs w:val="16"/>
                          <w:lang w:val="en-US"/>
                        </w:rPr>
                      </w:pP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 xml:space="preserve">Supplementary Figure 2. Posterior distribution of between-study variance coefficient for the </w:t>
                      </w:r>
                      <w:r w:rsid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 xml:space="preserve">past year and adulthood sexual abuse 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>models. Higher values indicate more variance between studies</w:t>
                      </w:r>
                      <w:r w:rsid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 xml:space="preserve"> or groups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DA">
        <w:rPr>
          <w:rFonts w:ascii="Times New Roman" w:hAnsi="Times New Roman" w:cs="Times New Roman"/>
        </w:rPr>
        <w:br w:type="page"/>
      </w:r>
    </w:p>
    <w:p w14:paraId="361C7F67" w14:textId="58B2566C" w:rsidR="007E50C7" w:rsidRPr="000E3609" w:rsidRDefault="00947E0E">
      <w:pPr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461F37" wp14:editId="3647C103">
                <wp:simplePos x="0" y="0"/>
                <wp:positionH relativeFrom="margin">
                  <wp:posOffset>657225</wp:posOffset>
                </wp:positionH>
                <wp:positionV relativeFrom="paragraph">
                  <wp:posOffset>-314325</wp:posOffset>
                </wp:positionV>
                <wp:extent cx="4158532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532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B4B976" w14:textId="6EECA031" w:rsidR="00AD18C4" w:rsidRPr="00C64552" w:rsidRDefault="00AD18C4" w:rsidP="00EC7EF5">
                            <w:pPr>
                              <w:pStyle w:val="Caption"/>
                              <w:rPr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25CA9">
                              <w:rPr>
                                <w:color w:val="808080" w:themeColor="background1" w:themeShade="80"/>
                                <w:lang w:val="en-US"/>
                              </w:rPr>
                              <w:t>Supplementary</w:t>
                            </w:r>
                            <w:r>
                              <w:rPr>
                                <w:color w:val="808080" w:themeColor="background1" w:themeShade="80"/>
                                <w:lang w:val="en-US"/>
                              </w:rPr>
                              <w:t xml:space="preserve"> Figure 3. Comparisons of reported prevalence by differences in study design.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1F37" id="Text Box 1" o:spid="_x0000_s1028" type="#_x0000_t202" style="position:absolute;margin-left:51.75pt;margin-top:-24.75pt;width:327.4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dbMQIAAGcEAAAOAAAAZHJzL2Uyb0RvYy54bWysVE2P2jAQvVfqf7B8L+GjVKuIsKKsqCqh&#10;3ZWg2rNxbGLJ9ri2IaG/vmOHsO22p6oXM5kZz/i9N8PivjOanIUPCmxFJ6MxJcJyqJU9VvTbfvPh&#10;jpIQma2ZBisqehGB3i/fv1u0rhRTaEDXwhMsYkPZuoo2MbqyKAJvhGFhBE5YDErwhkX89Mei9qzF&#10;6kYX0/H4U9GCr50HLkJA70MfpMtcX0rB45OUQUSiK4pvi/n0+Tyks1guWHn0zDWKX5/B/uEVhimL&#10;TW+lHlhk5OTVH6WM4h4CyDjiYAqQUnGRMSCayfgNml3DnMhYkJzgbjSF/1eWP56fPVE1akeJZQYl&#10;2osuks/QkUlip3WhxKSdw7TYoTtlXv0BnQl0J71JvwiHYBx5vty4TcU4Oj9O5nfz2ZQSjrHZdHY3&#10;z+QXr7edD/GLAEOSUVGP2mVK2XkbInbE1CElNQugVb1RWqePFFhrT84MdW4bFUV6I974LUvblGsh&#10;3erDyVMkiD2UZMXu0GVCpgPMA9QXRO+hn57g+EZhvy0L8Zl5HBcEjCsQn/CQGtqKwtWipAH/42/+&#10;lI8qYpSSFsevouH7iXlBif5qUd80q4PhB+MwGPZk1oBIUTN8TTbxgo96MKUH84KbsUpdMMQsx14V&#10;jYO5jv0S4GZxsVrlJJxIx+LW7hxPpQde990L8+6qSkQ9H2EYTFa+EafP7VlenSJIlZVLvPYsXunG&#10;ac7yXDcvrcuv3znr9f9h+RMAAP//AwBQSwMEFAAGAAgAAAAhAOBlhanfAAAACQEAAA8AAABkcnMv&#10;ZG93bnJldi54bWxMj8FOwzAQRO9I/IO1SFxQ61CaUkKcClp6g0NL1bMbL0lEvI5sp0n/nuUEtx3N&#10;0+xMvhptK87oQ+NIwf00AYFUOtNQpeDwuZ0sQYSoyejWESq4YIBVcX2V68y4gXZ43sdKcAiFTCuo&#10;Y+wyKUNZo9Vh6jok9r6ctzqy9JU0Xg8cbls5S5KFtLoh/lDrDtc1lt/73ipYbHw/7Gh9tzm8veuP&#10;rpodXy9HpW5vxpdnEBHH+AfDb32uDgV3OrmeTBAt6+QhZVTBZP7EBxOP6XIO4sRWCrLI5f8FxQ8A&#10;AAD//wMAUEsBAi0AFAAGAAgAAAAhALaDOJL+AAAA4QEAABMAAAAAAAAAAAAAAAAAAAAAAFtDb250&#10;ZW50X1R5cGVzXS54bWxQSwECLQAUAAYACAAAACEAOP0h/9YAAACUAQAACwAAAAAAAAAAAAAAAAAv&#10;AQAAX3JlbHMvLnJlbHNQSwECLQAUAAYACAAAACEAbu8XWzECAABnBAAADgAAAAAAAAAAAAAAAAAu&#10;AgAAZHJzL2Uyb0RvYy54bWxQSwECLQAUAAYACAAAACEA4GWFqd8AAAAJAQAADwAAAAAAAAAAAAAA&#10;AACLBAAAZHJzL2Rvd25yZXYueG1sUEsFBgAAAAAEAAQA8wAAAJcFAAAAAA==&#10;" stroked="f">
                <v:textbox inset="0,0,0,0">
                  <w:txbxContent>
                    <w:p w14:paraId="11B4B976" w14:textId="6EECA031" w:rsidR="00AD18C4" w:rsidRPr="00C64552" w:rsidRDefault="00AD18C4" w:rsidP="00EC7EF5">
                      <w:pPr>
                        <w:pStyle w:val="Caption"/>
                        <w:rPr>
                          <w:noProof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325CA9">
                        <w:rPr>
                          <w:color w:val="808080" w:themeColor="background1" w:themeShade="80"/>
                          <w:lang w:val="en-US"/>
                        </w:rPr>
                        <w:t>Supplementary</w:t>
                      </w:r>
                      <w:r>
                        <w:rPr>
                          <w:color w:val="808080" w:themeColor="background1" w:themeShade="80"/>
                          <w:lang w:val="en-US"/>
                        </w:rPr>
                        <w:t xml:space="preserve"> Figure 3. Comparisons of reported prevalence by differences in study design.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3609">
        <w:rPr>
          <w:rFonts w:ascii="Times New Roman" w:hAnsi="Times New Roman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EF24156" wp14:editId="0B63F3AE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5949819" cy="6334125"/>
            <wp:effectExtent l="0" t="0" r="0" b="0"/>
            <wp:wrapTight wrapText="bothSides">
              <wp:wrapPolygon edited="0">
                <wp:start x="0" y="0"/>
                <wp:lineTo x="0" y="21503"/>
                <wp:lineTo x="21510" y="21503"/>
                <wp:lineTo x="215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bined_plot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819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0C7" w:rsidRPr="000E3609" w:rsidSect="00D54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4AF" w16cex:dateUtc="2020-12-21T13:50:00Z"/>
  <w16cex:commentExtensible w16cex:durableId="238B30F9" w16cex:dateUtc="2020-12-21T13:34:00Z"/>
  <w16cex:commentExtensible w16cex:durableId="238B3196" w16cex:dateUtc="2020-12-21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66B2" w16cid:durableId="238B34AF"/>
  <w16cid:commentId w16cid:paraId="416BDDBA" w16cid:durableId="238B30F9"/>
  <w16cid:commentId w16cid:paraId="67C57BBF" w16cid:durableId="238B31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22"/>
    <w:rsid w:val="00054633"/>
    <w:rsid w:val="00071254"/>
    <w:rsid w:val="000E3609"/>
    <w:rsid w:val="001D0201"/>
    <w:rsid w:val="003137FE"/>
    <w:rsid w:val="00325CA9"/>
    <w:rsid w:val="003C69F7"/>
    <w:rsid w:val="00485FC7"/>
    <w:rsid w:val="004D03B4"/>
    <w:rsid w:val="0058540F"/>
    <w:rsid w:val="00590E1B"/>
    <w:rsid w:val="00632A5C"/>
    <w:rsid w:val="00664BCB"/>
    <w:rsid w:val="00690CD4"/>
    <w:rsid w:val="006D301D"/>
    <w:rsid w:val="00700416"/>
    <w:rsid w:val="00790D48"/>
    <w:rsid w:val="007B6930"/>
    <w:rsid w:val="007E50C7"/>
    <w:rsid w:val="0088291D"/>
    <w:rsid w:val="008F3A19"/>
    <w:rsid w:val="00914222"/>
    <w:rsid w:val="00947E0E"/>
    <w:rsid w:val="00A24761"/>
    <w:rsid w:val="00A601DA"/>
    <w:rsid w:val="00AD18C4"/>
    <w:rsid w:val="00B77648"/>
    <w:rsid w:val="00BD3FCD"/>
    <w:rsid w:val="00C02FFE"/>
    <w:rsid w:val="00C64552"/>
    <w:rsid w:val="00CA209E"/>
    <w:rsid w:val="00D54A22"/>
    <w:rsid w:val="00DD719F"/>
    <w:rsid w:val="00E90879"/>
    <w:rsid w:val="00EA768C"/>
    <w:rsid w:val="00EB6C53"/>
    <w:rsid w:val="00E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87D3"/>
  <w15:chartTrackingRefBased/>
  <w15:docId w15:val="{63F435E2-A6B3-4B5A-84AC-101FEC5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5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64552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45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9B42-468F-438D-9130-C2734A6A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M.G. Zarchev</dc:creator>
  <cp:keywords/>
  <dc:description/>
  <cp:lastModifiedBy>Milan Zarchev</cp:lastModifiedBy>
  <cp:revision>5</cp:revision>
  <dcterms:created xsi:type="dcterms:W3CDTF">2021-08-31T12:15:00Z</dcterms:created>
  <dcterms:modified xsi:type="dcterms:W3CDTF">2021-08-31T12:18:00Z</dcterms:modified>
</cp:coreProperties>
</file>