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600E" w14:textId="1FA274D7" w:rsidR="00C64552" w:rsidRPr="000E3609" w:rsidRDefault="00C64552">
      <w:pPr>
        <w:rPr>
          <w:rFonts w:ascii="Times New Roman" w:hAnsi="Times New Roman" w:cs="Times New Roman"/>
          <w:sz w:val="32"/>
          <w:szCs w:val="24"/>
        </w:rPr>
      </w:pPr>
      <w:r w:rsidRPr="000E3609">
        <w:rPr>
          <w:rFonts w:ascii="Times New Roman" w:hAnsi="Times New Roman" w:cs="Times New Roman"/>
          <w:sz w:val="32"/>
          <w:szCs w:val="24"/>
        </w:rPr>
        <w:t>Prevalence of</w:t>
      </w:r>
      <w:r w:rsidR="00EA768C">
        <w:rPr>
          <w:rFonts w:ascii="Times New Roman" w:hAnsi="Times New Roman" w:cs="Times New Roman"/>
          <w:sz w:val="32"/>
          <w:szCs w:val="24"/>
        </w:rPr>
        <w:t xml:space="preserve"> adult</w:t>
      </w:r>
      <w:r w:rsidRPr="000E3609">
        <w:rPr>
          <w:rFonts w:ascii="Times New Roman" w:hAnsi="Times New Roman" w:cs="Times New Roman"/>
          <w:sz w:val="32"/>
          <w:szCs w:val="24"/>
        </w:rPr>
        <w:t xml:space="preserve"> sexual abuse in men with mental illness</w:t>
      </w:r>
      <w:r w:rsidR="003C69F7">
        <w:rPr>
          <w:rFonts w:ascii="Times New Roman" w:hAnsi="Times New Roman" w:cs="Times New Roman"/>
          <w:sz w:val="32"/>
          <w:szCs w:val="24"/>
        </w:rPr>
        <w:t>: A Bayesian meta-analysis</w:t>
      </w:r>
      <w:r w:rsidRPr="000E3609">
        <w:rPr>
          <w:rFonts w:ascii="Times New Roman" w:hAnsi="Times New Roman" w:cs="Times New Roman"/>
          <w:sz w:val="32"/>
          <w:szCs w:val="24"/>
        </w:rPr>
        <w:t xml:space="preserve"> </w:t>
      </w:r>
    </w:p>
    <w:p w14:paraId="6AAEC68F" w14:textId="77777777" w:rsidR="00C64552" w:rsidRPr="000E3609" w:rsidRDefault="00C64552" w:rsidP="00C64552">
      <w:pPr>
        <w:pStyle w:val="Heading1"/>
        <w:jc w:val="center"/>
        <w:rPr>
          <w:rFonts w:ascii="Times New Roman" w:hAnsi="Times New Roman" w:cs="Times New Roman"/>
          <w:color w:val="C00000"/>
          <w:sz w:val="36"/>
        </w:rPr>
      </w:pPr>
    </w:p>
    <w:p w14:paraId="4E04551C" w14:textId="77777777" w:rsidR="00C64552" w:rsidRPr="000E3609" w:rsidRDefault="00C64552" w:rsidP="00C64552">
      <w:pPr>
        <w:pStyle w:val="Heading1"/>
        <w:jc w:val="center"/>
        <w:rPr>
          <w:rFonts w:ascii="Times New Roman" w:hAnsi="Times New Roman" w:cs="Times New Roman"/>
          <w:color w:val="C00000"/>
          <w:sz w:val="36"/>
        </w:rPr>
      </w:pPr>
    </w:p>
    <w:p w14:paraId="5587D0C6" w14:textId="2A5533F7" w:rsidR="00EB6C53" w:rsidRPr="000E3609" w:rsidRDefault="003C69F7">
      <w:pPr>
        <w:rPr>
          <w:rFonts w:ascii="Times New Roman" w:hAnsi="Times New Roman" w:cs="Times New Roman"/>
        </w:rPr>
      </w:pPr>
      <w:r w:rsidRPr="003C69F7">
        <w:rPr>
          <w:rFonts w:ascii="Times New Roman" w:eastAsiaTheme="majorEastAsia" w:hAnsi="Times New Roman" w:cs="Times New Roman"/>
          <w:color w:val="C00000"/>
          <w:sz w:val="36"/>
          <w:szCs w:val="32"/>
          <w:lang w:val="en-GB"/>
        </w:rPr>
        <w:t xml:space="preserve">Supplementary </w:t>
      </w:r>
      <w:r>
        <w:rPr>
          <w:rFonts w:ascii="Times New Roman" w:eastAsiaTheme="majorEastAsia" w:hAnsi="Times New Roman" w:cs="Times New Roman"/>
          <w:color w:val="C00000"/>
          <w:sz w:val="36"/>
          <w:szCs w:val="32"/>
          <w:lang w:val="en-GB"/>
        </w:rPr>
        <w:t>Materials</w:t>
      </w:r>
      <w:r w:rsidR="00C64552" w:rsidRPr="000E3609">
        <w:rPr>
          <w:rFonts w:ascii="Times New Roman" w:hAnsi="Times New Roman" w:cs="Times New Roman"/>
        </w:rPr>
        <w:br w:type="page"/>
      </w:r>
    </w:p>
    <w:p w14:paraId="56610D4D" w14:textId="10EA0B1E" w:rsidR="00EB6C53" w:rsidRPr="000E3609" w:rsidRDefault="00C636B8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Supplementary Data 1</w:t>
      </w:r>
    </w:p>
    <w:p w14:paraId="644826DA" w14:textId="77777777" w:rsidR="00EB6C53" w:rsidRPr="000E3609" w:rsidRDefault="00EB6C53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E3609">
        <w:rPr>
          <w:rFonts w:ascii="Times New Roman" w:hAnsi="Times New Roman" w:cs="Times New Roman"/>
          <w:color w:val="222222"/>
          <w:shd w:val="clear" w:color="auto" w:fill="FFFFFF"/>
        </w:rPr>
        <w:t>Keyword string used to search for studies across databases:</w:t>
      </w:r>
    </w:p>
    <w:p w14:paraId="3F0757E8" w14:textId="77777777" w:rsidR="00EB6C53" w:rsidRPr="000E3609" w:rsidRDefault="00EB6C53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7C4298A" w14:textId="77777777" w:rsidR="00EB6C53" w:rsidRPr="000E3609" w:rsidRDefault="00EB6C53">
      <w:pPr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  <w:color w:val="222222"/>
          <w:shd w:val="clear" w:color="auto" w:fill="FFFFFF"/>
        </w:rPr>
        <w:t>('sexual violence'/de OR 'sex trafficking'/de OR 'sexual assault'/de OR Rape/exp OR 'sexual abuse'/de OR 'sexual harassment'/exp OR 'sexual coercion'/de OR 'sexual exploitation'/de OR 'dating violence'/de OR 'sexual crime'/de OR (((sex* OR dating) NEAR/3 (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violen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violation*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traffick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assault*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coerc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exploitat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abus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 OR harass* OR bullying OR trauma* OR trading OR victim* OR non-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consens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nonconsens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 OR crime*)) OR rape):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 AND ('prevalence'/de OR epidemiology/de OR (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prevalen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epidemiolog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((rate OR rates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Frequenc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*) NEAR/3 (violence OR abuse))):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) AND ('mental health'/exp OR 'mental health care'/exp OR 'mental health center'/exp OR 'mental disease'/exp OR 'mental patient'/exp OR 'psychiatry'/exp OR 'psychiatric department'/de OR 'Diagnostic and Statistical Manual of Mental Disorders'/exp OR ((mental NEAR/3 (health* OR disease* OR patient* OR disorder*))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psychiatr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 OR dual-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diagnos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dsm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ptsd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 OR ((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posttraum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 OR post-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traum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*) NEAR/3 stress) OR depress* OR borderline OR (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personalit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NEAR/3 disorder*) OR bipolar*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schizophreni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* OR 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suicid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* OR psychosis OR psychoses):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 NOT ((female/exp OR (women OR woman OR female*):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 NOT (male/exp OR (men OR man OR male*):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)) NOT ([Conference Abstract]/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lim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 AND [1800-2017]/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py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 AND [English]/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lim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 xml:space="preserve"> NOT ((juvenile/exp OR 'child abuse'/exp OR (child* OR boys OR girls):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 NOT (adult/exp OR (adult* OR men OR women):</w:t>
      </w:r>
      <w:proofErr w:type="spellStart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ab,ti</w:t>
      </w:r>
      <w:proofErr w:type="spellEnd"/>
      <w:r w:rsidRPr="000E3609">
        <w:rPr>
          <w:rFonts w:ascii="Times New Roman" w:hAnsi="Times New Roman" w:cs="Times New Roman"/>
          <w:color w:val="222222"/>
          <w:shd w:val="clear" w:color="auto" w:fill="FFFFFF"/>
        </w:rPr>
        <w:t>))</w:t>
      </w:r>
      <w:r w:rsidRPr="000E3609">
        <w:rPr>
          <w:rFonts w:ascii="Times New Roman" w:hAnsi="Times New Roman" w:cs="Times New Roman"/>
        </w:rPr>
        <w:br w:type="page"/>
      </w:r>
    </w:p>
    <w:tbl>
      <w:tblPr>
        <w:tblW w:w="14473" w:type="dxa"/>
        <w:tblInd w:w="-432" w:type="dxa"/>
        <w:tblLook w:val="04A0" w:firstRow="1" w:lastRow="0" w:firstColumn="1" w:lastColumn="0" w:noHBand="0" w:noVBand="1"/>
      </w:tblPr>
      <w:tblGrid>
        <w:gridCol w:w="1260"/>
        <w:gridCol w:w="1170"/>
        <w:gridCol w:w="4050"/>
        <w:gridCol w:w="990"/>
        <w:gridCol w:w="1289"/>
        <w:gridCol w:w="1263"/>
        <w:gridCol w:w="862"/>
        <w:gridCol w:w="624"/>
        <w:gridCol w:w="725"/>
        <w:gridCol w:w="1561"/>
        <w:gridCol w:w="679"/>
      </w:tblGrid>
      <w:tr w:rsidR="00485FC7" w:rsidRPr="00D54A22" w14:paraId="033AF369" w14:textId="77777777" w:rsidTr="00485FC7">
        <w:trPr>
          <w:trHeight w:val="330"/>
        </w:trPr>
        <w:tc>
          <w:tcPr>
            <w:tcW w:w="144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4681E" w14:textId="353E4F2B" w:rsidR="00485FC7" w:rsidRPr="00485FC7" w:rsidRDefault="00325CA9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325CA9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Supplementary</w:t>
            </w:r>
            <w:r w:rsidRPr="00325CA9">
              <w:rPr>
                <w:rFonts w:ascii="Times New Roman" w:hAnsi="Times New Roman" w:cs="Times New Roman"/>
                <w:noProof/>
              </w:rPr>
              <w:t xml:space="preserve"> </w:t>
            </w:r>
            <w:r w:rsidR="00485FC7" w:rsidRPr="00485FC7">
              <w:rPr>
                <w:rFonts w:ascii="Times New Roman" w:hAnsi="Times New Roman" w:cs="Times New Roman"/>
                <w:color w:val="808080" w:themeColor="background1" w:themeShade="80"/>
              </w:rPr>
              <w:t>Table 1. Studies included in the meta-analysis for each sample type</w:t>
            </w:r>
          </w:p>
        </w:tc>
      </w:tr>
      <w:tr w:rsidR="00485FC7" w:rsidRPr="00D54A22" w14:paraId="570E7B7E" w14:textId="77777777" w:rsidTr="00485FC7">
        <w:trPr>
          <w:trHeight w:val="330"/>
        </w:trPr>
        <w:tc>
          <w:tcPr>
            <w:tcW w:w="126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A12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</w:p>
          <w:p w14:paraId="00BD1C2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8BC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Author</w:t>
            </w:r>
          </w:p>
        </w:tc>
        <w:tc>
          <w:tcPr>
            <w:tcW w:w="405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B87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Title</w:t>
            </w:r>
          </w:p>
        </w:tc>
        <w:tc>
          <w:tcPr>
            <w:tcW w:w="990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9A8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Sampling</w:t>
            </w:r>
          </w:p>
        </w:tc>
        <w:tc>
          <w:tcPr>
            <w:tcW w:w="1289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33C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Instrument</w:t>
            </w:r>
          </w:p>
        </w:tc>
        <w:tc>
          <w:tcPr>
            <w:tcW w:w="1263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6A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Implementation</w:t>
            </w:r>
          </w:p>
        </w:tc>
        <w:tc>
          <w:tcPr>
            <w:tcW w:w="862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985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Country</w:t>
            </w:r>
          </w:p>
        </w:tc>
        <w:tc>
          <w:tcPr>
            <w:tcW w:w="624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D462D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Quality</w:t>
            </w:r>
          </w:p>
        </w:tc>
        <w:tc>
          <w:tcPr>
            <w:tcW w:w="725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F4B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N (men)</w:t>
            </w:r>
          </w:p>
        </w:tc>
        <w:tc>
          <w:tcPr>
            <w:tcW w:w="1561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D10E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>Past year Sexual Abuse</w:t>
            </w:r>
          </w:p>
        </w:tc>
        <w:tc>
          <w:tcPr>
            <w:tcW w:w="679" w:type="dxa"/>
            <w:tcBorders>
              <w:top w:val="single" w:sz="12" w:space="0" w:color="A8A8A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A0F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6"/>
              </w:rPr>
              <w:t xml:space="preserve">Lifetime </w:t>
            </w:r>
          </w:p>
        </w:tc>
      </w:tr>
      <w:tr w:rsidR="00485FC7" w:rsidRPr="00D54A22" w14:paraId="369C3BE4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7C3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E5C5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Goodman 2001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85F7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Recent victimization in women and men with severe Mental illness: prevalence and correlates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2985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A379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35F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25B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6CF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145F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461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54DF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7.6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E1DD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24.5</w:t>
            </w:r>
          </w:p>
        </w:tc>
      </w:tr>
      <w:tr w:rsidR="00485FC7" w:rsidRPr="00D54A22" w14:paraId="4F0F0D5F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B271C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45C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Anderson 2016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0B45D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Childhood maltreatment and adulthood domestic and sexual Violence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victimisation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among people with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8440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B9821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CTQ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C015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13FE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4CD400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1D6FC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181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62A7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7024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21.6</w:t>
            </w:r>
          </w:p>
        </w:tc>
      </w:tr>
      <w:tr w:rsidR="00485FC7" w:rsidRPr="00D54A22" w14:paraId="0EA0DCE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0DC7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68AB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Yen 2002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52F6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Traumatic exposure and posttraumatic stress disorder in borderline, Schizotypal, avoidant, and obsessive-compulsive personality disorders: Findings from the collaborative longitudinal personality disorders study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86BD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E06D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SCID trauma addendum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89FD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82CF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17B8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D0A0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60DB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95CF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19.3</w:t>
            </w:r>
          </w:p>
        </w:tc>
      </w:tr>
      <w:tr w:rsidR="00485FC7" w:rsidRPr="00D54A22" w14:paraId="2E717D4B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6797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AE4F8D" w14:textId="6B90D1B3" w:rsidR="00485FC7" w:rsidRPr="00485FC7" w:rsidRDefault="00485FC7" w:rsidP="00BD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De</w:t>
            </w:r>
            <w:r w:rsid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O</w:t>
            </w: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liveira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EAA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Factors associated with self-report of sexual violence Against men and women with mental disorders in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brazil</w:t>
            </w:r>
            <w:proofErr w:type="spellEnd"/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4014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591B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6872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2C433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Brazil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A1AFFC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D33F9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1198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3C97C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98293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12.5</w:t>
            </w:r>
          </w:p>
        </w:tc>
      </w:tr>
      <w:tr w:rsidR="00485FC7" w:rsidRPr="00D54A22" w14:paraId="58EE8E8A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722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7F5B9" w14:textId="19AE3304" w:rsidR="00485FC7" w:rsidRPr="00485FC7" w:rsidRDefault="00BD3FCD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De W</w:t>
            </w:r>
            <w:r w:rsidR="00485FC7"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aal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FB08F" w14:textId="3EBFEDE2" w:rsidR="00BD3FCD" w:rsidRPr="00BD3FCD" w:rsidRDefault="00BD3FCD" w:rsidP="00BD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Gender differences in characteristics of</w:t>
            </w: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</w:t>
            </w: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physical and sexual victimization in</w:t>
            </w:r>
          </w:p>
          <w:p w14:paraId="05EA6C7D" w14:textId="7BDF6647" w:rsidR="00485FC7" w:rsidRPr="00485FC7" w:rsidRDefault="00BD3FCD" w:rsidP="00BD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patients with dual diagnosis: a cross</w:t>
            </w: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-</w:t>
            </w: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sectional</w:t>
            </w:r>
            <w:r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</w:t>
            </w:r>
            <w:r w:rsidRPr="00BD3FCD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study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0A65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9400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Safety monitor (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Veiligheidsmonitor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A14C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BCDA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Netherlands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DD59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7CBB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FC90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4.1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01AB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477C7534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DF21B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1D64A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Coverdale 2000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AB98E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Sexual and physical abuse of chronically ill psychiatric outpatients compared with a matched sample of medical outpatients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16039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95066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24A1D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61CD4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New Zealand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0D3FF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5C97E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3CBF0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79534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26.1</w:t>
            </w:r>
          </w:p>
        </w:tc>
      </w:tr>
      <w:tr w:rsidR="00485FC7" w:rsidRPr="00D54A22" w14:paraId="0092D74A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91E6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F95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Hutchings 1993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EB26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Sexual assault history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a community mental health Center clinical population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F5C6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7E73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D9A4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Self-administered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5185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4C84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44ED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1826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432E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</w:t>
            </w:r>
          </w:p>
        </w:tc>
      </w:tr>
      <w:tr w:rsidR="00485FC7" w:rsidRPr="00D54A22" w14:paraId="3021A010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59EAE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95828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Kamperman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BD358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Criminal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victimisation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in people with severe mental Illness: a multi-site prevalence and incidence survey in The Netherlands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BB019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38C24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Dutch crime and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victimisation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survey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17E6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DAE4D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Netherlands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28A31D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A7239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608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CC52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F326B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7FDDA99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64E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5795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Khalifeh 2015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CFB5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Domestic and sexual violence against patients with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3E2D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1696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Crime survey for England and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wales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(CSEW)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6845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Self-completed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EBB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5D8F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0935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157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1E2E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3.2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B620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22.9</w:t>
            </w:r>
          </w:p>
        </w:tc>
      </w:tr>
      <w:tr w:rsidR="00485FC7" w:rsidRPr="00D54A22" w14:paraId="69E39E3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1203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FE982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Lipschitz 1996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2001D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Prevalence and characteristics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Of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physical and sexual abuse Among psychiatric outpatients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F3374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9C4BA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Traumatic events questionnaire (TEQ)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0FFE1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Self-completed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94AFA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F242D2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E6136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435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F2639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14.7</w:t>
            </w:r>
          </w:p>
        </w:tc>
      </w:tr>
      <w:tr w:rsidR="00485FC7" w:rsidRPr="00D54A22" w14:paraId="55CEEA88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8FE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EEB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Dammeyr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99C8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 national survey on violence and Discrimination among people with Disabilities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6783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E2D3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99E6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Online questionnaire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DAB5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Denmark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2A94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4FAF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493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D687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E869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71A7EFB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0857E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21BD8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Shack 2004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70679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Prior history of physical and Sexual abuse among the Psychiatric inpatient population: A comparison of males and females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41ED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4AFB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96976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3C191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49CA3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29614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84C16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D18A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25</w:t>
            </w:r>
          </w:p>
        </w:tc>
      </w:tr>
      <w:tr w:rsidR="00485FC7" w:rsidRPr="00D54A22" w14:paraId="62ED837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46E7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D9DA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Teplin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2005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4BBE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Crime victimization in adults with severe mental illness: Comparison with the national crime victimization survey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A1A6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4FC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NCSV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5B0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13A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AA7E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9483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483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5A39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0.8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146F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019FA64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DA775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20A35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Mueser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1998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27019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 and posttraumatic stress disorder in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74041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E068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 History questionnaire (THQ)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DE366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D9C57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D793AF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D84D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122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F047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2A3E2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25.9</w:t>
            </w:r>
          </w:p>
        </w:tc>
      </w:tr>
      <w:tr w:rsidR="00485FC7" w:rsidRPr="00D54A22" w14:paraId="369991C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BB8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Mixed-diagnosis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FDF8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Villano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2007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E199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correlates of posttraumatic stress disorder and chronic Severe pain in psychiatric outpatients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801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6466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Stressful Life events inventory (SLEI)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7F2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69D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800C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2711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9576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AA7F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12.6</w:t>
            </w:r>
          </w:p>
        </w:tc>
      </w:tr>
      <w:tr w:rsidR="00485FC7" w:rsidRPr="00D54A22" w14:paraId="4828E33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7984B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Intellectual disability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50DA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Llario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2019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9FA8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sequelae of self-reported and other reported Sexual abuse in adults with intellectual disability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1D5A6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22B6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BA81B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Self-report/documented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F66A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Spain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5E2FE3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3EADF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180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A4A27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FA735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29.4</w:t>
            </w:r>
          </w:p>
        </w:tc>
      </w:tr>
      <w:tr w:rsidR="00485FC7" w:rsidRPr="00D54A22" w14:paraId="44EFB35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0CD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Intellectual disability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00E0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Pan 2007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64E2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of sexual abuse of people with intellectual Disabilities in Taiwan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1D9F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Probability cluster sampling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35C0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52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Face-to-face/family interviews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CBC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Taiwan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9EE4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626B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190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7A13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1261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4.2</w:t>
            </w:r>
          </w:p>
        </w:tc>
      </w:tr>
      <w:tr w:rsidR="00485FC7" w:rsidRPr="00D54A22" w14:paraId="568F60A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0399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Intellectual disability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6D60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Platt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1C96E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The role of gender in Violence experienced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By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adults with Developmental Disabilities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6B6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11D94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Assisted computer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A1FA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Anonymous self-report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C80B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51BCE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C9938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2DB48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737D01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7.1</w:t>
            </w:r>
          </w:p>
        </w:tc>
      </w:tr>
      <w:tr w:rsidR="00485FC7" w:rsidRPr="00D54A22" w14:paraId="4A30909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C1BC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Psychosis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22F6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Amir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07BC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Prevalence and correlates of physical and sexual assault history in patients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With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schizophrenia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9251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176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Trauma assessment for adults (TAA)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F96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6B11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Egypt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3D26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BDBF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15F3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E1FA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26.2</w:t>
            </w:r>
          </w:p>
        </w:tc>
      </w:tr>
      <w:tr w:rsidR="00485FC7" w:rsidRPr="00D54A22" w14:paraId="12138231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27218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Psychosis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3D44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Calhoun 2007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741F8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Interpersonal trauma, war zone exposure, and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posttraumatic stress Disorder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among veterans with schizophrenia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E9D73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F2C8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SAEQ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0F310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996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37D7FA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68AE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A741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10.3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2553F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26.7</w:t>
            </w:r>
          </w:p>
        </w:tc>
      </w:tr>
      <w:tr w:rsidR="00485FC7" w:rsidRPr="00D54A22" w14:paraId="1CB0BBC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63DF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Psychosis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2D32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Bengtsson-tops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AD35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Victimization in individuals suffering from psychosis: A Swedish cross-sectional study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A5A1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00AE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Composite abuse scale (CAS)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E861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580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Sweden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C0B9B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0CCB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B37C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6.7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825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13.3</w:t>
            </w:r>
          </w:p>
        </w:tc>
      </w:tr>
      <w:tr w:rsidR="00485FC7" w:rsidRPr="00D54A22" w14:paraId="4EDFB7C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1FC90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PTSD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023A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Lapp 2005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149F2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Lifetime sexual and physical victimization among male veterans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With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combat-related post-traumatic stress disorder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2A5A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E6ACC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7FB5E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71FD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510C2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0A53E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133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41769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6.02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6F8F7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47.3</w:t>
            </w:r>
          </w:p>
        </w:tc>
      </w:tr>
      <w:tr w:rsidR="00485FC7" w:rsidRPr="00D54A22" w14:paraId="1899224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AF8B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PTSD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40B4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Clancy 2006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250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Lifetime trauma exposure in veterans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With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military-related posttraumatic stress disorder: Association with current symptomatology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3B6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46C6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TLEQ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0791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1A1D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9DFE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FD9B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422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F324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93CA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5.9</w:t>
            </w:r>
          </w:p>
        </w:tc>
      </w:tr>
      <w:tr w:rsidR="00485FC7" w:rsidRPr="00D54A22" w14:paraId="3C0ACAD5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C57DA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7314F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Tiet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2006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F712C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Recent sexual abuse, physical abuse, and suicide attempts among male Veterans seeking psychiatric treatment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843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52D1A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Addiction severity index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41B6A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090D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451B94A" w14:textId="4331390D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3E414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33236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5BCC4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B8F7E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8.4</w:t>
            </w:r>
          </w:p>
        </w:tc>
      </w:tr>
      <w:tr w:rsidR="00485FC7" w:rsidRPr="00D54A22" w14:paraId="135FE82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218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lastRenderedPageBreak/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6EAD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Moncrieff 1996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C402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Sexual abuse in people with alcohol problems. A study of the prevalence of Sexual abuse and its relationship to drinking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behaviour</w:t>
            </w:r>
            <w:proofErr w:type="spellEnd"/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5F05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2CB3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BF0D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3A12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B2E3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8B8E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89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AC70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2C94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23.6</w:t>
            </w:r>
          </w:p>
        </w:tc>
      </w:tr>
      <w:tr w:rsidR="00485FC7" w:rsidRPr="00D54A22" w14:paraId="7E94648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591D3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1CD8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Afful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2010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F656A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Exposure to trauma: a comparison of cocaine-dependent cases and a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Community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-matched sample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6768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Unclear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10F3E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69AB9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E80B5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807890E" w14:textId="43DB2816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21BB5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216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1E0AD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1F5E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11.6</w:t>
            </w:r>
          </w:p>
        </w:tc>
      </w:tr>
      <w:tr w:rsidR="00485FC7" w:rsidRPr="00D54A22" w14:paraId="6154A0B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2852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B4D3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Bone 2018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F55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Prevalence of sexual violence and its association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With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depression among male and female patients with risky Drug use in urban federally qualified health centers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E33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2036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870A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Self-administered through tablet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F33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10C5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3C47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210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048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EBB5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24.8</w:t>
            </w:r>
          </w:p>
        </w:tc>
      </w:tr>
      <w:tr w:rsidR="00485FC7" w:rsidRPr="00D54A22" w14:paraId="671D3F8C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A740B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6B507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Armstrong 2014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FB2C8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Suicidal ideation and attempts among men who inject drugs In Delhi, India: psychological and social risk factors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E88A4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Probability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0D2E4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B4BF3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17A88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India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DA7E6FB" w14:textId="3F176D97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4F2A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420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EE5F8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D40DA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15.8</w:t>
            </w:r>
          </w:p>
        </w:tc>
      </w:tr>
      <w:tr w:rsidR="00485FC7" w:rsidRPr="00D54A22" w14:paraId="288CC59A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BC34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0ABA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Bonin 2000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60C7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Drinking away the hurt: the nature and prevalence Of PTSD in substance abuse patients attending A community-based treatment program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9398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0B30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0FC3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8C0A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Canada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2F2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276B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1FCA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5DA1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8.2</w:t>
            </w:r>
          </w:p>
        </w:tc>
      </w:tr>
      <w:tr w:rsidR="00485FC7" w:rsidRPr="00D54A22" w14:paraId="12A177F1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857A9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BCBDF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Barry 2011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CF53D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Exploring relations among traumatic, posttraumatic, and physical Pain experiences in methadone-maintained 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CF322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4932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Life experiences checklist (LEC)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4D4E6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C5911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65C31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4245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83B19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3FE0D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16.5</w:t>
            </w:r>
          </w:p>
        </w:tc>
      </w:tr>
      <w:tr w:rsidR="00485FC7" w:rsidRPr="00D54A22" w14:paraId="76812C1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3183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5C52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Braitstein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2003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8958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Sexual violence among a cohort of injection drug users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E00C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1128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1D53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E3E1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Canada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16D7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08DE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932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F8D9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78AB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18.6</w:t>
            </w:r>
          </w:p>
        </w:tc>
      </w:tr>
      <w:tr w:rsidR="00485FC7" w:rsidRPr="00D54A22" w14:paraId="05BA839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84CB7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D6F5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Branstetter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2008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2431E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 history of sexual, emotional, or physical abuse predicts adjustment During opioid maintenance treatment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9BE6C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F0408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ASI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E90A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5079D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A5F3AC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5F6A1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191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75E73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343AA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</w:t>
            </w:r>
          </w:p>
        </w:tc>
      </w:tr>
      <w:tr w:rsidR="00485FC7" w:rsidRPr="00D54A22" w14:paraId="610699FD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7F64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0D7C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Dansky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1996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1F85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Victimization and PTSD in individuals with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use disorders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: gender and racial Differences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099F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F5E7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8BF5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270D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E921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81F01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A333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CAF1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20.6</w:t>
            </w:r>
          </w:p>
        </w:tc>
      </w:tr>
      <w:tr w:rsidR="00485FC7" w:rsidRPr="00D54A22" w14:paraId="59524A6B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4E706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3BE68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Dworkin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08B11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The unique associations of sexual assault and intimate partner violence with PTSD symptom clusters in a traumatized substance-abusing sample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7DF76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89DC0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National women’s study PTSD module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CBB54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F5C3C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C63729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30F76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112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8F383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6CE9C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33.9</w:t>
            </w:r>
          </w:p>
        </w:tc>
      </w:tr>
      <w:tr w:rsidR="00485FC7" w:rsidRPr="00D54A22" w14:paraId="79AAEA7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C8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B84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Fiorentine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1999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2B3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Drug treatment outcomes: investigating the Long-term effects of sexual and physical abuse Histories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B2E1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48F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C963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7A4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25455" w14:textId="605E03DB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A067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117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7B96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1B0DD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13.6</w:t>
            </w:r>
          </w:p>
        </w:tc>
      </w:tr>
      <w:tr w:rsidR="00485FC7" w:rsidRPr="00D54A22" w14:paraId="1071ABD0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F1014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CB40A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Daigre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7D5A6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History of sexual, emotional or physical abuse and psychiatric Comorbidity in substance-dependent 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012F2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7AC50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European addiction severity index 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E4AF6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29B57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Spain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B22A4B7" w14:textId="1310C9B1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15D33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387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5439B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3835B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6.7</w:t>
            </w:r>
          </w:p>
        </w:tc>
      </w:tr>
      <w:tr w:rsidR="00485FC7" w:rsidRPr="00D54A22" w14:paraId="0FAF5427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9077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0C70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Pearce 2008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82F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The cedar project: historical trauma, sexual abuse and HIV risk among Young aboriginal people who use injection and non-injection drugs in Two Canadian cities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7B5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BBB5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F75F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DC6D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Canada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24B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35F4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281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3EB5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E5F01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28.8</w:t>
            </w:r>
          </w:p>
        </w:tc>
      </w:tr>
      <w:tr w:rsidR="00485FC7" w:rsidRPr="00D54A22" w14:paraId="6592B631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3C04C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0315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Guimaraes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2AC4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Gender differences in patterns of drug use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And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sexual risky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behaviour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among crack Cocaine users in central </w:t>
            </w: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brazil</w:t>
            </w:r>
            <w:proofErr w:type="spellEnd"/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58046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E7AE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ADB75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5EC8F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Brazil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506F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C2AA8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914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141F4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01EA9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8.2</w:t>
            </w:r>
          </w:p>
        </w:tc>
      </w:tr>
      <w:tr w:rsidR="00485FC7" w:rsidRPr="00D54A22" w14:paraId="00C0FB66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46D5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2650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Jakubczyk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AF55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History of sexual abuse and suicide attempts in alcohol-dependent patients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2FA1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175B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Substance abuse outcomes module 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D9EC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 to 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4C9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Poland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38F2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864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284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7847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2DE2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7.4</w:t>
            </w:r>
          </w:p>
        </w:tc>
      </w:tr>
      <w:tr w:rsidR="00485FC7" w:rsidRPr="00D54A22" w14:paraId="4A200268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79365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25BF7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Mckeganey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2017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2EBE6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Physical and sexual abuse among drug users Contacting drug treatment services in Scotland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4B80B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5934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Clinical interview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40818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B61DC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Scotland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8A1B0F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0FB540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715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A91BD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DB46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6.9</w:t>
            </w:r>
          </w:p>
        </w:tc>
      </w:tr>
      <w:tr w:rsidR="00485FC7" w:rsidRPr="00D54A22" w14:paraId="5232912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921D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397E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Tham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1995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6991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 survey of domestic violence and other forms of abuse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BAEB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A401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57CD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288E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4B3FD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C015B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91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CBE07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2CE5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4.4</w:t>
            </w:r>
          </w:p>
        </w:tc>
      </w:tr>
      <w:tr w:rsidR="00485FC7" w:rsidRPr="00D54A22" w14:paraId="768CC42D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F6A1A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A4C83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Heru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2006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A15DD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Prevalence and severity of intimate partner violence and associations with family functioning and alcohol abuse in psychiatric patients with suicidal intent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98D61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B29C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Cts2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E417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03008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836E8DE" w14:textId="1EF48426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0799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44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95B11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B8406F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45F5A7D9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EFB1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38E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Chang 2011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41DF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Partner violence screening in mental health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F415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B471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AAS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2B03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01C87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3575C" w14:textId="7C17069C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B490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158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E4F6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76E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</w:t>
            </w:r>
          </w:p>
        </w:tc>
      </w:tr>
      <w:tr w:rsidR="00485FC7" w:rsidRPr="00D54A22" w14:paraId="54222392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5114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E60FF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Khalifeh 2015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FF51C6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Domestic and sexual violence against patients with Severe mental illness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F0C0A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1B37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CSEW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36E1B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D49C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UK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284F2AC" w14:textId="4249FA06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5E88FA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B9A62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27FD0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4.1</w:t>
            </w:r>
          </w:p>
        </w:tc>
      </w:tr>
      <w:tr w:rsidR="00485FC7" w:rsidRPr="00D54A22" w14:paraId="15D1B47F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B7CF8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034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Ruiz-Perez 2018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84B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Intimate partner violence and mental disorders: co-occurrence and gender Differences in a large cross-sectional </w:t>
            </w:r>
            <w:proofErr w:type="gram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population based</w:t>
            </w:r>
            <w:proofErr w:type="gram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study in Spain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F9B1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Random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D30D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8B65A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85E49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Spain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5C3DB" w14:textId="2B642245" w:rsidR="00485FC7" w:rsidRPr="00485FC7" w:rsidRDefault="00790D48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Good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757E9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407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47E0E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2.2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4B508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</w:tr>
      <w:tr w:rsidR="00485FC7" w:rsidRPr="00D54A22" w14:paraId="47B8051E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635A5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Mixed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44B5A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Shack 2004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FAE3FF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Prior history of physical and Sexual abuse among the Psychiatric inpatient population: A comparison of males and females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099D5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E67F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Original questions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ABC5BD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CDAC3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953A70C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3C49A2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160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E19044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82DF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7.5</w:t>
            </w:r>
          </w:p>
        </w:tc>
      </w:tr>
      <w:tr w:rsidR="00485FC7" w:rsidRPr="00D54A22" w14:paraId="0DFA3CA3" w14:textId="77777777" w:rsidTr="00485FC7">
        <w:trPr>
          <w:trHeight w:val="315"/>
        </w:trPr>
        <w:tc>
          <w:tcPr>
            <w:tcW w:w="126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79A92610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Substance abuse intimate partner</w:t>
            </w:r>
          </w:p>
        </w:tc>
        <w:tc>
          <w:tcPr>
            <w:tcW w:w="117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69262FA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proofErr w:type="spellStart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Kalokhe</w:t>
            </w:r>
            <w:proofErr w:type="spellEnd"/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 xml:space="preserve"> 2012</w:t>
            </w:r>
          </w:p>
        </w:tc>
        <w:tc>
          <w:tcPr>
            <w:tcW w:w="405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78FF96B3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Intimate partner violence among HIV-infected Crack cocaine users</w:t>
            </w:r>
          </w:p>
        </w:tc>
        <w:tc>
          <w:tcPr>
            <w:tcW w:w="99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00453A3B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Convenience</w:t>
            </w:r>
          </w:p>
        </w:tc>
        <w:tc>
          <w:tcPr>
            <w:tcW w:w="1289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7AD79DCE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STAT</w:t>
            </w:r>
          </w:p>
        </w:tc>
        <w:tc>
          <w:tcPr>
            <w:tcW w:w="1263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3CCDE6C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Face-to-face</w:t>
            </w:r>
          </w:p>
        </w:tc>
        <w:tc>
          <w:tcPr>
            <w:tcW w:w="862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421AC9E4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US</w:t>
            </w:r>
          </w:p>
        </w:tc>
        <w:tc>
          <w:tcPr>
            <w:tcW w:w="624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</w:tcPr>
          <w:p w14:paraId="18BFFDC2" w14:textId="77777777" w:rsidR="00485FC7" w:rsidRPr="00485FC7" w:rsidRDefault="00485FC7" w:rsidP="004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Low</w:t>
            </w:r>
          </w:p>
        </w:tc>
        <w:tc>
          <w:tcPr>
            <w:tcW w:w="725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1876AB5C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170</w:t>
            </w:r>
          </w:p>
        </w:tc>
        <w:tc>
          <w:tcPr>
            <w:tcW w:w="1561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1B989E86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—</w:t>
            </w:r>
          </w:p>
        </w:tc>
        <w:tc>
          <w:tcPr>
            <w:tcW w:w="679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noWrap/>
            <w:vAlign w:val="center"/>
            <w:hideMark/>
          </w:tcPr>
          <w:p w14:paraId="490633B3" w14:textId="77777777" w:rsidR="00485FC7" w:rsidRPr="00485FC7" w:rsidRDefault="00485FC7" w:rsidP="004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</w:pPr>
            <w:r w:rsidRPr="00485FC7">
              <w:rPr>
                <w:rFonts w:ascii="Times New Roman" w:eastAsia="Times New Roman" w:hAnsi="Times New Roman" w:cs="Times New Roman"/>
                <w:color w:val="333333"/>
                <w:sz w:val="12"/>
                <w:szCs w:val="16"/>
              </w:rPr>
              <w:t>6</w:t>
            </w:r>
          </w:p>
        </w:tc>
      </w:tr>
    </w:tbl>
    <w:p w14:paraId="4072AF65" w14:textId="27EBCE0B" w:rsidR="00485FC7" w:rsidRDefault="00485FC7">
      <w:pPr>
        <w:rPr>
          <w:rFonts w:ascii="Times New Roman" w:hAnsi="Times New Roman" w:cs="Times New Roman"/>
        </w:rPr>
      </w:pPr>
    </w:p>
    <w:p w14:paraId="1C4C4534" w14:textId="77777777" w:rsidR="00485FC7" w:rsidRDefault="00485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614047" w14:textId="77777777" w:rsidR="000E3609" w:rsidRPr="000E3609" w:rsidRDefault="000E3609">
      <w:pPr>
        <w:rPr>
          <w:rFonts w:ascii="Times New Roman" w:hAnsi="Times New Roman" w:cs="Times New Roman"/>
        </w:rPr>
      </w:pPr>
    </w:p>
    <w:tbl>
      <w:tblPr>
        <w:tblW w:w="11070" w:type="dxa"/>
        <w:jc w:val="center"/>
        <w:tblLook w:val="04A0" w:firstRow="1" w:lastRow="0" w:firstColumn="1" w:lastColumn="0" w:noHBand="0" w:noVBand="1"/>
      </w:tblPr>
      <w:tblGrid>
        <w:gridCol w:w="2520"/>
        <w:gridCol w:w="2070"/>
        <w:gridCol w:w="2340"/>
        <w:gridCol w:w="1890"/>
        <w:gridCol w:w="2250"/>
      </w:tblGrid>
      <w:tr w:rsidR="000E3609" w:rsidRPr="000E3609" w14:paraId="70361D06" w14:textId="77777777" w:rsidTr="000E3609">
        <w:trPr>
          <w:trHeight w:val="1065"/>
          <w:jc w:val="center"/>
        </w:trPr>
        <w:tc>
          <w:tcPr>
            <w:tcW w:w="11070" w:type="dxa"/>
            <w:gridSpan w:val="5"/>
            <w:tcBorders>
              <w:top w:val="nil"/>
              <w:left w:val="nil"/>
              <w:bottom w:val="single" w:sz="12" w:space="0" w:color="D3D3D3"/>
              <w:right w:val="nil"/>
            </w:tcBorders>
            <w:shd w:val="clear" w:color="000000" w:fill="FFFFFF"/>
            <w:vAlign w:val="center"/>
            <w:hideMark/>
          </w:tcPr>
          <w:p w14:paraId="0BAFBEC4" w14:textId="00556AAA" w:rsidR="000E3609" w:rsidRPr="000E3609" w:rsidRDefault="00325CA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325CA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Supplementary </w:t>
            </w:r>
            <w:r w:rsidR="000E3609" w:rsidRPr="000E360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Table 2. Comparing random and fixed effect models based on the Leave-One-Out (LOO) and Widely Applicable Information Criterion (WAIC). Lower values indicate better model fit.</w:t>
            </w:r>
          </w:p>
        </w:tc>
      </w:tr>
      <w:tr w:rsidR="000E3609" w:rsidRPr="000E3609" w14:paraId="72425A32" w14:textId="77777777" w:rsidTr="000E3609">
        <w:trPr>
          <w:trHeight w:val="36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45561" w14:textId="77777777" w:rsidR="000E3609" w:rsidRPr="000E3609" w:rsidRDefault="000E3609" w:rsidP="000E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6127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LOO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7D2C3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LOO Std. Error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D4228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WAIC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FBEAA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WAIC Std. Error</w:t>
            </w:r>
          </w:p>
        </w:tc>
      </w:tr>
      <w:tr w:rsidR="000E3609" w:rsidRPr="000E3609" w14:paraId="506D2A47" w14:textId="77777777" w:rsidTr="000E3609">
        <w:trPr>
          <w:trHeight w:val="360"/>
          <w:jc w:val="center"/>
        </w:trPr>
        <w:tc>
          <w:tcPr>
            <w:tcW w:w="11070" w:type="dxa"/>
            <w:gridSpan w:val="5"/>
            <w:tcBorders>
              <w:top w:val="single" w:sz="12" w:space="0" w:color="D3D3D3"/>
              <w:left w:val="nil"/>
              <w:bottom w:val="single" w:sz="12" w:space="0" w:color="D3D3D3"/>
              <w:right w:val="nil"/>
            </w:tcBorders>
            <w:shd w:val="clear" w:color="000000" w:fill="FFFFFF"/>
            <w:vAlign w:val="center"/>
            <w:hideMark/>
          </w:tcPr>
          <w:p w14:paraId="768B1337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Past year</w:t>
            </w:r>
          </w:p>
        </w:tc>
      </w:tr>
      <w:tr w:rsidR="000E3609" w:rsidRPr="000E3609" w14:paraId="7406273E" w14:textId="77777777" w:rsidTr="000E3609">
        <w:trPr>
          <w:trHeight w:val="360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nil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06FBC508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Random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7237" w14:textId="10706C5B" w:rsidR="000E3609" w:rsidRPr="000E3609" w:rsidRDefault="00CA209E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79.479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46532" w14:textId="7A1C0214" w:rsidR="000E3609" w:rsidRPr="000E3609" w:rsidRDefault="00CA209E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5.061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185E" w14:textId="2C28EC5E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68.623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28285" w14:textId="26AE5139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3.108</w:t>
            </w:r>
          </w:p>
        </w:tc>
      </w:tr>
      <w:tr w:rsidR="000E3609" w:rsidRPr="000E3609" w14:paraId="520B7B92" w14:textId="77777777" w:rsidTr="000E3609">
        <w:trPr>
          <w:trHeight w:val="345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nil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2B1C6A57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Fixed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845F9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152.962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14E67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40.204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9A374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152.796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07168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40.184</w:t>
            </w:r>
          </w:p>
        </w:tc>
      </w:tr>
      <w:tr w:rsidR="000E3609" w:rsidRPr="000E3609" w14:paraId="49A1FE3E" w14:textId="77777777" w:rsidTr="000E3609">
        <w:trPr>
          <w:trHeight w:val="360"/>
          <w:jc w:val="center"/>
        </w:trPr>
        <w:tc>
          <w:tcPr>
            <w:tcW w:w="11070" w:type="dxa"/>
            <w:gridSpan w:val="5"/>
            <w:tcBorders>
              <w:top w:val="single" w:sz="12" w:space="0" w:color="D3D3D3"/>
              <w:left w:val="nil"/>
              <w:bottom w:val="single" w:sz="12" w:space="0" w:color="D3D3D3"/>
              <w:right w:val="nil"/>
            </w:tcBorders>
            <w:shd w:val="clear" w:color="000000" w:fill="FFFFFF"/>
            <w:vAlign w:val="center"/>
            <w:hideMark/>
          </w:tcPr>
          <w:p w14:paraId="1D90733F" w14:textId="43D5C62F" w:rsidR="000E3609" w:rsidRPr="000E3609" w:rsidRDefault="00AD18C4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Adulthood</w:t>
            </w:r>
          </w:p>
        </w:tc>
      </w:tr>
      <w:tr w:rsidR="000E3609" w:rsidRPr="000E3609" w14:paraId="779CBB3F" w14:textId="77777777" w:rsidTr="000E3609">
        <w:trPr>
          <w:trHeight w:val="360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nil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66A37FDD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Random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3E58" w14:textId="7F4B4B0A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296.439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D6F83" w14:textId="33F47474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9.798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BE19C" w14:textId="43227386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263.3</w:t>
            </w:r>
            <w:r w:rsidR="000E3609" w:rsidRPr="000E3609">
              <w:rPr>
                <w:rFonts w:ascii="Times New Roman" w:eastAsia="Times New Roman" w:hAnsi="Times New Roman" w:cs="Times New Roman"/>
                <w:color w:val="333333"/>
              </w:rPr>
              <w:t>93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B0286" w14:textId="355818AF" w:rsidR="000E3609" w:rsidRPr="000E3609" w:rsidRDefault="00A24761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8.250</w:t>
            </w:r>
          </w:p>
        </w:tc>
      </w:tr>
      <w:tr w:rsidR="000E3609" w:rsidRPr="000E3609" w14:paraId="3AF507A1" w14:textId="77777777" w:rsidTr="000E3609">
        <w:trPr>
          <w:trHeight w:val="345"/>
          <w:jc w:val="center"/>
        </w:trPr>
        <w:tc>
          <w:tcPr>
            <w:tcW w:w="2520" w:type="dxa"/>
            <w:tcBorders>
              <w:top w:val="single" w:sz="8" w:space="0" w:color="D3D3D3"/>
              <w:left w:val="nil"/>
              <w:bottom w:val="single" w:sz="12" w:space="0" w:color="A8A8A8"/>
              <w:right w:val="single" w:sz="12" w:space="0" w:color="D3D3D3"/>
            </w:tcBorders>
            <w:shd w:val="clear" w:color="000000" w:fill="FFFFFF"/>
            <w:vAlign w:val="center"/>
            <w:hideMark/>
          </w:tcPr>
          <w:p w14:paraId="52C867A8" w14:textId="77777777" w:rsidR="000E3609" w:rsidRPr="000E3609" w:rsidRDefault="000E3609" w:rsidP="000E360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Fixed Effects</w:t>
            </w:r>
          </w:p>
        </w:tc>
        <w:tc>
          <w:tcPr>
            <w:tcW w:w="207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6D3D76F7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1148.927</w:t>
            </w:r>
          </w:p>
        </w:tc>
        <w:tc>
          <w:tcPr>
            <w:tcW w:w="234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6A09C0E3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214.247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1339B8AF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1181.196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single" w:sz="12" w:space="0" w:color="A8A8A8"/>
              <w:right w:val="nil"/>
            </w:tcBorders>
            <w:shd w:val="clear" w:color="000000" w:fill="FFFFFF"/>
            <w:vAlign w:val="center"/>
            <w:hideMark/>
          </w:tcPr>
          <w:p w14:paraId="286EBA7D" w14:textId="77777777" w:rsidR="000E3609" w:rsidRPr="000E3609" w:rsidRDefault="000E3609" w:rsidP="000E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E3609">
              <w:rPr>
                <w:rFonts w:ascii="Times New Roman" w:eastAsia="Times New Roman" w:hAnsi="Times New Roman" w:cs="Times New Roman"/>
                <w:color w:val="333333"/>
              </w:rPr>
              <w:t>234.228</w:t>
            </w:r>
          </w:p>
        </w:tc>
      </w:tr>
    </w:tbl>
    <w:p w14:paraId="4476CE10" w14:textId="77777777" w:rsidR="000E3609" w:rsidRDefault="000E3609">
      <w:pPr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</w:rPr>
        <w:br w:type="page"/>
      </w:r>
    </w:p>
    <w:p w14:paraId="39F54011" w14:textId="1126BBDD" w:rsidR="000E3609" w:rsidRDefault="000E3609" w:rsidP="00AD18C4">
      <w:pPr>
        <w:tabs>
          <w:tab w:val="left" w:pos="7707"/>
        </w:tabs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17509C" wp14:editId="13B415FE">
                <wp:simplePos x="0" y="0"/>
                <wp:positionH relativeFrom="margin">
                  <wp:posOffset>1563164</wp:posOffset>
                </wp:positionH>
                <wp:positionV relativeFrom="paragraph">
                  <wp:posOffset>35759</wp:posOffset>
                </wp:positionV>
                <wp:extent cx="4817202" cy="771365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202" cy="7713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AC171" w14:textId="58E1B124" w:rsidR="00AD18C4" w:rsidRPr="00700416" w:rsidRDefault="00AD18C4" w:rsidP="00700416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Supplementary Figure 1. Posterior predictive checks for the past year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and adulthood models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. In dark blue is distribution of empirical data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(study prevalences)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, light blue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is simulated data from the mode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 w:rsidR="00700416"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szCs w:val="22"/>
                                <w:lang w:val="en-US"/>
                              </w:rPr>
                              <w:t xml:space="preserve"> (estimated prevalences).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50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pt;margin-top:2.8pt;width:379.3pt;height:6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" stroked="f">
                <v:textbox inset="0,0,0,0">
                  <w:txbxContent>
                    <w:p w14:paraId="2B9AC171" w14:textId="58E1B124" w:rsidR="00AD18C4" w:rsidRPr="00700416" w:rsidRDefault="00AD18C4" w:rsidP="00700416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</w:pP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Supplementary Figure 1. Posterior predictive checks for the past year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and adulthood models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. In dark blue is distribution of empirical data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(study prevalences)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, light blue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is simulated data from the mode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>l</w:t>
                      </w:r>
                      <w:r w:rsidR="00700416"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szCs w:val="22"/>
                          <w:lang w:val="en-US"/>
                        </w:rPr>
                        <w:t xml:space="preserve"> (estimated prevalences).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8C4">
        <w:rPr>
          <w:rFonts w:ascii="Times New Roman" w:hAnsi="Times New Roman" w:cs="Times New Roman"/>
        </w:rPr>
        <w:tab/>
      </w:r>
    </w:p>
    <w:p w14:paraId="040A9E47" w14:textId="6799D5FB" w:rsidR="000E3609" w:rsidRPr="000E3609" w:rsidRDefault="000E3609" w:rsidP="00632A5C">
      <w:pPr>
        <w:tabs>
          <w:tab w:val="left" w:pos="38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DD13A41" wp14:editId="6B59CAF7">
            <wp:simplePos x="0" y="0"/>
            <wp:positionH relativeFrom="margin">
              <wp:posOffset>1256417</wp:posOffset>
            </wp:positionH>
            <wp:positionV relativeFrom="paragraph">
              <wp:posOffset>648278</wp:posOffset>
            </wp:positionV>
            <wp:extent cx="5889625" cy="27070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pp_checks_submodel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" t="17735" r="444" b="18499"/>
                    <a:stretch/>
                  </pic:blipFill>
                  <pic:spPr bwMode="auto">
                    <a:xfrm>
                      <a:off x="0" y="0"/>
                      <a:ext cx="588962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  <w:r w:rsidR="00632A5C">
        <w:rPr>
          <w:rFonts w:ascii="Times New Roman" w:hAnsi="Times New Roman" w:cs="Times New Roman"/>
        </w:rPr>
        <w:lastRenderedPageBreak/>
        <w:tab/>
      </w:r>
    </w:p>
    <w:p w14:paraId="19FAFC9A" w14:textId="78B3A41C" w:rsidR="00A601DA" w:rsidRDefault="00A601DA">
      <w:pPr>
        <w:rPr>
          <w:rFonts w:ascii="Times New Roman" w:hAnsi="Times New Roman" w:cs="Times New Roman"/>
        </w:rPr>
      </w:pPr>
    </w:p>
    <w:p w14:paraId="7C0D100D" w14:textId="0789E8A5" w:rsidR="00A601DA" w:rsidRDefault="00700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8868675" wp14:editId="65B3718E">
            <wp:simplePos x="0" y="0"/>
            <wp:positionH relativeFrom="margin">
              <wp:posOffset>1276975</wp:posOffset>
            </wp:positionH>
            <wp:positionV relativeFrom="paragraph">
              <wp:posOffset>916447</wp:posOffset>
            </wp:positionV>
            <wp:extent cx="4867344" cy="4392582"/>
            <wp:effectExtent l="0" t="0" r="0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Microsoft\Windows\INetCache\Content.Word\sigma_varian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344" cy="43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609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0D3C26" wp14:editId="50AEC66D">
                <wp:simplePos x="0" y="0"/>
                <wp:positionH relativeFrom="margin">
                  <wp:posOffset>633067</wp:posOffset>
                </wp:positionH>
                <wp:positionV relativeFrom="paragraph">
                  <wp:posOffset>418004</wp:posOffset>
                </wp:positionV>
                <wp:extent cx="5777578" cy="720281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578" cy="72028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DA7195" w14:textId="40BA7160" w:rsidR="00AD18C4" w:rsidRPr="00700416" w:rsidRDefault="00AD18C4" w:rsidP="00700416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808080" w:themeColor="background1" w:themeShade="80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 xml:space="preserve">Supplementary Figure 2. Posterior distribution of between-study variance coefficient for the </w:t>
                            </w:r>
                            <w:r w:rsid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 xml:space="preserve">past year and adulthood sexual abuse 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>models. Higher values indicate more variance between studies</w:t>
                            </w:r>
                            <w:r w:rsid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 xml:space="preserve"> or groups</w:t>
                            </w:r>
                            <w:r w:rsidRPr="00700416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3C26" id="Text Box 6" o:spid="_x0000_s1027" type="#_x0000_t202" style="position:absolute;margin-left:49.85pt;margin-top:32.9pt;width:454.95pt;height:56.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" stroked="f">
                <v:textbox inset="0,0,0,0">
                  <w:txbxContent>
                    <w:p w14:paraId="38DA7195" w14:textId="40BA7160" w:rsidR="00AD18C4" w:rsidRPr="00700416" w:rsidRDefault="00AD18C4" w:rsidP="00700416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808080" w:themeColor="background1" w:themeShade="80"/>
                          <w:sz w:val="20"/>
                          <w:szCs w:val="16"/>
                          <w:lang w:val="en-US"/>
                        </w:rPr>
                      </w:pP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 xml:space="preserve">Supplementary Figure 2. Posterior distribution of between-study variance coefficient for the </w:t>
                      </w:r>
                      <w:r w:rsid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 xml:space="preserve">past year and adulthood sexual abuse 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>models. Higher values indicate more variance between studies</w:t>
                      </w:r>
                      <w:r w:rsid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 xml:space="preserve"> or groups</w:t>
                      </w:r>
                      <w:r w:rsidRPr="00700416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DA">
        <w:rPr>
          <w:rFonts w:ascii="Times New Roman" w:hAnsi="Times New Roman" w:cs="Times New Roman"/>
        </w:rPr>
        <w:br w:type="page"/>
      </w:r>
    </w:p>
    <w:p w14:paraId="361C7F67" w14:textId="58B2566C" w:rsidR="007E50C7" w:rsidRPr="000E3609" w:rsidRDefault="00947E0E">
      <w:pPr>
        <w:rPr>
          <w:rFonts w:ascii="Times New Roman" w:hAnsi="Times New Roman" w:cs="Times New Roman"/>
        </w:rPr>
      </w:pPr>
      <w:r w:rsidRPr="000E3609">
        <w:rPr>
          <w:rFonts w:ascii="Times New Roman" w:hAnsi="Times New Roman" w:cs="Times New Roman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461F37" wp14:editId="3647C103">
                <wp:simplePos x="0" y="0"/>
                <wp:positionH relativeFrom="margin">
                  <wp:posOffset>657225</wp:posOffset>
                </wp:positionH>
                <wp:positionV relativeFrom="paragraph">
                  <wp:posOffset>-314325</wp:posOffset>
                </wp:positionV>
                <wp:extent cx="4158532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532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B4B976" w14:textId="6EECA031" w:rsidR="00AD18C4" w:rsidRPr="00C64552" w:rsidRDefault="00AD18C4" w:rsidP="00EC7EF5">
                            <w:pPr>
                              <w:pStyle w:val="Caption"/>
                              <w:rPr>
                                <w:noProof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25CA9">
                              <w:rPr>
                                <w:color w:val="808080" w:themeColor="background1" w:themeShade="80"/>
                                <w:lang w:val="en-US"/>
                              </w:rPr>
                              <w:t>Supplementary</w:t>
                            </w:r>
                            <w:r>
                              <w:rPr>
                                <w:color w:val="808080" w:themeColor="background1" w:themeShade="80"/>
                                <w:lang w:val="en-US"/>
                              </w:rPr>
                              <w:t xml:space="preserve"> Figure 3. Comparisons of reported prevalence by differences in study design.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1F37" id="Text Box 1" o:spid="_x0000_s1028" type="#_x0000_t202" style="position:absolute;margin-left:51.75pt;margin-top:-24.75pt;width:327.4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" stroked="f">
                <v:textbox inset="0,0,0,0">
                  <w:txbxContent>
                    <w:p w14:paraId="11B4B976" w14:textId="6EECA031" w:rsidR="00AD18C4" w:rsidRPr="00C64552" w:rsidRDefault="00AD18C4" w:rsidP="00EC7EF5">
                      <w:pPr>
                        <w:pStyle w:val="Caption"/>
                        <w:rPr>
                          <w:noProof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325CA9">
                        <w:rPr>
                          <w:color w:val="808080" w:themeColor="background1" w:themeShade="80"/>
                          <w:lang w:val="en-US"/>
                        </w:rPr>
                        <w:t>Supplementary</w:t>
                      </w:r>
                      <w:r>
                        <w:rPr>
                          <w:color w:val="808080" w:themeColor="background1" w:themeShade="80"/>
                          <w:lang w:val="en-US"/>
                        </w:rPr>
                        <w:t xml:space="preserve"> Figure 3. Comparisons of reported prevalence by differences in study design.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3609">
        <w:rPr>
          <w:rFonts w:ascii="Times New Roman" w:hAnsi="Times New Roman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EF24156" wp14:editId="0B63F3AE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5949819" cy="6334125"/>
            <wp:effectExtent l="0" t="0" r="0" b="0"/>
            <wp:wrapTight wrapText="bothSides">
              <wp:wrapPolygon edited="0">
                <wp:start x="0" y="0"/>
                <wp:lineTo x="0" y="21503"/>
                <wp:lineTo x="21510" y="21503"/>
                <wp:lineTo x="215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bined_plot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819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0C7" w:rsidRPr="000E3609" w:rsidSect="00D54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22"/>
    <w:rsid w:val="00054633"/>
    <w:rsid w:val="00071254"/>
    <w:rsid w:val="000E3609"/>
    <w:rsid w:val="001D0201"/>
    <w:rsid w:val="003137FE"/>
    <w:rsid w:val="00325CA9"/>
    <w:rsid w:val="003C69F7"/>
    <w:rsid w:val="00485FC7"/>
    <w:rsid w:val="004D03B4"/>
    <w:rsid w:val="0058540F"/>
    <w:rsid w:val="00590E1B"/>
    <w:rsid w:val="00632A5C"/>
    <w:rsid w:val="00664BCB"/>
    <w:rsid w:val="00690CD4"/>
    <w:rsid w:val="006D301D"/>
    <w:rsid w:val="00700416"/>
    <w:rsid w:val="00790D48"/>
    <w:rsid w:val="007B6930"/>
    <w:rsid w:val="007E50C7"/>
    <w:rsid w:val="0088291D"/>
    <w:rsid w:val="008F3A19"/>
    <w:rsid w:val="00914222"/>
    <w:rsid w:val="00947E0E"/>
    <w:rsid w:val="00A24761"/>
    <w:rsid w:val="00A601DA"/>
    <w:rsid w:val="00AD18C4"/>
    <w:rsid w:val="00B77648"/>
    <w:rsid w:val="00BD3FCD"/>
    <w:rsid w:val="00C02FFE"/>
    <w:rsid w:val="00C636B8"/>
    <w:rsid w:val="00C64552"/>
    <w:rsid w:val="00CA209E"/>
    <w:rsid w:val="00D54A22"/>
    <w:rsid w:val="00DD719F"/>
    <w:rsid w:val="00E90879"/>
    <w:rsid w:val="00EA768C"/>
    <w:rsid w:val="00EB6C53"/>
    <w:rsid w:val="00E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87D3"/>
  <w15:chartTrackingRefBased/>
  <w15:docId w15:val="{63F435E2-A6B3-4B5A-84AC-101FEC5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5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64552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645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9B42-468F-438D-9130-C2734A6A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M.G. Zarchev</dc:creator>
  <cp:keywords/>
  <dc:description/>
  <cp:lastModifiedBy>Annalisa Welch</cp:lastModifiedBy>
  <cp:revision>2</cp:revision>
  <dcterms:created xsi:type="dcterms:W3CDTF">2021-11-26T14:54:00Z</dcterms:created>
  <dcterms:modified xsi:type="dcterms:W3CDTF">2021-11-26T14:54:00Z</dcterms:modified>
</cp:coreProperties>
</file>