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5605" w14:textId="77777777" w:rsidR="003E0A24" w:rsidRPr="009D01B7" w:rsidRDefault="00E2028E" w:rsidP="008E6642">
      <w:pPr>
        <w:pStyle w:val="TableCaption"/>
        <w:jc w:val="center"/>
        <w:rPr>
          <w:rFonts w:ascii="Arial" w:hAnsi="Arial" w:cs="Arial"/>
          <w:b/>
          <w:i w:val="0"/>
        </w:rPr>
      </w:pPr>
      <w:r w:rsidRPr="009D01B7">
        <w:rPr>
          <w:rFonts w:ascii="Arial" w:hAnsi="Arial" w:cs="Arial"/>
          <w:b/>
          <w:i w:val="0"/>
        </w:rPr>
        <w:t xml:space="preserve">SUPPLEMENTARY </w:t>
      </w:r>
      <w:r w:rsidR="00AE339A" w:rsidRPr="009D01B7">
        <w:rPr>
          <w:rFonts w:ascii="Arial" w:hAnsi="Arial" w:cs="Arial"/>
          <w:b/>
          <w:i w:val="0"/>
        </w:rPr>
        <w:t>TABLE</w:t>
      </w:r>
    </w:p>
    <w:p w14:paraId="70F5AF06" w14:textId="23DCF546" w:rsidR="007F0F7B" w:rsidRPr="009D01B7" w:rsidRDefault="007F0F7B" w:rsidP="008E6642">
      <w:pPr>
        <w:pStyle w:val="TableCaption"/>
        <w:jc w:val="center"/>
        <w:rPr>
          <w:rFonts w:ascii="Arial" w:hAnsi="Arial" w:cs="Arial"/>
          <w:b/>
          <w:i w:val="0"/>
        </w:rPr>
      </w:pPr>
    </w:p>
    <w:p w14:paraId="337B7213" w14:textId="77777777" w:rsidR="003E0A24" w:rsidRPr="009D01B7" w:rsidRDefault="003E0A24" w:rsidP="003E0A24">
      <w:pPr>
        <w:pStyle w:val="NormalWeb"/>
        <w:spacing w:before="0" w:after="0" w:line="360" w:lineRule="auto"/>
        <w:jc w:val="both"/>
        <w:rPr>
          <w:rStyle w:val="Geen"/>
          <w:rFonts w:ascii="Arial" w:hAnsi="Arial" w:cs="Arial"/>
          <w:lang w:val="en-GB"/>
        </w:rPr>
      </w:pPr>
      <w:r w:rsidRPr="009D01B7">
        <w:rPr>
          <w:rStyle w:val="Geen"/>
          <w:rFonts w:ascii="Arial" w:hAnsi="Arial" w:cs="Arial"/>
          <w:b/>
          <w:bCs/>
        </w:rPr>
        <w:t>Table S1: Demographic and clinical characteristics of the participants</w:t>
      </w:r>
    </w:p>
    <w:p w14:paraId="21D414E0" w14:textId="3DAA0D98" w:rsidR="003E0A24" w:rsidRPr="009D01B7" w:rsidRDefault="003E0A24" w:rsidP="003E0A24">
      <w:pPr>
        <w:spacing w:line="360" w:lineRule="auto"/>
        <w:rPr>
          <w:rStyle w:val="Geen"/>
          <w:rFonts w:ascii="Arial" w:eastAsia="Times New Roman" w:hAnsi="Arial" w:cs="Arial"/>
          <w:lang w:val="en-GB" w:eastAsia="en-GB"/>
        </w:rPr>
      </w:pPr>
      <w:r w:rsidRPr="009D01B7">
        <w:rPr>
          <w:rStyle w:val="Geen"/>
          <w:rFonts w:ascii="Arial" w:hAnsi="Arial" w:cs="Arial"/>
        </w:rPr>
        <w:t>The results presented in this table have been published before</w:t>
      </w:r>
      <w:r w:rsidRPr="009D01B7">
        <w:rPr>
          <w:rFonts w:ascii="Arial" w:hAnsi="Arial" w:cs="Arial"/>
        </w:rPr>
        <w:t xml:space="preserve"> as part of the Dutch study only and combined with the Swiss dataset and differ slightly due to different numbers of participants included in the analyses. Of note, as mentioned in the Methods section of the main manuscript data has been analyzed with the statistical package “R” instead of SPSS leading to a different presentation of results. </w:t>
      </w:r>
      <w:r w:rsidRPr="009D01B7">
        <w:rPr>
          <w:rStyle w:val="Geen"/>
          <w:rFonts w:ascii="Arial" w:hAnsi="Arial" w:cs="Arial"/>
        </w:rPr>
        <w:t xml:space="preserve">Table S1 presents </w:t>
      </w:r>
      <w:proofErr w:type="spellStart"/>
      <w:r w:rsidRPr="009D01B7">
        <w:rPr>
          <w:rStyle w:val="Geen"/>
          <w:rFonts w:ascii="Arial" w:hAnsi="Arial" w:cs="Arial"/>
        </w:rPr>
        <w:t>descriptives</w:t>
      </w:r>
      <w:proofErr w:type="spellEnd"/>
      <w:r w:rsidRPr="009D01B7">
        <w:rPr>
          <w:rStyle w:val="Geen"/>
          <w:rFonts w:ascii="Arial" w:hAnsi="Arial" w:cs="Arial"/>
        </w:rPr>
        <w:t xml:space="preserve"> by study group alongside omnibus tests for the effect of group. </w:t>
      </w:r>
      <w:r w:rsidRPr="009D01B7">
        <w:rPr>
          <w:rFonts w:ascii="Arial" w:eastAsia="Times New Roman" w:hAnsi="Arial" w:cs="Arial"/>
          <w:lang w:val="en-GB" w:eastAsia="en-GB"/>
        </w:rPr>
        <w:t>Superscript lowercase letters (</w:t>
      </w:r>
      <w:proofErr w:type="spellStart"/>
      <w:proofErr w:type="gramStart"/>
      <w:r w:rsidRPr="009D01B7">
        <w:rPr>
          <w:rFonts w:ascii="Arial" w:eastAsia="Times New Roman" w:hAnsi="Arial" w:cs="Arial"/>
          <w:lang w:val="en-GB" w:eastAsia="en-GB"/>
        </w:rPr>
        <w:t>a,b</w:t>
      </w:r>
      <w:proofErr w:type="gramEnd"/>
      <w:r w:rsidRPr="009D01B7">
        <w:rPr>
          <w:rFonts w:ascii="Arial" w:eastAsia="Times New Roman" w:hAnsi="Arial" w:cs="Arial"/>
          <w:lang w:val="en-GB" w:eastAsia="en-GB"/>
        </w:rPr>
        <w:t>,c</w:t>
      </w:r>
      <w:proofErr w:type="spellEnd"/>
      <w:r w:rsidRPr="009D01B7">
        <w:rPr>
          <w:rFonts w:ascii="Arial" w:eastAsia="Times New Roman" w:hAnsi="Arial" w:cs="Arial"/>
          <w:lang w:val="en-GB" w:eastAsia="en-GB"/>
        </w:rPr>
        <w:t>) indicate the results of post-hoc tests conducted wherever the omnibus effect of group was significant. The letters are a compact letter where groups which do not share a letter significantly differ from each other (p&lt;0.05) in multiplicity adjusted post hoc tests, i.e., superscript letters are a compact letter display giving results of post-hoc pairwise tests between groups</w:t>
      </w:r>
      <w:r w:rsidR="004A2E93" w:rsidRPr="009D01B7">
        <w:rPr>
          <w:rFonts w:ascii="Arial" w:eastAsia="Times New Roman" w:hAnsi="Arial" w:cs="Arial"/>
          <w:lang w:val="en-GB" w:eastAsia="en-GB"/>
        </w:rPr>
        <w:t xml:space="preserve"> (23)</w:t>
      </w:r>
      <w:r w:rsidRPr="009D01B7">
        <w:rPr>
          <w:rFonts w:ascii="Arial" w:eastAsia="Times New Roman" w:hAnsi="Arial" w:cs="Arial"/>
          <w:lang w:val="en-GB" w:eastAsia="en-GB"/>
        </w:rPr>
        <w:t xml:space="preserve">. </w:t>
      </w:r>
      <w:r w:rsidRPr="009D01B7">
        <w:rPr>
          <w:rStyle w:val="Geen"/>
          <w:rFonts w:ascii="Arial" w:hAnsi="Arial" w:cs="Arial"/>
        </w:rPr>
        <w:t xml:space="preserve">Participants were genuine dissociative identity disorder (DID-G), DID simulating healthy controls (DID-S), post- traumatic stress disorder (PTSD) and their paired Healthy Controls (HC). Note that PTSD and HC subjects make up the paired non-simulating control group. Age is treated as normally distributed, ‘Mean (S.D.)’ </w:t>
      </w:r>
      <w:proofErr w:type="spellStart"/>
      <w:r w:rsidRPr="009D01B7">
        <w:rPr>
          <w:rStyle w:val="Geen"/>
          <w:rFonts w:ascii="Arial" w:hAnsi="Arial" w:cs="Arial"/>
        </w:rPr>
        <w:t>descriptives</w:t>
      </w:r>
      <w:proofErr w:type="spellEnd"/>
      <w:r w:rsidRPr="009D01B7">
        <w:rPr>
          <w:rStyle w:val="Geen"/>
          <w:rFonts w:ascii="Arial" w:hAnsi="Arial" w:cs="Arial"/>
        </w:rPr>
        <w:t xml:space="preserve"> are provided with the result of </w:t>
      </w:r>
      <w:proofErr w:type="gramStart"/>
      <w:r w:rsidRPr="009D01B7">
        <w:rPr>
          <w:rStyle w:val="Geen"/>
          <w:rFonts w:ascii="Arial" w:hAnsi="Arial" w:cs="Arial"/>
        </w:rPr>
        <w:t>an</w:t>
      </w:r>
      <w:proofErr w:type="gramEnd"/>
      <w:r w:rsidRPr="009D01B7">
        <w:rPr>
          <w:rStyle w:val="Geen"/>
          <w:rFonts w:ascii="Arial" w:hAnsi="Arial" w:cs="Arial"/>
        </w:rPr>
        <w:t xml:space="preserve"> one-way ANOVA. Years in full time education is treated as categorical with ‘frequency (percentage%)’ </w:t>
      </w:r>
      <w:proofErr w:type="spellStart"/>
      <w:r w:rsidRPr="009D01B7">
        <w:rPr>
          <w:rStyle w:val="Geen"/>
          <w:rFonts w:ascii="Arial" w:hAnsi="Arial" w:cs="Arial"/>
        </w:rPr>
        <w:t>descriptives</w:t>
      </w:r>
      <w:proofErr w:type="spellEnd"/>
      <w:r w:rsidRPr="009D01B7">
        <w:rPr>
          <w:rStyle w:val="Geen"/>
          <w:rFonts w:ascii="Arial" w:hAnsi="Arial" w:cs="Arial"/>
        </w:rPr>
        <w:t xml:space="preserve"> provided alongside a permutation test. Remaining variables were treated as non-normal continuous: ‘Median [Lower Quartile, Upper Quartile]’ </w:t>
      </w:r>
      <w:proofErr w:type="spellStart"/>
      <w:r w:rsidRPr="009D01B7">
        <w:rPr>
          <w:rStyle w:val="Geen"/>
          <w:rFonts w:ascii="Arial" w:hAnsi="Arial" w:cs="Arial"/>
        </w:rPr>
        <w:t>descriptives</w:t>
      </w:r>
      <w:proofErr w:type="spellEnd"/>
      <w:r w:rsidRPr="009D01B7">
        <w:rPr>
          <w:rStyle w:val="Geen"/>
          <w:rFonts w:ascii="Arial" w:hAnsi="Arial" w:cs="Arial"/>
        </w:rPr>
        <w:t xml:space="preserve"> are provided alongside a </w:t>
      </w:r>
      <w:proofErr w:type="spellStart"/>
      <w:r w:rsidRPr="009D01B7">
        <w:rPr>
          <w:rStyle w:val="Geen"/>
          <w:rFonts w:ascii="Arial" w:hAnsi="Arial" w:cs="Arial"/>
        </w:rPr>
        <w:t>Kruskall</w:t>
      </w:r>
      <w:proofErr w:type="spellEnd"/>
      <w:r w:rsidRPr="009D01B7">
        <w:rPr>
          <w:rStyle w:val="Geen"/>
          <w:rFonts w:ascii="Arial" w:hAnsi="Arial" w:cs="Arial"/>
        </w:rPr>
        <w:t xml:space="preserve">-Wallis omnibus test. Post-hoc tests for questionnaires were Dunn tests with Holm-Bonferroni adjustment for multiple comparisons. </w:t>
      </w:r>
    </w:p>
    <w:p w14:paraId="0D012E56" w14:textId="7EB4306F" w:rsidR="008E6642" w:rsidRPr="009D01B7" w:rsidRDefault="003E0A24" w:rsidP="008E6642">
      <w:pPr>
        <w:pStyle w:val="TableCaption"/>
        <w:jc w:val="center"/>
        <w:rPr>
          <w:rFonts w:ascii="Arial" w:hAnsi="Arial" w:cs="Arial"/>
          <w:b/>
          <w:i w:val="0"/>
        </w:rPr>
      </w:pPr>
      <w:r w:rsidRPr="009D01B7">
        <w:rPr>
          <w:rFonts w:ascii="Arial" w:hAnsi="Arial" w:cs="Arial"/>
          <w:b/>
          <w:i w:val="0"/>
        </w:rPr>
        <w:br w:type="column"/>
      </w:r>
    </w:p>
    <w:tbl>
      <w:tblPr>
        <w:tblStyle w:val="Table"/>
        <w:tblW w:w="0" w:type="auto"/>
        <w:jc w:val="center"/>
        <w:tblLayout w:type="fixed"/>
        <w:tblLook w:val="04A0" w:firstRow="1" w:lastRow="0" w:firstColumn="1" w:lastColumn="0" w:noHBand="0" w:noVBand="1"/>
      </w:tblPr>
      <w:tblGrid>
        <w:gridCol w:w="1932"/>
        <w:gridCol w:w="1395"/>
        <w:gridCol w:w="1395"/>
        <w:gridCol w:w="1395"/>
        <w:gridCol w:w="1395"/>
        <w:gridCol w:w="915"/>
      </w:tblGrid>
      <w:tr w:rsidR="007F0F7B" w:rsidRPr="009D01B7" w14:paraId="70F5AF0D" w14:textId="77777777" w:rsidTr="00497CA2">
        <w:trPr>
          <w:cantSplit/>
          <w:trHeight w:val="355"/>
          <w:tblHeader/>
          <w:jc w:val="center"/>
        </w:trPr>
        <w:tc>
          <w:tcPr>
            <w:tcW w:w="1932" w:type="dxa"/>
            <w:tcBorders>
              <w:top w:val="single" w:sz="16" w:space="0" w:color="000000"/>
            </w:tcBorders>
            <w:shd w:val="clear" w:color="auto" w:fill="FFFFFF"/>
            <w:tcMar>
              <w:top w:w="0" w:type="dxa"/>
              <w:left w:w="0" w:type="dxa"/>
              <w:bottom w:w="0" w:type="dxa"/>
              <w:right w:w="0" w:type="dxa"/>
            </w:tcMar>
            <w:vAlign w:val="center"/>
          </w:tcPr>
          <w:p w14:paraId="70F5AF07" w14:textId="77777777" w:rsidR="007F0F7B" w:rsidRPr="009D01B7" w:rsidRDefault="007F0F7B">
            <w:pPr>
              <w:spacing w:after="0"/>
              <w:jc w:val="center"/>
            </w:pPr>
          </w:p>
        </w:tc>
        <w:tc>
          <w:tcPr>
            <w:tcW w:w="1395" w:type="dxa"/>
            <w:tcBorders>
              <w:top w:val="single" w:sz="16" w:space="0" w:color="000000"/>
            </w:tcBorders>
            <w:shd w:val="clear" w:color="auto" w:fill="FFFFFF"/>
            <w:tcMar>
              <w:top w:w="0" w:type="dxa"/>
              <w:left w:w="0" w:type="dxa"/>
              <w:bottom w:w="0" w:type="dxa"/>
              <w:right w:w="0" w:type="dxa"/>
            </w:tcMar>
            <w:vAlign w:val="center"/>
          </w:tcPr>
          <w:p w14:paraId="70F5AF08" w14:textId="77777777" w:rsidR="007F0F7B" w:rsidRPr="009D01B7" w:rsidRDefault="008D5CA0">
            <w:pPr>
              <w:spacing w:after="0"/>
              <w:jc w:val="center"/>
            </w:pPr>
            <w:r w:rsidRPr="009D01B7">
              <w:rPr>
                <w:rFonts w:ascii="Arial" w:eastAsia="Arial" w:hAnsi="Arial" w:cs="Arial"/>
                <w:b/>
                <w:color w:val="000000"/>
                <w:sz w:val="20"/>
                <w:szCs w:val="20"/>
              </w:rPr>
              <w:t xml:space="preserve">     DID-G      </w:t>
            </w:r>
          </w:p>
        </w:tc>
        <w:tc>
          <w:tcPr>
            <w:tcW w:w="1395" w:type="dxa"/>
            <w:tcBorders>
              <w:top w:val="single" w:sz="16" w:space="0" w:color="000000"/>
            </w:tcBorders>
            <w:shd w:val="clear" w:color="auto" w:fill="FFFFFF"/>
            <w:tcMar>
              <w:top w:w="0" w:type="dxa"/>
              <w:left w:w="0" w:type="dxa"/>
              <w:bottom w:w="0" w:type="dxa"/>
              <w:right w:w="0" w:type="dxa"/>
            </w:tcMar>
            <w:vAlign w:val="center"/>
          </w:tcPr>
          <w:p w14:paraId="70F5AF09" w14:textId="77777777" w:rsidR="007F0F7B" w:rsidRPr="009D01B7" w:rsidRDefault="008D5CA0">
            <w:pPr>
              <w:spacing w:after="0"/>
              <w:jc w:val="center"/>
            </w:pPr>
            <w:r w:rsidRPr="009D01B7">
              <w:rPr>
                <w:rFonts w:ascii="Arial" w:eastAsia="Arial" w:hAnsi="Arial" w:cs="Arial"/>
                <w:b/>
                <w:color w:val="000000"/>
                <w:sz w:val="20"/>
                <w:szCs w:val="20"/>
              </w:rPr>
              <w:t xml:space="preserve">     DID-S      </w:t>
            </w:r>
          </w:p>
        </w:tc>
        <w:tc>
          <w:tcPr>
            <w:tcW w:w="1395" w:type="dxa"/>
            <w:tcBorders>
              <w:top w:val="single" w:sz="16" w:space="0" w:color="000000"/>
            </w:tcBorders>
            <w:shd w:val="clear" w:color="auto" w:fill="FFFFFF"/>
            <w:tcMar>
              <w:top w:w="0" w:type="dxa"/>
              <w:left w:w="0" w:type="dxa"/>
              <w:bottom w:w="0" w:type="dxa"/>
              <w:right w:w="0" w:type="dxa"/>
            </w:tcMar>
            <w:vAlign w:val="center"/>
          </w:tcPr>
          <w:p w14:paraId="70F5AF0A" w14:textId="77777777" w:rsidR="007F0F7B" w:rsidRPr="009D01B7" w:rsidRDefault="008D5CA0">
            <w:pPr>
              <w:spacing w:after="0"/>
              <w:jc w:val="center"/>
            </w:pPr>
            <w:r w:rsidRPr="009D01B7">
              <w:rPr>
                <w:rFonts w:ascii="Arial" w:eastAsia="Arial" w:hAnsi="Arial" w:cs="Arial"/>
                <w:b/>
                <w:color w:val="000000"/>
                <w:sz w:val="20"/>
                <w:szCs w:val="20"/>
              </w:rPr>
              <w:t xml:space="preserve">      PTSD      </w:t>
            </w:r>
          </w:p>
        </w:tc>
        <w:tc>
          <w:tcPr>
            <w:tcW w:w="1395" w:type="dxa"/>
            <w:tcBorders>
              <w:top w:val="single" w:sz="16" w:space="0" w:color="000000"/>
            </w:tcBorders>
            <w:shd w:val="clear" w:color="auto" w:fill="FFFFFF"/>
            <w:tcMar>
              <w:top w:w="0" w:type="dxa"/>
              <w:left w:w="0" w:type="dxa"/>
              <w:bottom w:w="0" w:type="dxa"/>
              <w:right w:w="0" w:type="dxa"/>
            </w:tcMar>
            <w:vAlign w:val="center"/>
          </w:tcPr>
          <w:p w14:paraId="70F5AF0B" w14:textId="77777777" w:rsidR="007F0F7B" w:rsidRPr="009D01B7" w:rsidRDefault="008D5CA0">
            <w:pPr>
              <w:spacing w:after="0"/>
              <w:jc w:val="center"/>
            </w:pPr>
            <w:r w:rsidRPr="009D01B7">
              <w:rPr>
                <w:rFonts w:ascii="Arial" w:eastAsia="Arial" w:hAnsi="Arial" w:cs="Arial"/>
                <w:b/>
                <w:color w:val="000000"/>
                <w:sz w:val="20"/>
                <w:szCs w:val="20"/>
              </w:rPr>
              <w:t xml:space="preserve">       HC       </w:t>
            </w:r>
          </w:p>
        </w:tc>
        <w:tc>
          <w:tcPr>
            <w:tcW w:w="915" w:type="dxa"/>
            <w:tcBorders>
              <w:top w:val="single" w:sz="16" w:space="0" w:color="000000"/>
            </w:tcBorders>
            <w:shd w:val="clear" w:color="auto" w:fill="FFFFFF"/>
            <w:tcMar>
              <w:top w:w="0" w:type="dxa"/>
              <w:left w:w="0" w:type="dxa"/>
              <w:bottom w:w="0" w:type="dxa"/>
              <w:right w:w="0" w:type="dxa"/>
            </w:tcMar>
            <w:vAlign w:val="center"/>
          </w:tcPr>
          <w:p w14:paraId="70F5AF0C" w14:textId="755FD73F" w:rsidR="007F0F7B" w:rsidRPr="009D01B7" w:rsidRDefault="00F018A1">
            <w:pPr>
              <w:spacing w:after="0"/>
              <w:jc w:val="center"/>
            </w:pPr>
            <w:r w:rsidRPr="009D01B7">
              <w:rPr>
                <w:rFonts w:ascii="Arial" w:eastAsia="Arial" w:hAnsi="Arial" w:cs="Arial"/>
                <w:b/>
                <w:color w:val="000000"/>
                <w:sz w:val="20"/>
                <w:szCs w:val="20"/>
              </w:rPr>
              <w:t xml:space="preserve">Omnibus </w:t>
            </w:r>
          </w:p>
        </w:tc>
      </w:tr>
      <w:tr w:rsidR="007F0F7B" w:rsidRPr="009D01B7" w14:paraId="70F5AF14" w14:textId="77777777" w:rsidTr="00497CA2">
        <w:trPr>
          <w:cantSplit/>
          <w:trHeight w:val="338"/>
          <w:tblHeader/>
          <w:jc w:val="center"/>
        </w:trPr>
        <w:tc>
          <w:tcPr>
            <w:tcW w:w="1932" w:type="dxa"/>
            <w:tcBorders>
              <w:bottom w:val="single" w:sz="16" w:space="0" w:color="000000"/>
            </w:tcBorders>
            <w:shd w:val="clear" w:color="auto" w:fill="FFFFFF"/>
            <w:tcMar>
              <w:top w:w="0" w:type="dxa"/>
              <w:left w:w="0" w:type="dxa"/>
              <w:bottom w:w="0" w:type="dxa"/>
              <w:right w:w="0" w:type="dxa"/>
            </w:tcMar>
            <w:vAlign w:val="center"/>
          </w:tcPr>
          <w:p w14:paraId="70F5AF0E" w14:textId="77777777" w:rsidR="007F0F7B" w:rsidRPr="009D01B7" w:rsidRDefault="007F0F7B">
            <w:pPr>
              <w:spacing w:after="0"/>
              <w:jc w:val="center"/>
            </w:pPr>
          </w:p>
        </w:tc>
        <w:tc>
          <w:tcPr>
            <w:tcW w:w="1395" w:type="dxa"/>
            <w:tcBorders>
              <w:bottom w:val="single" w:sz="16" w:space="0" w:color="000000"/>
            </w:tcBorders>
            <w:shd w:val="clear" w:color="auto" w:fill="FFFFFF"/>
            <w:tcMar>
              <w:top w:w="0" w:type="dxa"/>
              <w:left w:w="0" w:type="dxa"/>
              <w:bottom w:w="0" w:type="dxa"/>
              <w:right w:w="0" w:type="dxa"/>
            </w:tcMar>
            <w:vAlign w:val="center"/>
          </w:tcPr>
          <w:p w14:paraId="70F5AF0F" w14:textId="77777777" w:rsidR="007F0F7B" w:rsidRPr="009D01B7" w:rsidRDefault="008D5CA0">
            <w:pPr>
              <w:spacing w:after="0"/>
              <w:jc w:val="center"/>
            </w:pPr>
            <w:r w:rsidRPr="009D01B7">
              <w:rPr>
                <w:rFonts w:ascii="Arial" w:eastAsia="Arial" w:hAnsi="Arial" w:cs="Arial"/>
                <w:b/>
                <w:i/>
                <w:color w:val="000000"/>
                <w:sz w:val="20"/>
                <w:szCs w:val="20"/>
              </w:rPr>
              <w:t xml:space="preserve">      N=14      </w:t>
            </w:r>
          </w:p>
        </w:tc>
        <w:tc>
          <w:tcPr>
            <w:tcW w:w="1395" w:type="dxa"/>
            <w:tcBorders>
              <w:bottom w:val="single" w:sz="16" w:space="0" w:color="000000"/>
            </w:tcBorders>
            <w:shd w:val="clear" w:color="auto" w:fill="FFFFFF"/>
            <w:tcMar>
              <w:top w:w="0" w:type="dxa"/>
              <w:left w:w="0" w:type="dxa"/>
              <w:bottom w:w="0" w:type="dxa"/>
              <w:right w:w="0" w:type="dxa"/>
            </w:tcMar>
            <w:vAlign w:val="center"/>
          </w:tcPr>
          <w:p w14:paraId="70F5AF10" w14:textId="65CC0AD9" w:rsidR="007F0F7B" w:rsidRPr="009D01B7" w:rsidRDefault="008D5CA0">
            <w:pPr>
              <w:spacing w:after="0"/>
              <w:jc w:val="center"/>
            </w:pPr>
            <w:r w:rsidRPr="009D01B7">
              <w:rPr>
                <w:rFonts w:ascii="Arial" w:eastAsia="Arial" w:hAnsi="Arial" w:cs="Arial"/>
                <w:b/>
                <w:i/>
                <w:color w:val="000000"/>
                <w:sz w:val="20"/>
                <w:szCs w:val="20"/>
              </w:rPr>
              <w:t xml:space="preserve">      N=1</w:t>
            </w:r>
            <w:r w:rsidR="00D32F56" w:rsidRPr="009D01B7">
              <w:rPr>
                <w:rFonts w:ascii="Arial" w:eastAsia="Arial" w:hAnsi="Arial" w:cs="Arial"/>
                <w:b/>
                <w:i/>
                <w:color w:val="000000"/>
                <w:sz w:val="20"/>
                <w:szCs w:val="20"/>
              </w:rPr>
              <w:t>6</w:t>
            </w:r>
            <w:r w:rsidRPr="009D01B7">
              <w:rPr>
                <w:rFonts w:ascii="Arial" w:eastAsia="Arial" w:hAnsi="Arial" w:cs="Arial"/>
                <w:b/>
                <w:i/>
                <w:color w:val="000000"/>
                <w:sz w:val="20"/>
                <w:szCs w:val="20"/>
              </w:rPr>
              <w:t xml:space="preserve">      </w:t>
            </w:r>
          </w:p>
        </w:tc>
        <w:tc>
          <w:tcPr>
            <w:tcW w:w="1395" w:type="dxa"/>
            <w:tcBorders>
              <w:bottom w:val="single" w:sz="16" w:space="0" w:color="000000"/>
            </w:tcBorders>
            <w:shd w:val="clear" w:color="auto" w:fill="FFFFFF"/>
            <w:tcMar>
              <w:top w:w="0" w:type="dxa"/>
              <w:left w:w="0" w:type="dxa"/>
              <w:bottom w:w="0" w:type="dxa"/>
              <w:right w:w="0" w:type="dxa"/>
            </w:tcMar>
            <w:vAlign w:val="center"/>
          </w:tcPr>
          <w:p w14:paraId="70F5AF11" w14:textId="77777777" w:rsidR="007F0F7B" w:rsidRPr="009D01B7" w:rsidRDefault="008D5CA0">
            <w:pPr>
              <w:spacing w:after="0"/>
              <w:jc w:val="center"/>
            </w:pPr>
            <w:r w:rsidRPr="009D01B7">
              <w:rPr>
                <w:rFonts w:ascii="Arial" w:eastAsia="Arial" w:hAnsi="Arial" w:cs="Arial"/>
                <w:b/>
                <w:i/>
                <w:color w:val="000000"/>
                <w:sz w:val="20"/>
                <w:szCs w:val="20"/>
              </w:rPr>
              <w:t xml:space="preserve">      N=16      </w:t>
            </w:r>
          </w:p>
        </w:tc>
        <w:tc>
          <w:tcPr>
            <w:tcW w:w="1395" w:type="dxa"/>
            <w:tcBorders>
              <w:bottom w:val="single" w:sz="16" w:space="0" w:color="000000"/>
            </w:tcBorders>
            <w:shd w:val="clear" w:color="auto" w:fill="FFFFFF"/>
            <w:tcMar>
              <w:top w:w="0" w:type="dxa"/>
              <w:left w:w="0" w:type="dxa"/>
              <w:bottom w:w="0" w:type="dxa"/>
              <w:right w:w="0" w:type="dxa"/>
            </w:tcMar>
            <w:vAlign w:val="center"/>
          </w:tcPr>
          <w:p w14:paraId="70F5AF12" w14:textId="77777777" w:rsidR="007F0F7B" w:rsidRPr="009D01B7" w:rsidRDefault="008D5CA0">
            <w:pPr>
              <w:spacing w:after="0"/>
              <w:jc w:val="center"/>
            </w:pPr>
            <w:r w:rsidRPr="009D01B7">
              <w:rPr>
                <w:rFonts w:ascii="Arial" w:eastAsia="Arial" w:hAnsi="Arial" w:cs="Arial"/>
                <w:b/>
                <w:i/>
                <w:color w:val="000000"/>
                <w:sz w:val="20"/>
                <w:szCs w:val="20"/>
              </w:rPr>
              <w:t xml:space="preserve">      N=16      </w:t>
            </w:r>
          </w:p>
        </w:tc>
        <w:tc>
          <w:tcPr>
            <w:tcW w:w="915" w:type="dxa"/>
            <w:tcBorders>
              <w:bottom w:val="single" w:sz="16" w:space="0" w:color="000000"/>
            </w:tcBorders>
            <w:shd w:val="clear" w:color="auto" w:fill="FFFFFF"/>
            <w:tcMar>
              <w:top w:w="0" w:type="dxa"/>
              <w:left w:w="0" w:type="dxa"/>
              <w:bottom w:w="0" w:type="dxa"/>
              <w:right w:w="0" w:type="dxa"/>
            </w:tcMar>
            <w:vAlign w:val="center"/>
          </w:tcPr>
          <w:p w14:paraId="70F5AF13" w14:textId="7AC29440" w:rsidR="007F0F7B" w:rsidRPr="009D01B7" w:rsidRDefault="00F018A1">
            <w:pPr>
              <w:spacing w:after="0"/>
              <w:jc w:val="center"/>
            </w:pPr>
            <w:r w:rsidRPr="009D01B7">
              <w:rPr>
                <w:rFonts w:ascii="Arial" w:eastAsia="Arial" w:hAnsi="Arial" w:cs="Arial"/>
                <w:b/>
                <w:color w:val="000000"/>
                <w:sz w:val="20"/>
                <w:szCs w:val="20"/>
              </w:rPr>
              <w:t>test</w:t>
            </w:r>
            <w:r w:rsidR="008D5CA0" w:rsidRPr="009D01B7">
              <w:rPr>
                <w:rFonts w:ascii="Arial" w:eastAsia="Arial" w:hAnsi="Arial" w:cs="Arial"/>
                <w:b/>
                <w:i/>
                <w:color w:val="000000"/>
                <w:sz w:val="20"/>
                <w:szCs w:val="20"/>
              </w:rPr>
              <w:t xml:space="preserve">         </w:t>
            </w:r>
          </w:p>
        </w:tc>
      </w:tr>
      <w:tr w:rsidR="007F0F7B" w:rsidRPr="009D01B7" w14:paraId="70F5AF1B" w14:textId="77777777" w:rsidTr="00497CA2">
        <w:trPr>
          <w:cantSplit/>
          <w:trHeight w:val="409"/>
          <w:jc w:val="center"/>
        </w:trPr>
        <w:tc>
          <w:tcPr>
            <w:tcW w:w="1932" w:type="dxa"/>
            <w:shd w:val="clear" w:color="auto" w:fill="FFFFFF"/>
            <w:tcMar>
              <w:top w:w="0" w:type="dxa"/>
              <w:left w:w="0" w:type="dxa"/>
              <w:bottom w:w="0" w:type="dxa"/>
              <w:right w:w="0" w:type="dxa"/>
            </w:tcMar>
            <w:vAlign w:val="center"/>
          </w:tcPr>
          <w:p w14:paraId="70F5AF15" w14:textId="16A90D04" w:rsidR="007F0F7B" w:rsidRPr="009D01B7" w:rsidRDefault="00497CA2">
            <w:pPr>
              <w:spacing w:before="40" w:after="40"/>
              <w:ind w:left="100" w:right="100"/>
            </w:pPr>
            <w:r w:rsidRPr="009D01B7">
              <w:rPr>
                <w:rFonts w:ascii="Arial" w:eastAsia="Arial" w:hAnsi="Arial" w:cs="Arial"/>
                <w:color w:val="111111"/>
                <w:sz w:val="22"/>
                <w:szCs w:val="22"/>
              </w:rPr>
              <w:t>A</w:t>
            </w:r>
            <w:r w:rsidR="008D5CA0" w:rsidRPr="009D01B7">
              <w:rPr>
                <w:rFonts w:ascii="Arial" w:eastAsia="Arial" w:hAnsi="Arial" w:cs="Arial"/>
                <w:color w:val="111111"/>
                <w:sz w:val="22"/>
                <w:szCs w:val="22"/>
              </w:rPr>
              <w:t>ge</w:t>
            </w:r>
            <w:r w:rsidRPr="009D01B7">
              <w:rPr>
                <w:rFonts w:ascii="Arial" w:eastAsia="Arial" w:hAnsi="Arial" w:cs="Arial"/>
                <w:color w:val="111111"/>
                <w:sz w:val="22"/>
                <w:szCs w:val="22"/>
              </w:rPr>
              <w:t xml:space="preserve"> (years)</w:t>
            </w:r>
          </w:p>
        </w:tc>
        <w:tc>
          <w:tcPr>
            <w:tcW w:w="1395" w:type="dxa"/>
            <w:shd w:val="clear" w:color="auto" w:fill="FFFFFF"/>
            <w:tcMar>
              <w:top w:w="0" w:type="dxa"/>
              <w:left w:w="0" w:type="dxa"/>
              <w:bottom w:w="0" w:type="dxa"/>
              <w:right w:w="0" w:type="dxa"/>
            </w:tcMar>
            <w:vAlign w:val="center"/>
          </w:tcPr>
          <w:p w14:paraId="70F5AF16"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44.8 (10.3)   </w:t>
            </w:r>
          </w:p>
        </w:tc>
        <w:tc>
          <w:tcPr>
            <w:tcW w:w="1395" w:type="dxa"/>
            <w:shd w:val="clear" w:color="auto" w:fill="FFFFFF"/>
            <w:tcMar>
              <w:top w:w="0" w:type="dxa"/>
              <w:left w:w="0" w:type="dxa"/>
              <w:bottom w:w="0" w:type="dxa"/>
              <w:right w:w="0" w:type="dxa"/>
            </w:tcMar>
            <w:vAlign w:val="center"/>
          </w:tcPr>
          <w:p w14:paraId="70F5AF17"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39.7 (13.0)   </w:t>
            </w:r>
          </w:p>
        </w:tc>
        <w:tc>
          <w:tcPr>
            <w:tcW w:w="1395" w:type="dxa"/>
            <w:shd w:val="clear" w:color="auto" w:fill="FFFFFF"/>
            <w:tcMar>
              <w:top w:w="0" w:type="dxa"/>
              <w:left w:w="0" w:type="dxa"/>
              <w:bottom w:w="0" w:type="dxa"/>
              <w:right w:w="0" w:type="dxa"/>
            </w:tcMar>
            <w:vAlign w:val="center"/>
          </w:tcPr>
          <w:p w14:paraId="70F5AF18"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42.1 (12.7)   </w:t>
            </w:r>
          </w:p>
        </w:tc>
        <w:tc>
          <w:tcPr>
            <w:tcW w:w="1395" w:type="dxa"/>
            <w:shd w:val="clear" w:color="auto" w:fill="FFFFFF"/>
            <w:tcMar>
              <w:top w:w="0" w:type="dxa"/>
              <w:left w:w="0" w:type="dxa"/>
              <w:bottom w:w="0" w:type="dxa"/>
              <w:right w:w="0" w:type="dxa"/>
            </w:tcMar>
            <w:vAlign w:val="center"/>
          </w:tcPr>
          <w:p w14:paraId="70F5AF19"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43.9 (11.0)   </w:t>
            </w:r>
          </w:p>
        </w:tc>
        <w:tc>
          <w:tcPr>
            <w:tcW w:w="915" w:type="dxa"/>
            <w:shd w:val="clear" w:color="auto" w:fill="FFFFFF"/>
            <w:tcMar>
              <w:top w:w="0" w:type="dxa"/>
              <w:left w:w="0" w:type="dxa"/>
              <w:bottom w:w="0" w:type="dxa"/>
              <w:right w:w="0" w:type="dxa"/>
            </w:tcMar>
            <w:vAlign w:val="center"/>
          </w:tcPr>
          <w:p w14:paraId="70F5AF1A"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0.688  </w:t>
            </w:r>
          </w:p>
        </w:tc>
      </w:tr>
      <w:tr w:rsidR="007F0F7B" w:rsidRPr="009D01B7" w14:paraId="70F5AF22" w14:textId="77777777" w:rsidTr="00497CA2">
        <w:trPr>
          <w:cantSplit/>
          <w:trHeight w:val="463"/>
          <w:jc w:val="center"/>
        </w:trPr>
        <w:tc>
          <w:tcPr>
            <w:tcW w:w="1932" w:type="dxa"/>
            <w:shd w:val="clear" w:color="auto" w:fill="FFFFFF"/>
            <w:tcMar>
              <w:top w:w="0" w:type="dxa"/>
              <w:left w:w="0" w:type="dxa"/>
              <w:bottom w:w="0" w:type="dxa"/>
              <w:right w:w="0" w:type="dxa"/>
            </w:tcMar>
            <w:vAlign w:val="center"/>
          </w:tcPr>
          <w:p w14:paraId="70F5AF1C" w14:textId="531599D8" w:rsidR="007F0F7B" w:rsidRPr="009D01B7" w:rsidRDefault="00497CA2">
            <w:pPr>
              <w:spacing w:before="40" w:after="40"/>
              <w:ind w:left="100" w:right="100"/>
            </w:pPr>
            <w:r w:rsidRPr="009D01B7">
              <w:rPr>
                <w:rFonts w:ascii="Arial" w:eastAsia="Arial" w:hAnsi="Arial" w:cs="Arial"/>
                <w:color w:val="111111"/>
                <w:sz w:val="22"/>
                <w:szCs w:val="22"/>
              </w:rPr>
              <w:t>Education</w:t>
            </w:r>
            <w:r w:rsidR="00EF77A9" w:rsidRPr="009D01B7">
              <w:rPr>
                <w:rFonts w:ascii="Arial" w:eastAsia="Arial" w:hAnsi="Arial" w:cs="Arial"/>
                <w:color w:val="111111"/>
                <w:sz w:val="22"/>
                <w:szCs w:val="22"/>
              </w:rPr>
              <w:br/>
            </w:r>
            <w:r w:rsidRPr="009D01B7">
              <w:rPr>
                <w:rFonts w:ascii="Arial" w:eastAsia="Arial" w:hAnsi="Arial" w:cs="Arial"/>
                <w:color w:val="111111"/>
                <w:sz w:val="22"/>
                <w:szCs w:val="22"/>
              </w:rPr>
              <w:t>(Years FT)</w:t>
            </w:r>
          </w:p>
        </w:tc>
        <w:tc>
          <w:tcPr>
            <w:tcW w:w="1395" w:type="dxa"/>
            <w:shd w:val="clear" w:color="auto" w:fill="FFFFFF"/>
            <w:tcMar>
              <w:top w:w="0" w:type="dxa"/>
              <w:left w:w="0" w:type="dxa"/>
              <w:bottom w:w="0" w:type="dxa"/>
              <w:right w:w="0" w:type="dxa"/>
            </w:tcMar>
            <w:vAlign w:val="center"/>
          </w:tcPr>
          <w:p w14:paraId="70F5AF1D"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1E"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1F"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20"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w:t>
            </w:r>
          </w:p>
        </w:tc>
        <w:tc>
          <w:tcPr>
            <w:tcW w:w="915" w:type="dxa"/>
            <w:shd w:val="clear" w:color="auto" w:fill="FFFFFF"/>
            <w:tcMar>
              <w:top w:w="0" w:type="dxa"/>
              <w:left w:w="0" w:type="dxa"/>
              <w:bottom w:w="0" w:type="dxa"/>
              <w:right w:w="0" w:type="dxa"/>
            </w:tcMar>
            <w:vAlign w:val="center"/>
          </w:tcPr>
          <w:p w14:paraId="70F5AF21" w14:textId="1FBCC528"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0.</w:t>
            </w:r>
            <w:r w:rsidR="00357B4C" w:rsidRPr="009D01B7">
              <w:rPr>
                <w:rFonts w:ascii="Arial" w:eastAsia="Arial" w:hAnsi="Arial" w:cs="Arial"/>
                <w:color w:val="111111"/>
                <w:sz w:val="22"/>
                <w:szCs w:val="22"/>
              </w:rPr>
              <w:t>109</w:t>
            </w:r>
            <w:r w:rsidRPr="009D01B7">
              <w:rPr>
                <w:rFonts w:ascii="Arial" w:eastAsia="Arial" w:hAnsi="Arial" w:cs="Arial"/>
                <w:color w:val="111111"/>
                <w:sz w:val="22"/>
                <w:szCs w:val="22"/>
              </w:rPr>
              <w:t xml:space="preserve">  </w:t>
            </w:r>
          </w:p>
        </w:tc>
      </w:tr>
      <w:tr w:rsidR="007F0F7B" w:rsidRPr="009D01B7" w14:paraId="70F5AF29" w14:textId="77777777" w:rsidTr="00497CA2">
        <w:trPr>
          <w:cantSplit/>
          <w:trHeight w:val="444"/>
          <w:jc w:val="center"/>
        </w:trPr>
        <w:tc>
          <w:tcPr>
            <w:tcW w:w="1932" w:type="dxa"/>
            <w:shd w:val="clear" w:color="auto" w:fill="FFFFFF"/>
            <w:tcMar>
              <w:top w:w="0" w:type="dxa"/>
              <w:left w:w="0" w:type="dxa"/>
              <w:bottom w:w="0" w:type="dxa"/>
              <w:right w:w="0" w:type="dxa"/>
            </w:tcMar>
            <w:vAlign w:val="center"/>
          </w:tcPr>
          <w:p w14:paraId="70F5AF23" w14:textId="77777777" w:rsidR="007F0F7B" w:rsidRPr="009D01B7" w:rsidRDefault="008D5CA0">
            <w:pPr>
              <w:spacing w:before="40" w:after="40"/>
              <w:ind w:left="100" w:right="100"/>
            </w:pPr>
            <w:r w:rsidRPr="009D01B7">
              <w:rPr>
                <w:rFonts w:ascii="Arial" w:eastAsia="Arial" w:hAnsi="Arial" w:cs="Arial"/>
                <w:color w:val="111111"/>
                <w:sz w:val="22"/>
                <w:szCs w:val="22"/>
              </w:rPr>
              <w:t xml:space="preserve">    &lt;15</w:t>
            </w:r>
          </w:p>
        </w:tc>
        <w:tc>
          <w:tcPr>
            <w:tcW w:w="1395" w:type="dxa"/>
            <w:shd w:val="clear" w:color="auto" w:fill="FFFFFF"/>
            <w:tcMar>
              <w:top w:w="0" w:type="dxa"/>
              <w:left w:w="0" w:type="dxa"/>
              <w:bottom w:w="0" w:type="dxa"/>
              <w:right w:w="0" w:type="dxa"/>
            </w:tcMar>
            <w:vAlign w:val="center"/>
          </w:tcPr>
          <w:p w14:paraId="70F5AF24"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2 (15.4</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25"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3 (20.0</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26"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5 (38.5</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27"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0 (0.00</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915" w:type="dxa"/>
            <w:shd w:val="clear" w:color="auto" w:fill="FFFFFF"/>
            <w:tcMar>
              <w:top w:w="0" w:type="dxa"/>
              <w:left w:w="0" w:type="dxa"/>
              <w:bottom w:w="0" w:type="dxa"/>
              <w:right w:w="0" w:type="dxa"/>
            </w:tcMar>
            <w:vAlign w:val="center"/>
          </w:tcPr>
          <w:p w14:paraId="70F5AF28"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w:t>
            </w:r>
          </w:p>
        </w:tc>
      </w:tr>
      <w:tr w:rsidR="007F0F7B" w:rsidRPr="009D01B7" w14:paraId="70F5AF30" w14:textId="77777777" w:rsidTr="00497CA2">
        <w:trPr>
          <w:cantSplit/>
          <w:trHeight w:val="444"/>
          <w:jc w:val="center"/>
        </w:trPr>
        <w:tc>
          <w:tcPr>
            <w:tcW w:w="1932" w:type="dxa"/>
            <w:shd w:val="clear" w:color="auto" w:fill="FFFFFF"/>
            <w:tcMar>
              <w:top w:w="0" w:type="dxa"/>
              <w:left w:w="0" w:type="dxa"/>
              <w:bottom w:w="0" w:type="dxa"/>
              <w:right w:w="0" w:type="dxa"/>
            </w:tcMar>
            <w:vAlign w:val="center"/>
          </w:tcPr>
          <w:p w14:paraId="70F5AF2A" w14:textId="77777777" w:rsidR="007F0F7B" w:rsidRPr="009D01B7" w:rsidRDefault="008D5CA0">
            <w:pPr>
              <w:spacing w:before="40" w:after="40"/>
              <w:ind w:left="100" w:right="100"/>
            </w:pPr>
            <w:r w:rsidRPr="009D01B7">
              <w:rPr>
                <w:rFonts w:ascii="Arial" w:eastAsia="Arial" w:hAnsi="Arial" w:cs="Arial"/>
                <w:color w:val="111111"/>
                <w:sz w:val="22"/>
                <w:szCs w:val="22"/>
              </w:rPr>
              <w:t xml:space="preserve">    15</w:t>
            </w:r>
          </w:p>
        </w:tc>
        <w:tc>
          <w:tcPr>
            <w:tcW w:w="1395" w:type="dxa"/>
            <w:shd w:val="clear" w:color="auto" w:fill="FFFFFF"/>
            <w:tcMar>
              <w:top w:w="0" w:type="dxa"/>
              <w:left w:w="0" w:type="dxa"/>
              <w:bottom w:w="0" w:type="dxa"/>
              <w:right w:w="0" w:type="dxa"/>
            </w:tcMar>
            <w:vAlign w:val="center"/>
          </w:tcPr>
          <w:p w14:paraId="70F5AF2B"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7 (53.8</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2C"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5 (33.3</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2D"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3 (23.1</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2E"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9 (75.0</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915" w:type="dxa"/>
            <w:shd w:val="clear" w:color="auto" w:fill="FFFFFF"/>
            <w:tcMar>
              <w:top w:w="0" w:type="dxa"/>
              <w:left w:w="0" w:type="dxa"/>
              <w:bottom w:w="0" w:type="dxa"/>
              <w:right w:w="0" w:type="dxa"/>
            </w:tcMar>
            <w:vAlign w:val="center"/>
          </w:tcPr>
          <w:p w14:paraId="70F5AF2F"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w:t>
            </w:r>
          </w:p>
        </w:tc>
      </w:tr>
      <w:tr w:rsidR="007F0F7B" w:rsidRPr="009D01B7" w14:paraId="70F5AF37" w14:textId="77777777" w:rsidTr="00497CA2">
        <w:trPr>
          <w:cantSplit/>
          <w:trHeight w:val="463"/>
          <w:jc w:val="center"/>
        </w:trPr>
        <w:tc>
          <w:tcPr>
            <w:tcW w:w="1932" w:type="dxa"/>
            <w:shd w:val="clear" w:color="auto" w:fill="FFFFFF"/>
            <w:tcMar>
              <w:top w:w="0" w:type="dxa"/>
              <w:left w:w="0" w:type="dxa"/>
              <w:bottom w:w="0" w:type="dxa"/>
              <w:right w:w="0" w:type="dxa"/>
            </w:tcMar>
            <w:vAlign w:val="center"/>
          </w:tcPr>
          <w:p w14:paraId="70F5AF31" w14:textId="77777777" w:rsidR="007F0F7B" w:rsidRPr="009D01B7" w:rsidRDefault="008D5CA0">
            <w:pPr>
              <w:spacing w:before="40" w:after="40"/>
              <w:ind w:left="100" w:right="100"/>
            </w:pPr>
            <w:r w:rsidRPr="009D01B7">
              <w:rPr>
                <w:rFonts w:ascii="Arial" w:eastAsia="Arial" w:hAnsi="Arial" w:cs="Arial"/>
                <w:color w:val="111111"/>
                <w:sz w:val="22"/>
                <w:szCs w:val="22"/>
              </w:rPr>
              <w:t xml:space="preserve">    16</w:t>
            </w:r>
          </w:p>
        </w:tc>
        <w:tc>
          <w:tcPr>
            <w:tcW w:w="1395" w:type="dxa"/>
            <w:shd w:val="clear" w:color="auto" w:fill="FFFFFF"/>
            <w:tcMar>
              <w:top w:w="0" w:type="dxa"/>
              <w:left w:w="0" w:type="dxa"/>
              <w:bottom w:w="0" w:type="dxa"/>
              <w:right w:w="0" w:type="dxa"/>
            </w:tcMar>
            <w:vAlign w:val="center"/>
          </w:tcPr>
          <w:p w14:paraId="70F5AF32"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4 (30.8</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33"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7 (46.7</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34"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5 (38.5</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1395" w:type="dxa"/>
            <w:shd w:val="clear" w:color="auto" w:fill="FFFFFF"/>
            <w:tcMar>
              <w:top w:w="0" w:type="dxa"/>
              <w:left w:w="0" w:type="dxa"/>
              <w:bottom w:w="0" w:type="dxa"/>
              <w:right w:w="0" w:type="dxa"/>
            </w:tcMar>
            <w:vAlign w:val="center"/>
          </w:tcPr>
          <w:p w14:paraId="70F5AF35"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3 (25.0</w:t>
            </w:r>
            <w:proofErr w:type="gramStart"/>
            <w:r w:rsidRPr="009D01B7">
              <w:rPr>
                <w:rFonts w:ascii="Arial" w:eastAsia="Arial" w:hAnsi="Arial" w:cs="Arial"/>
                <w:color w:val="111111"/>
                <w:sz w:val="22"/>
                <w:szCs w:val="22"/>
              </w:rPr>
              <w:t xml:space="preserve">%)   </w:t>
            </w:r>
            <w:proofErr w:type="gramEnd"/>
            <w:r w:rsidRPr="009D01B7">
              <w:rPr>
                <w:rFonts w:ascii="Arial" w:eastAsia="Arial" w:hAnsi="Arial" w:cs="Arial"/>
                <w:color w:val="111111"/>
                <w:sz w:val="22"/>
                <w:szCs w:val="22"/>
              </w:rPr>
              <w:t xml:space="preserve"> </w:t>
            </w:r>
          </w:p>
        </w:tc>
        <w:tc>
          <w:tcPr>
            <w:tcW w:w="915" w:type="dxa"/>
            <w:shd w:val="clear" w:color="auto" w:fill="FFFFFF"/>
            <w:tcMar>
              <w:top w:w="0" w:type="dxa"/>
              <w:left w:w="0" w:type="dxa"/>
              <w:bottom w:w="0" w:type="dxa"/>
              <w:right w:w="0" w:type="dxa"/>
            </w:tcMar>
            <w:vAlign w:val="center"/>
          </w:tcPr>
          <w:p w14:paraId="70F5AF36"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w:t>
            </w:r>
          </w:p>
        </w:tc>
      </w:tr>
      <w:tr w:rsidR="007F0F7B" w:rsidRPr="009D01B7" w14:paraId="70F5AF3E" w14:textId="77777777" w:rsidTr="00497CA2">
        <w:trPr>
          <w:cantSplit/>
          <w:trHeight w:val="409"/>
          <w:jc w:val="center"/>
        </w:trPr>
        <w:tc>
          <w:tcPr>
            <w:tcW w:w="1932" w:type="dxa"/>
            <w:shd w:val="clear" w:color="auto" w:fill="FFFFFF"/>
            <w:tcMar>
              <w:top w:w="0" w:type="dxa"/>
              <w:left w:w="0" w:type="dxa"/>
              <w:bottom w:w="0" w:type="dxa"/>
              <w:right w:w="0" w:type="dxa"/>
            </w:tcMar>
            <w:vAlign w:val="center"/>
          </w:tcPr>
          <w:p w14:paraId="70F5AF38" w14:textId="77777777" w:rsidR="007F0F7B" w:rsidRPr="009D01B7" w:rsidRDefault="008D5CA0">
            <w:pPr>
              <w:spacing w:before="40" w:after="40"/>
              <w:ind w:left="100" w:right="100"/>
            </w:pPr>
            <w:r w:rsidRPr="009D01B7">
              <w:rPr>
                <w:rFonts w:ascii="Arial" w:eastAsia="Arial" w:hAnsi="Arial" w:cs="Arial"/>
                <w:color w:val="111111"/>
                <w:sz w:val="22"/>
                <w:szCs w:val="22"/>
              </w:rPr>
              <w:t>DES</w:t>
            </w:r>
          </w:p>
        </w:tc>
        <w:tc>
          <w:tcPr>
            <w:tcW w:w="1395" w:type="dxa"/>
            <w:shd w:val="clear" w:color="auto" w:fill="FFFFFF"/>
            <w:tcMar>
              <w:top w:w="0" w:type="dxa"/>
              <w:left w:w="0" w:type="dxa"/>
              <w:bottom w:w="0" w:type="dxa"/>
              <w:right w:w="0" w:type="dxa"/>
            </w:tcMar>
            <w:vAlign w:val="center"/>
          </w:tcPr>
          <w:p w14:paraId="70F5AF39" w14:textId="1E1A57FA" w:rsidR="007F0F7B" w:rsidRPr="009D01B7" w:rsidRDefault="008D5CA0">
            <w:pPr>
              <w:spacing w:before="40" w:after="40"/>
              <w:ind w:left="100" w:right="100"/>
              <w:jc w:val="center"/>
            </w:pPr>
            <w:r w:rsidRPr="009D01B7">
              <w:rPr>
                <w:rFonts w:ascii="Arial" w:eastAsia="Arial" w:hAnsi="Arial" w:cs="Arial"/>
                <w:color w:val="111111"/>
                <w:sz w:val="22"/>
                <w:szCs w:val="22"/>
              </w:rPr>
              <w:t>53.2</w:t>
            </w:r>
            <w:r w:rsidR="005D325E" w:rsidRPr="009D01B7">
              <w:rPr>
                <w:rFonts w:ascii="Arial" w:eastAsia="Arial" w:hAnsi="Arial" w:cs="Arial"/>
                <w:color w:val="111111"/>
                <w:sz w:val="22"/>
                <w:szCs w:val="22"/>
                <w:vertAlign w:val="superscript"/>
              </w:rPr>
              <w:t>c</w:t>
            </w:r>
            <w:r w:rsidRPr="009D01B7">
              <w:rPr>
                <w:rFonts w:ascii="Arial" w:eastAsia="Arial" w:hAnsi="Arial" w:cs="Arial"/>
                <w:color w:val="111111"/>
                <w:sz w:val="22"/>
                <w:szCs w:val="22"/>
              </w:rPr>
              <w:t xml:space="preserve"> [43.7;67.7]</w:t>
            </w:r>
          </w:p>
        </w:tc>
        <w:tc>
          <w:tcPr>
            <w:tcW w:w="1395" w:type="dxa"/>
            <w:shd w:val="clear" w:color="auto" w:fill="FFFFFF"/>
            <w:tcMar>
              <w:top w:w="0" w:type="dxa"/>
              <w:left w:w="0" w:type="dxa"/>
              <w:bottom w:w="0" w:type="dxa"/>
              <w:right w:w="0" w:type="dxa"/>
            </w:tcMar>
            <w:vAlign w:val="center"/>
          </w:tcPr>
          <w:p w14:paraId="70F5AF3A" w14:textId="0016653C" w:rsidR="007F0F7B" w:rsidRPr="009D01B7" w:rsidRDefault="008D5CA0">
            <w:pPr>
              <w:spacing w:before="40" w:after="40"/>
              <w:ind w:left="100" w:right="100"/>
              <w:jc w:val="center"/>
            </w:pPr>
            <w:r w:rsidRPr="009D01B7">
              <w:rPr>
                <w:rFonts w:ascii="Arial" w:eastAsia="Arial" w:hAnsi="Arial" w:cs="Arial"/>
                <w:color w:val="111111"/>
                <w:sz w:val="22"/>
                <w:szCs w:val="22"/>
              </w:rPr>
              <w:t>4.64</w:t>
            </w:r>
            <w:r w:rsidR="005D325E" w:rsidRPr="009D01B7">
              <w:rPr>
                <w:rFonts w:ascii="Arial" w:eastAsia="Arial" w:hAnsi="Arial" w:cs="Arial"/>
                <w:color w:val="111111"/>
                <w:sz w:val="22"/>
                <w:szCs w:val="22"/>
                <w:vertAlign w:val="superscript"/>
              </w:rPr>
              <w:t>a</w:t>
            </w:r>
            <w:r w:rsidRPr="009D01B7">
              <w:rPr>
                <w:rFonts w:ascii="Arial" w:eastAsia="Arial" w:hAnsi="Arial" w:cs="Arial"/>
                <w:color w:val="111111"/>
                <w:sz w:val="22"/>
                <w:szCs w:val="22"/>
              </w:rPr>
              <w:t xml:space="preserve"> [3.04;5.89]</w:t>
            </w:r>
          </w:p>
        </w:tc>
        <w:tc>
          <w:tcPr>
            <w:tcW w:w="1395" w:type="dxa"/>
            <w:shd w:val="clear" w:color="auto" w:fill="FFFFFF"/>
            <w:tcMar>
              <w:top w:w="0" w:type="dxa"/>
              <w:left w:w="0" w:type="dxa"/>
              <w:bottom w:w="0" w:type="dxa"/>
              <w:right w:w="0" w:type="dxa"/>
            </w:tcMar>
            <w:vAlign w:val="center"/>
          </w:tcPr>
          <w:p w14:paraId="70F5AF3B" w14:textId="707BD7FB" w:rsidR="007F0F7B" w:rsidRPr="009D01B7" w:rsidRDefault="008D5CA0">
            <w:pPr>
              <w:spacing w:before="40" w:after="40"/>
              <w:ind w:left="100" w:right="100"/>
              <w:jc w:val="center"/>
            </w:pPr>
            <w:r w:rsidRPr="009D01B7">
              <w:rPr>
                <w:rFonts w:ascii="Arial" w:eastAsia="Arial" w:hAnsi="Arial" w:cs="Arial"/>
                <w:color w:val="111111"/>
                <w:sz w:val="22"/>
                <w:szCs w:val="22"/>
              </w:rPr>
              <w:t>18.9</w:t>
            </w:r>
            <w:r w:rsidR="005D325E" w:rsidRPr="009D01B7">
              <w:rPr>
                <w:rFonts w:ascii="Arial" w:eastAsia="Arial" w:hAnsi="Arial" w:cs="Arial"/>
                <w:color w:val="111111"/>
                <w:sz w:val="22"/>
                <w:szCs w:val="22"/>
                <w:vertAlign w:val="superscript"/>
              </w:rPr>
              <w:t>b</w:t>
            </w:r>
            <w:r w:rsidRPr="009D01B7">
              <w:rPr>
                <w:rFonts w:ascii="Arial" w:eastAsia="Arial" w:hAnsi="Arial" w:cs="Arial"/>
                <w:color w:val="111111"/>
                <w:sz w:val="22"/>
                <w:szCs w:val="22"/>
              </w:rPr>
              <w:t xml:space="preserve"> [11.8;34.7]</w:t>
            </w:r>
          </w:p>
        </w:tc>
        <w:tc>
          <w:tcPr>
            <w:tcW w:w="1395" w:type="dxa"/>
            <w:shd w:val="clear" w:color="auto" w:fill="FFFFFF"/>
            <w:tcMar>
              <w:top w:w="0" w:type="dxa"/>
              <w:left w:w="0" w:type="dxa"/>
              <w:bottom w:w="0" w:type="dxa"/>
              <w:right w:w="0" w:type="dxa"/>
            </w:tcMar>
            <w:vAlign w:val="center"/>
          </w:tcPr>
          <w:p w14:paraId="70F5AF3C" w14:textId="5A19A667" w:rsidR="007F0F7B" w:rsidRPr="009D01B7" w:rsidRDefault="008D5CA0">
            <w:pPr>
              <w:spacing w:before="40" w:after="40"/>
              <w:ind w:left="100" w:right="100"/>
              <w:jc w:val="center"/>
            </w:pPr>
            <w:r w:rsidRPr="009D01B7">
              <w:rPr>
                <w:rFonts w:ascii="Arial" w:eastAsia="Arial" w:hAnsi="Arial" w:cs="Arial"/>
                <w:color w:val="111111"/>
                <w:sz w:val="22"/>
                <w:szCs w:val="22"/>
              </w:rPr>
              <w:t>4.46</w:t>
            </w:r>
            <w:r w:rsidR="005D325E" w:rsidRPr="009D01B7">
              <w:rPr>
                <w:rFonts w:ascii="Arial" w:eastAsia="Arial" w:hAnsi="Arial" w:cs="Arial"/>
                <w:color w:val="111111"/>
                <w:sz w:val="22"/>
                <w:szCs w:val="22"/>
                <w:vertAlign w:val="superscript"/>
              </w:rPr>
              <w:t>a</w:t>
            </w:r>
            <w:r w:rsidRPr="009D01B7">
              <w:rPr>
                <w:rFonts w:ascii="Arial" w:eastAsia="Arial" w:hAnsi="Arial" w:cs="Arial"/>
                <w:color w:val="111111"/>
                <w:sz w:val="22"/>
                <w:szCs w:val="22"/>
              </w:rPr>
              <w:t xml:space="preserve"> [3.57;7.59]</w:t>
            </w:r>
          </w:p>
        </w:tc>
        <w:tc>
          <w:tcPr>
            <w:tcW w:w="915" w:type="dxa"/>
            <w:shd w:val="clear" w:color="auto" w:fill="FFFFFF"/>
            <w:tcMar>
              <w:top w:w="0" w:type="dxa"/>
              <w:left w:w="0" w:type="dxa"/>
              <w:bottom w:w="0" w:type="dxa"/>
              <w:right w:w="0" w:type="dxa"/>
            </w:tcMar>
            <w:vAlign w:val="center"/>
          </w:tcPr>
          <w:p w14:paraId="70F5AF3D"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&lt;0.001  </w:t>
            </w:r>
          </w:p>
        </w:tc>
      </w:tr>
      <w:tr w:rsidR="007F0F7B" w:rsidRPr="009D01B7" w14:paraId="70F5AF45" w14:textId="77777777" w:rsidTr="00497CA2">
        <w:trPr>
          <w:cantSplit/>
          <w:trHeight w:val="427"/>
          <w:jc w:val="center"/>
        </w:trPr>
        <w:tc>
          <w:tcPr>
            <w:tcW w:w="1932" w:type="dxa"/>
            <w:shd w:val="clear" w:color="auto" w:fill="FFFFFF"/>
            <w:tcMar>
              <w:top w:w="0" w:type="dxa"/>
              <w:left w:w="0" w:type="dxa"/>
              <w:bottom w:w="0" w:type="dxa"/>
              <w:right w:w="0" w:type="dxa"/>
            </w:tcMar>
            <w:vAlign w:val="center"/>
          </w:tcPr>
          <w:p w14:paraId="70F5AF3F" w14:textId="4DE267D4" w:rsidR="007F0F7B" w:rsidRPr="009D01B7" w:rsidRDefault="008D5CA0">
            <w:pPr>
              <w:spacing w:before="40" w:after="40"/>
              <w:ind w:left="100" w:right="100"/>
            </w:pPr>
            <w:r w:rsidRPr="009D01B7">
              <w:rPr>
                <w:rFonts w:ascii="Arial" w:eastAsia="Arial" w:hAnsi="Arial" w:cs="Arial"/>
                <w:color w:val="111111"/>
                <w:sz w:val="22"/>
                <w:szCs w:val="22"/>
              </w:rPr>
              <w:t>SDQ</w:t>
            </w:r>
            <w:r w:rsidR="004B0F4F" w:rsidRPr="009D01B7">
              <w:rPr>
                <w:rFonts w:ascii="Arial" w:eastAsia="Arial" w:hAnsi="Arial" w:cs="Arial"/>
                <w:color w:val="111111"/>
                <w:sz w:val="22"/>
                <w:szCs w:val="22"/>
              </w:rPr>
              <w:t>-</w:t>
            </w:r>
            <w:r w:rsidRPr="009D01B7">
              <w:rPr>
                <w:rFonts w:ascii="Arial" w:eastAsia="Arial" w:hAnsi="Arial" w:cs="Arial"/>
                <w:color w:val="111111"/>
                <w:sz w:val="22"/>
                <w:szCs w:val="22"/>
              </w:rPr>
              <w:t>20</w:t>
            </w:r>
          </w:p>
        </w:tc>
        <w:tc>
          <w:tcPr>
            <w:tcW w:w="1395" w:type="dxa"/>
            <w:shd w:val="clear" w:color="auto" w:fill="FFFFFF"/>
            <w:tcMar>
              <w:top w:w="0" w:type="dxa"/>
              <w:left w:w="0" w:type="dxa"/>
              <w:bottom w:w="0" w:type="dxa"/>
              <w:right w:w="0" w:type="dxa"/>
            </w:tcMar>
            <w:vAlign w:val="center"/>
          </w:tcPr>
          <w:p w14:paraId="70F5AF40" w14:textId="70F3CF21" w:rsidR="007F0F7B" w:rsidRPr="009D01B7" w:rsidRDefault="008D5CA0">
            <w:pPr>
              <w:spacing w:before="40" w:after="40"/>
              <w:ind w:left="100" w:right="100"/>
              <w:jc w:val="center"/>
            </w:pPr>
            <w:r w:rsidRPr="009D01B7">
              <w:rPr>
                <w:rFonts w:ascii="Arial" w:eastAsia="Arial" w:hAnsi="Arial" w:cs="Arial"/>
                <w:color w:val="111111"/>
                <w:sz w:val="22"/>
                <w:szCs w:val="22"/>
              </w:rPr>
              <w:t>52.0</w:t>
            </w:r>
            <w:r w:rsidR="00B95126" w:rsidRPr="009D01B7">
              <w:rPr>
                <w:rFonts w:ascii="Arial" w:eastAsia="Arial" w:hAnsi="Arial" w:cs="Arial"/>
                <w:color w:val="111111"/>
                <w:sz w:val="22"/>
                <w:szCs w:val="22"/>
                <w:vertAlign w:val="superscript"/>
              </w:rPr>
              <w:t>c</w:t>
            </w:r>
            <w:r w:rsidRPr="009D01B7">
              <w:rPr>
                <w:rFonts w:ascii="Arial" w:eastAsia="Arial" w:hAnsi="Arial" w:cs="Arial"/>
                <w:color w:val="111111"/>
                <w:sz w:val="22"/>
                <w:szCs w:val="22"/>
              </w:rPr>
              <w:t xml:space="preserve"> [43.2;72.8]</w:t>
            </w:r>
          </w:p>
        </w:tc>
        <w:tc>
          <w:tcPr>
            <w:tcW w:w="1395" w:type="dxa"/>
            <w:shd w:val="clear" w:color="auto" w:fill="FFFFFF"/>
            <w:tcMar>
              <w:top w:w="0" w:type="dxa"/>
              <w:left w:w="0" w:type="dxa"/>
              <w:bottom w:w="0" w:type="dxa"/>
              <w:right w:w="0" w:type="dxa"/>
            </w:tcMar>
            <w:vAlign w:val="center"/>
          </w:tcPr>
          <w:p w14:paraId="70F5AF41" w14:textId="66E80445" w:rsidR="007F0F7B" w:rsidRPr="009D01B7" w:rsidRDefault="008D5CA0">
            <w:pPr>
              <w:spacing w:before="40" w:after="40"/>
              <w:ind w:left="100" w:right="100"/>
              <w:jc w:val="center"/>
            </w:pPr>
            <w:r w:rsidRPr="009D01B7">
              <w:rPr>
                <w:rFonts w:ascii="Arial" w:eastAsia="Arial" w:hAnsi="Arial" w:cs="Arial"/>
                <w:color w:val="111111"/>
                <w:sz w:val="22"/>
                <w:szCs w:val="22"/>
              </w:rPr>
              <w:t>21.0</w:t>
            </w:r>
            <w:r w:rsidR="005A47A6" w:rsidRPr="009D01B7">
              <w:rPr>
                <w:rFonts w:ascii="Arial" w:eastAsia="Arial" w:hAnsi="Arial" w:cs="Arial"/>
                <w:color w:val="111111"/>
                <w:sz w:val="22"/>
                <w:szCs w:val="22"/>
                <w:vertAlign w:val="superscript"/>
              </w:rPr>
              <w:t>a</w:t>
            </w:r>
            <w:r w:rsidRPr="009D01B7">
              <w:rPr>
                <w:rFonts w:ascii="Arial" w:eastAsia="Arial" w:hAnsi="Arial" w:cs="Arial"/>
                <w:color w:val="111111"/>
                <w:sz w:val="22"/>
                <w:szCs w:val="22"/>
              </w:rPr>
              <w:t xml:space="preserve"> [20.0;23.0]</w:t>
            </w:r>
          </w:p>
        </w:tc>
        <w:tc>
          <w:tcPr>
            <w:tcW w:w="1395" w:type="dxa"/>
            <w:shd w:val="clear" w:color="auto" w:fill="FFFFFF"/>
            <w:tcMar>
              <w:top w:w="0" w:type="dxa"/>
              <w:left w:w="0" w:type="dxa"/>
              <w:bottom w:w="0" w:type="dxa"/>
              <w:right w:w="0" w:type="dxa"/>
            </w:tcMar>
            <w:vAlign w:val="center"/>
          </w:tcPr>
          <w:p w14:paraId="70F5AF42" w14:textId="7A89FF88" w:rsidR="007F0F7B" w:rsidRPr="009D01B7" w:rsidRDefault="008D5CA0">
            <w:pPr>
              <w:spacing w:before="40" w:after="40"/>
              <w:ind w:left="100" w:right="100"/>
              <w:jc w:val="center"/>
            </w:pPr>
            <w:r w:rsidRPr="009D01B7">
              <w:rPr>
                <w:rFonts w:ascii="Arial" w:eastAsia="Arial" w:hAnsi="Arial" w:cs="Arial"/>
                <w:color w:val="111111"/>
                <w:sz w:val="22"/>
                <w:szCs w:val="22"/>
              </w:rPr>
              <w:t>29.5</w:t>
            </w:r>
            <w:r w:rsidR="005A47A6" w:rsidRPr="009D01B7">
              <w:rPr>
                <w:rFonts w:ascii="Arial" w:eastAsia="Arial" w:hAnsi="Arial" w:cs="Arial"/>
                <w:color w:val="111111"/>
                <w:sz w:val="22"/>
                <w:szCs w:val="22"/>
                <w:vertAlign w:val="superscript"/>
              </w:rPr>
              <w:t>b</w:t>
            </w:r>
            <w:r w:rsidRPr="009D01B7">
              <w:rPr>
                <w:rFonts w:ascii="Arial" w:eastAsia="Arial" w:hAnsi="Arial" w:cs="Arial"/>
                <w:color w:val="111111"/>
                <w:sz w:val="22"/>
                <w:szCs w:val="22"/>
              </w:rPr>
              <w:t xml:space="preserve"> [24.8;34.8]</w:t>
            </w:r>
          </w:p>
        </w:tc>
        <w:tc>
          <w:tcPr>
            <w:tcW w:w="1395" w:type="dxa"/>
            <w:shd w:val="clear" w:color="auto" w:fill="FFFFFF"/>
            <w:tcMar>
              <w:top w:w="0" w:type="dxa"/>
              <w:left w:w="0" w:type="dxa"/>
              <w:bottom w:w="0" w:type="dxa"/>
              <w:right w:w="0" w:type="dxa"/>
            </w:tcMar>
            <w:vAlign w:val="center"/>
          </w:tcPr>
          <w:p w14:paraId="70F5AF43" w14:textId="6DF8BD7B" w:rsidR="007F0F7B" w:rsidRPr="009D01B7" w:rsidRDefault="008D5CA0">
            <w:pPr>
              <w:spacing w:before="40" w:after="40"/>
              <w:ind w:left="100" w:right="100"/>
              <w:jc w:val="center"/>
            </w:pPr>
            <w:r w:rsidRPr="009D01B7">
              <w:rPr>
                <w:rFonts w:ascii="Arial" w:eastAsia="Arial" w:hAnsi="Arial" w:cs="Arial"/>
                <w:color w:val="111111"/>
                <w:sz w:val="22"/>
                <w:szCs w:val="22"/>
              </w:rPr>
              <w:t>20.5</w:t>
            </w:r>
            <w:r w:rsidR="005A47A6" w:rsidRPr="009D01B7">
              <w:rPr>
                <w:rFonts w:ascii="Arial" w:eastAsia="Arial" w:hAnsi="Arial" w:cs="Arial"/>
                <w:color w:val="111111"/>
                <w:sz w:val="22"/>
                <w:szCs w:val="22"/>
                <w:vertAlign w:val="superscript"/>
              </w:rPr>
              <w:t>a</w:t>
            </w:r>
            <w:r w:rsidRPr="009D01B7">
              <w:rPr>
                <w:rFonts w:ascii="Arial" w:eastAsia="Arial" w:hAnsi="Arial" w:cs="Arial"/>
                <w:color w:val="111111"/>
                <w:sz w:val="22"/>
                <w:szCs w:val="22"/>
              </w:rPr>
              <w:t xml:space="preserve"> [20.0;24.0]</w:t>
            </w:r>
          </w:p>
        </w:tc>
        <w:tc>
          <w:tcPr>
            <w:tcW w:w="915" w:type="dxa"/>
            <w:shd w:val="clear" w:color="auto" w:fill="FFFFFF"/>
            <w:tcMar>
              <w:top w:w="0" w:type="dxa"/>
              <w:left w:w="0" w:type="dxa"/>
              <w:bottom w:w="0" w:type="dxa"/>
              <w:right w:w="0" w:type="dxa"/>
            </w:tcMar>
            <w:vAlign w:val="center"/>
          </w:tcPr>
          <w:p w14:paraId="70F5AF44"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&lt;0.001  </w:t>
            </w:r>
          </w:p>
        </w:tc>
      </w:tr>
      <w:tr w:rsidR="007F0F7B" w:rsidRPr="009D01B7" w14:paraId="70F5AF4C" w14:textId="77777777" w:rsidTr="00497CA2">
        <w:trPr>
          <w:cantSplit/>
          <w:trHeight w:val="409"/>
          <w:jc w:val="center"/>
        </w:trPr>
        <w:tc>
          <w:tcPr>
            <w:tcW w:w="1932" w:type="dxa"/>
            <w:shd w:val="clear" w:color="auto" w:fill="FFFFFF"/>
            <w:tcMar>
              <w:top w:w="0" w:type="dxa"/>
              <w:left w:w="0" w:type="dxa"/>
              <w:bottom w:w="0" w:type="dxa"/>
              <w:right w:w="0" w:type="dxa"/>
            </w:tcMar>
            <w:vAlign w:val="center"/>
          </w:tcPr>
          <w:p w14:paraId="70F5AF46" w14:textId="01B605D0" w:rsidR="007F0F7B" w:rsidRPr="009D01B7" w:rsidRDefault="008D5CA0">
            <w:pPr>
              <w:spacing w:before="40" w:after="40"/>
              <w:ind w:left="100" w:right="100"/>
            </w:pPr>
            <w:r w:rsidRPr="009D01B7">
              <w:rPr>
                <w:rFonts w:ascii="Arial" w:eastAsia="Arial" w:hAnsi="Arial" w:cs="Arial"/>
                <w:color w:val="111111"/>
                <w:sz w:val="22"/>
                <w:szCs w:val="22"/>
              </w:rPr>
              <w:t>STAI</w:t>
            </w:r>
            <w:r w:rsidR="004B0F4F" w:rsidRPr="009D01B7">
              <w:rPr>
                <w:rFonts w:ascii="Arial" w:eastAsia="Arial" w:hAnsi="Arial" w:cs="Arial"/>
                <w:color w:val="111111"/>
                <w:sz w:val="22"/>
                <w:szCs w:val="22"/>
              </w:rPr>
              <w:t>-</w:t>
            </w:r>
            <w:r w:rsidRPr="009D01B7">
              <w:rPr>
                <w:rFonts w:ascii="Arial" w:eastAsia="Arial" w:hAnsi="Arial" w:cs="Arial"/>
                <w:color w:val="111111"/>
                <w:sz w:val="22"/>
                <w:szCs w:val="22"/>
              </w:rPr>
              <w:t>T</w:t>
            </w:r>
          </w:p>
        </w:tc>
        <w:tc>
          <w:tcPr>
            <w:tcW w:w="1395" w:type="dxa"/>
            <w:shd w:val="clear" w:color="auto" w:fill="FFFFFF"/>
            <w:tcMar>
              <w:top w:w="0" w:type="dxa"/>
              <w:left w:w="0" w:type="dxa"/>
              <w:bottom w:w="0" w:type="dxa"/>
              <w:right w:w="0" w:type="dxa"/>
            </w:tcMar>
            <w:vAlign w:val="center"/>
          </w:tcPr>
          <w:p w14:paraId="70F5AF47" w14:textId="24BED9F1" w:rsidR="007F0F7B" w:rsidRPr="009D01B7" w:rsidRDefault="008D5CA0">
            <w:pPr>
              <w:spacing w:before="40" w:after="40"/>
              <w:ind w:left="100" w:right="100"/>
              <w:jc w:val="center"/>
            </w:pPr>
            <w:r w:rsidRPr="009D01B7">
              <w:rPr>
                <w:rFonts w:ascii="Arial" w:eastAsia="Arial" w:hAnsi="Arial" w:cs="Arial"/>
                <w:color w:val="111111"/>
                <w:sz w:val="22"/>
                <w:szCs w:val="22"/>
              </w:rPr>
              <w:t>51.0</w:t>
            </w:r>
            <w:r w:rsidR="00F43D65" w:rsidRPr="009D01B7">
              <w:rPr>
                <w:rFonts w:ascii="Arial" w:eastAsia="Arial" w:hAnsi="Arial" w:cs="Arial"/>
                <w:color w:val="111111"/>
                <w:sz w:val="22"/>
                <w:szCs w:val="22"/>
                <w:vertAlign w:val="superscript"/>
              </w:rPr>
              <w:t>b</w:t>
            </w:r>
            <w:r w:rsidRPr="009D01B7">
              <w:rPr>
                <w:rFonts w:ascii="Arial" w:eastAsia="Arial" w:hAnsi="Arial" w:cs="Arial"/>
                <w:color w:val="111111"/>
                <w:sz w:val="22"/>
                <w:szCs w:val="22"/>
              </w:rPr>
              <w:t xml:space="preserve"> [42.8;59.2]</w:t>
            </w:r>
          </w:p>
        </w:tc>
        <w:tc>
          <w:tcPr>
            <w:tcW w:w="1395" w:type="dxa"/>
            <w:shd w:val="clear" w:color="auto" w:fill="FFFFFF"/>
            <w:tcMar>
              <w:top w:w="0" w:type="dxa"/>
              <w:left w:w="0" w:type="dxa"/>
              <w:bottom w:w="0" w:type="dxa"/>
              <w:right w:w="0" w:type="dxa"/>
            </w:tcMar>
            <w:vAlign w:val="center"/>
          </w:tcPr>
          <w:p w14:paraId="70F5AF48" w14:textId="6658189D" w:rsidR="007F0F7B" w:rsidRPr="009D01B7" w:rsidRDefault="008D5CA0">
            <w:pPr>
              <w:spacing w:before="40" w:after="40"/>
              <w:ind w:left="100" w:right="100"/>
              <w:jc w:val="center"/>
            </w:pPr>
            <w:r w:rsidRPr="009D01B7">
              <w:rPr>
                <w:rFonts w:ascii="Arial" w:eastAsia="Arial" w:hAnsi="Arial" w:cs="Arial"/>
                <w:color w:val="111111"/>
                <w:sz w:val="22"/>
                <w:szCs w:val="22"/>
              </w:rPr>
              <w:t>33.0</w:t>
            </w:r>
            <w:r w:rsidR="00F43D65" w:rsidRPr="009D01B7">
              <w:rPr>
                <w:rFonts w:ascii="Arial" w:eastAsia="Arial" w:hAnsi="Arial" w:cs="Arial"/>
                <w:color w:val="111111"/>
                <w:sz w:val="22"/>
                <w:szCs w:val="22"/>
                <w:vertAlign w:val="superscript"/>
              </w:rPr>
              <w:t>a</w:t>
            </w:r>
            <w:r w:rsidRPr="009D01B7">
              <w:rPr>
                <w:rFonts w:ascii="Arial" w:eastAsia="Arial" w:hAnsi="Arial" w:cs="Arial"/>
                <w:color w:val="111111"/>
                <w:sz w:val="22"/>
                <w:szCs w:val="22"/>
              </w:rPr>
              <w:t xml:space="preserve"> [30.5;41.0]</w:t>
            </w:r>
          </w:p>
        </w:tc>
        <w:tc>
          <w:tcPr>
            <w:tcW w:w="1395" w:type="dxa"/>
            <w:shd w:val="clear" w:color="auto" w:fill="FFFFFF"/>
            <w:tcMar>
              <w:top w:w="0" w:type="dxa"/>
              <w:left w:w="0" w:type="dxa"/>
              <w:bottom w:w="0" w:type="dxa"/>
              <w:right w:w="0" w:type="dxa"/>
            </w:tcMar>
            <w:vAlign w:val="center"/>
          </w:tcPr>
          <w:p w14:paraId="70F5AF49" w14:textId="5CB51DBE" w:rsidR="007F0F7B" w:rsidRPr="009D01B7" w:rsidRDefault="008D5CA0">
            <w:pPr>
              <w:spacing w:before="40" w:after="40"/>
              <w:ind w:left="100" w:right="100"/>
              <w:jc w:val="center"/>
            </w:pPr>
            <w:r w:rsidRPr="009D01B7">
              <w:rPr>
                <w:rFonts w:ascii="Arial" w:eastAsia="Arial" w:hAnsi="Arial" w:cs="Arial"/>
                <w:color w:val="111111"/>
                <w:sz w:val="22"/>
                <w:szCs w:val="22"/>
              </w:rPr>
              <w:t>56.0</w:t>
            </w:r>
            <w:r w:rsidR="00F43D65" w:rsidRPr="009D01B7">
              <w:rPr>
                <w:rFonts w:ascii="Arial" w:eastAsia="Arial" w:hAnsi="Arial" w:cs="Arial"/>
                <w:color w:val="111111"/>
                <w:sz w:val="22"/>
                <w:szCs w:val="22"/>
                <w:vertAlign w:val="superscript"/>
              </w:rPr>
              <w:t>b</w:t>
            </w:r>
            <w:r w:rsidRPr="009D01B7">
              <w:rPr>
                <w:rFonts w:ascii="Arial" w:eastAsia="Arial" w:hAnsi="Arial" w:cs="Arial"/>
                <w:color w:val="111111"/>
                <w:sz w:val="22"/>
                <w:szCs w:val="22"/>
              </w:rPr>
              <w:t xml:space="preserve"> [51.2;63.5]</w:t>
            </w:r>
          </w:p>
        </w:tc>
        <w:tc>
          <w:tcPr>
            <w:tcW w:w="1395" w:type="dxa"/>
            <w:shd w:val="clear" w:color="auto" w:fill="FFFFFF"/>
            <w:tcMar>
              <w:top w:w="0" w:type="dxa"/>
              <w:left w:w="0" w:type="dxa"/>
              <w:bottom w:w="0" w:type="dxa"/>
              <w:right w:w="0" w:type="dxa"/>
            </w:tcMar>
            <w:vAlign w:val="center"/>
          </w:tcPr>
          <w:p w14:paraId="70F5AF4A" w14:textId="78261527" w:rsidR="007F0F7B" w:rsidRPr="009D01B7" w:rsidRDefault="008D5CA0">
            <w:pPr>
              <w:spacing w:before="40" w:after="40"/>
              <w:ind w:left="100" w:right="100"/>
              <w:jc w:val="center"/>
            </w:pPr>
            <w:r w:rsidRPr="009D01B7">
              <w:rPr>
                <w:rFonts w:ascii="Arial" w:eastAsia="Arial" w:hAnsi="Arial" w:cs="Arial"/>
                <w:color w:val="111111"/>
                <w:sz w:val="22"/>
                <w:szCs w:val="22"/>
              </w:rPr>
              <w:t>34.0</w:t>
            </w:r>
            <w:r w:rsidR="00F43D65" w:rsidRPr="009D01B7">
              <w:rPr>
                <w:rFonts w:ascii="Arial" w:eastAsia="Arial" w:hAnsi="Arial" w:cs="Arial"/>
                <w:color w:val="111111"/>
                <w:sz w:val="22"/>
                <w:szCs w:val="22"/>
                <w:vertAlign w:val="superscript"/>
              </w:rPr>
              <w:t>a</w:t>
            </w:r>
            <w:r w:rsidRPr="009D01B7">
              <w:rPr>
                <w:rFonts w:ascii="Arial" w:eastAsia="Arial" w:hAnsi="Arial" w:cs="Arial"/>
                <w:color w:val="111111"/>
                <w:sz w:val="22"/>
                <w:szCs w:val="22"/>
              </w:rPr>
              <w:t xml:space="preserve"> [29.8;40.0]</w:t>
            </w:r>
          </w:p>
        </w:tc>
        <w:tc>
          <w:tcPr>
            <w:tcW w:w="915" w:type="dxa"/>
            <w:shd w:val="clear" w:color="auto" w:fill="FFFFFF"/>
            <w:tcMar>
              <w:top w:w="0" w:type="dxa"/>
              <w:left w:w="0" w:type="dxa"/>
              <w:bottom w:w="0" w:type="dxa"/>
              <w:right w:w="0" w:type="dxa"/>
            </w:tcMar>
            <w:vAlign w:val="center"/>
          </w:tcPr>
          <w:p w14:paraId="70F5AF4B"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&lt;0.001  </w:t>
            </w:r>
          </w:p>
        </w:tc>
      </w:tr>
      <w:tr w:rsidR="007F0F7B" w:rsidRPr="009D01B7" w14:paraId="70F5AF53" w14:textId="77777777" w:rsidTr="00497CA2">
        <w:trPr>
          <w:cantSplit/>
          <w:trHeight w:val="409"/>
          <w:jc w:val="center"/>
        </w:trPr>
        <w:tc>
          <w:tcPr>
            <w:tcW w:w="1932" w:type="dxa"/>
            <w:tcBorders>
              <w:bottom w:val="single" w:sz="16" w:space="0" w:color="000000"/>
            </w:tcBorders>
            <w:shd w:val="clear" w:color="auto" w:fill="FFFFFF"/>
            <w:tcMar>
              <w:top w:w="0" w:type="dxa"/>
              <w:left w:w="0" w:type="dxa"/>
              <w:bottom w:w="0" w:type="dxa"/>
              <w:right w:w="0" w:type="dxa"/>
            </w:tcMar>
            <w:vAlign w:val="center"/>
          </w:tcPr>
          <w:p w14:paraId="70F5AF4D" w14:textId="7EBBD4B9" w:rsidR="007F0F7B" w:rsidRPr="009D01B7" w:rsidRDefault="008D5CA0">
            <w:pPr>
              <w:spacing w:before="40" w:after="40"/>
              <w:ind w:left="100" w:right="100"/>
            </w:pPr>
            <w:r w:rsidRPr="009D01B7">
              <w:rPr>
                <w:rFonts w:ascii="Arial" w:eastAsia="Arial" w:hAnsi="Arial" w:cs="Arial"/>
                <w:color w:val="111111"/>
                <w:sz w:val="22"/>
                <w:szCs w:val="22"/>
              </w:rPr>
              <w:t>TEC</w:t>
            </w:r>
          </w:p>
        </w:tc>
        <w:tc>
          <w:tcPr>
            <w:tcW w:w="1395" w:type="dxa"/>
            <w:tcBorders>
              <w:bottom w:val="single" w:sz="16" w:space="0" w:color="000000"/>
            </w:tcBorders>
            <w:shd w:val="clear" w:color="auto" w:fill="FFFFFF"/>
            <w:tcMar>
              <w:top w:w="0" w:type="dxa"/>
              <w:left w:w="0" w:type="dxa"/>
              <w:bottom w:w="0" w:type="dxa"/>
              <w:right w:w="0" w:type="dxa"/>
            </w:tcMar>
            <w:vAlign w:val="center"/>
          </w:tcPr>
          <w:p w14:paraId="70F5AF4E" w14:textId="41E23675" w:rsidR="007F0F7B" w:rsidRPr="009D01B7" w:rsidRDefault="008D5CA0">
            <w:pPr>
              <w:spacing w:before="40" w:after="40"/>
              <w:ind w:left="100" w:right="100"/>
              <w:jc w:val="center"/>
            </w:pPr>
            <w:r w:rsidRPr="009D01B7">
              <w:rPr>
                <w:rFonts w:ascii="Arial" w:eastAsia="Arial" w:hAnsi="Arial" w:cs="Arial"/>
                <w:color w:val="111111"/>
                <w:sz w:val="22"/>
                <w:szCs w:val="22"/>
              </w:rPr>
              <w:t>18.0</w:t>
            </w:r>
            <w:r w:rsidR="005A47A6" w:rsidRPr="009D01B7">
              <w:rPr>
                <w:rFonts w:ascii="Arial" w:eastAsia="Arial" w:hAnsi="Arial" w:cs="Arial"/>
                <w:color w:val="111111"/>
                <w:sz w:val="22"/>
                <w:szCs w:val="22"/>
                <w:vertAlign w:val="superscript"/>
              </w:rPr>
              <w:t>c</w:t>
            </w:r>
            <w:r w:rsidRPr="009D01B7">
              <w:rPr>
                <w:rFonts w:ascii="Arial" w:eastAsia="Arial" w:hAnsi="Arial" w:cs="Arial"/>
                <w:color w:val="111111"/>
                <w:sz w:val="22"/>
                <w:szCs w:val="22"/>
              </w:rPr>
              <w:t xml:space="preserve"> [16.0;18.8]</w:t>
            </w:r>
          </w:p>
        </w:tc>
        <w:tc>
          <w:tcPr>
            <w:tcW w:w="1395" w:type="dxa"/>
            <w:tcBorders>
              <w:bottom w:val="single" w:sz="16" w:space="0" w:color="000000"/>
            </w:tcBorders>
            <w:shd w:val="clear" w:color="auto" w:fill="FFFFFF"/>
            <w:tcMar>
              <w:top w:w="0" w:type="dxa"/>
              <w:left w:w="0" w:type="dxa"/>
              <w:bottom w:w="0" w:type="dxa"/>
              <w:right w:w="0" w:type="dxa"/>
            </w:tcMar>
            <w:vAlign w:val="center"/>
          </w:tcPr>
          <w:p w14:paraId="70F5AF4F" w14:textId="30E6E735" w:rsidR="007F0F7B" w:rsidRPr="009D01B7" w:rsidRDefault="008D5CA0">
            <w:pPr>
              <w:spacing w:before="40" w:after="40"/>
              <w:ind w:left="100" w:right="100"/>
              <w:jc w:val="center"/>
            </w:pPr>
            <w:r w:rsidRPr="009D01B7">
              <w:rPr>
                <w:rFonts w:ascii="Arial" w:eastAsia="Arial" w:hAnsi="Arial" w:cs="Arial"/>
                <w:color w:val="111111"/>
                <w:sz w:val="22"/>
                <w:szCs w:val="22"/>
              </w:rPr>
              <w:t>2.00</w:t>
            </w:r>
            <w:r w:rsidR="00F8479E" w:rsidRPr="009D01B7">
              <w:rPr>
                <w:rFonts w:ascii="Arial" w:eastAsia="Arial" w:hAnsi="Arial" w:cs="Arial"/>
                <w:color w:val="111111"/>
                <w:sz w:val="22"/>
                <w:szCs w:val="22"/>
                <w:vertAlign w:val="superscript"/>
              </w:rPr>
              <w:t>a</w:t>
            </w:r>
            <w:r w:rsidRPr="009D01B7">
              <w:rPr>
                <w:rFonts w:ascii="Arial" w:eastAsia="Arial" w:hAnsi="Arial" w:cs="Arial"/>
                <w:color w:val="111111"/>
                <w:sz w:val="22"/>
                <w:szCs w:val="22"/>
              </w:rPr>
              <w:t xml:space="preserve"> [0.00;3.50]</w:t>
            </w:r>
          </w:p>
        </w:tc>
        <w:tc>
          <w:tcPr>
            <w:tcW w:w="1395" w:type="dxa"/>
            <w:tcBorders>
              <w:bottom w:val="single" w:sz="16" w:space="0" w:color="000000"/>
            </w:tcBorders>
            <w:shd w:val="clear" w:color="auto" w:fill="FFFFFF"/>
            <w:tcMar>
              <w:top w:w="0" w:type="dxa"/>
              <w:left w:w="0" w:type="dxa"/>
              <w:bottom w:w="0" w:type="dxa"/>
              <w:right w:w="0" w:type="dxa"/>
            </w:tcMar>
            <w:vAlign w:val="center"/>
          </w:tcPr>
          <w:p w14:paraId="70F5AF50" w14:textId="2540A683" w:rsidR="007F0F7B" w:rsidRPr="009D01B7" w:rsidRDefault="008D5CA0">
            <w:pPr>
              <w:spacing w:before="40" w:after="40"/>
              <w:ind w:left="100" w:right="100"/>
              <w:jc w:val="center"/>
            </w:pPr>
            <w:r w:rsidRPr="009D01B7">
              <w:rPr>
                <w:rFonts w:ascii="Arial" w:eastAsia="Arial" w:hAnsi="Arial" w:cs="Arial"/>
                <w:color w:val="111111"/>
                <w:sz w:val="22"/>
                <w:szCs w:val="22"/>
              </w:rPr>
              <w:t>11.0</w:t>
            </w:r>
            <w:r w:rsidR="00F8479E" w:rsidRPr="009D01B7">
              <w:rPr>
                <w:rFonts w:ascii="Arial" w:eastAsia="Arial" w:hAnsi="Arial" w:cs="Arial"/>
                <w:color w:val="111111"/>
                <w:sz w:val="22"/>
                <w:szCs w:val="22"/>
                <w:vertAlign w:val="superscript"/>
              </w:rPr>
              <w:t>b</w:t>
            </w:r>
            <w:r w:rsidRPr="009D01B7">
              <w:rPr>
                <w:rFonts w:ascii="Arial" w:eastAsia="Arial" w:hAnsi="Arial" w:cs="Arial"/>
                <w:color w:val="111111"/>
                <w:sz w:val="22"/>
                <w:szCs w:val="22"/>
              </w:rPr>
              <w:t xml:space="preserve"> [9.75;14.2]</w:t>
            </w:r>
          </w:p>
        </w:tc>
        <w:tc>
          <w:tcPr>
            <w:tcW w:w="1395" w:type="dxa"/>
            <w:tcBorders>
              <w:bottom w:val="single" w:sz="16" w:space="0" w:color="000000"/>
            </w:tcBorders>
            <w:shd w:val="clear" w:color="auto" w:fill="FFFFFF"/>
            <w:tcMar>
              <w:top w:w="0" w:type="dxa"/>
              <w:left w:w="0" w:type="dxa"/>
              <w:bottom w:w="0" w:type="dxa"/>
              <w:right w:w="0" w:type="dxa"/>
            </w:tcMar>
            <w:vAlign w:val="center"/>
          </w:tcPr>
          <w:p w14:paraId="70F5AF51" w14:textId="3C40A34A" w:rsidR="007F0F7B" w:rsidRPr="009D01B7" w:rsidRDefault="008D5CA0">
            <w:pPr>
              <w:spacing w:before="40" w:after="40"/>
              <w:ind w:left="100" w:right="100"/>
              <w:jc w:val="center"/>
            </w:pPr>
            <w:r w:rsidRPr="009D01B7">
              <w:rPr>
                <w:rFonts w:ascii="Arial" w:eastAsia="Arial" w:hAnsi="Arial" w:cs="Arial"/>
                <w:color w:val="111111"/>
                <w:sz w:val="22"/>
                <w:szCs w:val="22"/>
              </w:rPr>
              <w:t>2.00</w:t>
            </w:r>
            <w:r w:rsidR="00F8479E" w:rsidRPr="009D01B7">
              <w:rPr>
                <w:rFonts w:ascii="Arial" w:eastAsia="Arial" w:hAnsi="Arial" w:cs="Arial"/>
                <w:color w:val="111111"/>
                <w:sz w:val="22"/>
                <w:szCs w:val="22"/>
                <w:vertAlign w:val="superscript"/>
              </w:rPr>
              <w:t>a</w:t>
            </w:r>
            <w:r w:rsidRPr="009D01B7">
              <w:rPr>
                <w:rFonts w:ascii="Arial" w:eastAsia="Arial" w:hAnsi="Arial" w:cs="Arial"/>
                <w:color w:val="111111"/>
                <w:sz w:val="22"/>
                <w:szCs w:val="22"/>
              </w:rPr>
              <w:t xml:space="preserve"> [0.00;3.00]</w:t>
            </w:r>
          </w:p>
        </w:tc>
        <w:tc>
          <w:tcPr>
            <w:tcW w:w="915" w:type="dxa"/>
            <w:tcBorders>
              <w:bottom w:val="single" w:sz="16" w:space="0" w:color="000000"/>
            </w:tcBorders>
            <w:shd w:val="clear" w:color="auto" w:fill="FFFFFF"/>
            <w:tcMar>
              <w:top w:w="0" w:type="dxa"/>
              <w:left w:w="0" w:type="dxa"/>
              <w:bottom w:w="0" w:type="dxa"/>
              <w:right w:w="0" w:type="dxa"/>
            </w:tcMar>
            <w:vAlign w:val="center"/>
          </w:tcPr>
          <w:p w14:paraId="70F5AF52" w14:textId="77777777" w:rsidR="007F0F7B" w:rsidRPr="009D01B7" w:rsidRDefault="008D5CA0">
            <w:pPr>
              <w:spacing w:before="40" w:after="40"/>
              <w:ind w:left="100" w:right="100"/>
              <w:jc w:val="center"/>
            </w:pPr>
            <w:r w:rsidRPr="009D01B7">
              <w:rPr>
                <w:rFonts w:ascii="Arial" w:eastAsia="Arial" w:hAnsi="Arial" w:cs="Arial"/>
                <w:color w:val="111111"/>
                <w:sz w:val="22"/>
                <w:szCs w:val="22"/>
              </w:rPr>
              <w:t xml:space="preserve"> &lt;0.001  </w:t>
            </w:r>
          </w:p>
        </w:tc>
      </w:tr>
    </w:tbl>
    <w:p w14:paraId="70F5AF54" w14:textId="0DE877D6" w:rsidR="00A52C09" w:rsidRPr="009D01B7" w:rsidRDefault="00F018A1" w:rsidP="008D5CA0">
      <w:pPr>
        <w:rPr>
          <w:rFonts w:ascii="Arial" w:hAnsi="Arial"/>
        </w:rPr>
      </w:pPr>
      <w:r w:rsidRPr="009D01B7">
        <w:rPr>
          <w:rFonts w:ascii="Arial" w:hAnsi="Arial"/>
        </w:rPr>
        <w:t xml:space="preserve"> </w:t>
      </w:r>
    </w:p>
    <w:p w14:paraId="5403AD26" w14:textId="48568927" w:rsidR="008804B6" w:rsidRPr="009D01B7" w:rsidRDefault="008804B6" w:rsidP="003E0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color w:val="000000"/>
        </w:rPr>
      </w:pPr>
      <w:r w:rsidRPr="009D01B7">
        <w:rPr>
          <w:rFonts w:ascii="Arial" w:hAnsi="Arial" w:cs="Arial"/>
          <w:b/>
          <w:color w:val="000000"/>
        </w:rPr>
        <w:t>Abbreviations</w:t>
      </w:r>
      <w:r w:rsidRPr="009D01B7">
        <w:rPr>
          <w:rFonts w:ascii="Arial" w:hAnsi="Arial" w:cs="Arial"/>
          <w:color w:val="000000"/>
        </w:rPr>
        <w:t>:</w:t>
      </w:r>
    </w:p>
    <w:p w14:paraId="069247D3" w14:textId="77777777" w:rsidR="005225FC" w:rsidRPr="009D01B7" w:rsidRDefault="005225FC" w:rsidP="003E0A24">
      <w:pPr>
        <w:spacing w:after="0" w:line="360" w:lineRule="auto"/>
        <w:rPr>
          <w:rFonts w:ascii="Arial" w:hAnsi="Arial" w:cs="Arial"/>
        </w:rPr>
      </w:pPr>
      <w:r w:rsidRPr="009D01B7">
        <w:rPr>
          <w:rFonts w:ascii="Arial" w:hAnsi="Arial" w:cs="Arial"/>
        </w:rPr>
        <w:t>DID-G= diagnosed genuine dissociative identity disorder</w:t>
      </w:r>
    </w:p>
    <w:p w14:paraId="34DA2FF0" w14:textId="77777777" w:rsidR="005225FC" w:rsidRPr="009D01B7" w:rsidRDefault="005225FC" w:rsidP="003E0A24">
      <w:pPr>
        <w:spacing w:after="0" w:line="360" w:lineRule="auto"/>
        <w:rPr>
          <w:rFonts w:ascii="Arial" w:hAnsi="Arial" w:cs="Arial"/>
        </w:rPr>
      </w:pPr>
      <w:r w:rsidRPr="009D01B7">
        <w:rPr>
          <w:rFonts w:ascii="Arial" w:hAnsi="Arial" w:cs="Arial"/>
        </w:rPr>
        <w:t>DID-S= simulated dissociative identity disorder</w:t>
      </w:r>
    </w:p>
    <w:p w14:paraId="54718742" w14:textId="36593D6F" w:rsidR="005225FC" w:rsidRPr="009D01B7" w:rsidRDefault="005225FC" w:rsidP="003E0A24">
      <w:pPr>
        <w:spacing w:after="0" w:line="360" w:lineRule="auto"/>
        <w:rPr>
          <w:rFonts w:ascii="Arial" w:hAnsi="Arial" w:cs="Arial"/>
        </w:rPr>
      </w:pPr>
      <w:r w:rsidRPr="009D01B7">
        <w:rPr>
          <w:rFonts w:ascii="Arial" w:hAnsi="Arial" w:cs="Arial"/>
        </w:rPr>
        <w:t>PTSD= posttraumatic stress disorder</w:t>
      </w:r>
    </w:p>
    <w:p w14:paraId="316DCC33" w14:textId="70B04BCF" w:rsidR="005225FC" w:rsidRPr="009D01B7" w:rsidRDefault="005225FC" w:rsidP="003E0A24">
      <w:pPr>
        <w:spacing w:after="0" w:line="360" w:lineRule="auto"/>
        <w:rPr>
          <w:rFonts w:ascii="Arial" w:hAnsi="Arial" w:cs="Arial"/>
        </w:rPr>
      </w:pPr>
      <w:r w:rsidRPr="009D01B7">
        <w:rPr>
          <w:rFonts w:ascii="Arial" w:hAnsi="Arial" w:cs="Arial"/>
        </w:rPr>
        <w:t>HC= healthy controls</w:t>
      </w:r>
    </w:p>
    <w:p w14:paraId="2502FD68" w14:textId="7CD92E15" w:rsidR="008804B6" w:rsidRPr="009D01B7" w:rsidRDefault="008804B6" w:rsidP="003E0A24">
      <w:pPr>
        <w:spacing w:after="0" w:line="360" w:lineRule="auto"/>
        <w:rPr>
          <w:rFonts w:ascii="Arial" w:hAnsi="Arial"/>
        </w:rPr>
      </w:pPr>
      <w:r w:rsidRPr="009D01B7">
        <w:rPr>
          <w:rFonts w:ascii="Arial" w:hAnsi="Arial"/>
        </w:rPr>
        <w:t>DES= Dissociative Experiences Scale</w:t>
      </w:r>
    </w:p>
    <w:p w14:paraId="64593CAD" w14:textId="32C9DAA2" w:rsidR="008804B6" w:rsidRPr="009D01B7" w:rsidRDefault="008804B6" w:rsidP="003E0A24">
      <w:pPr>
        <w:spacing w:after="0" w:line="360" w:lineRule="auto"/>
        <w:rPr>
          <w:rFonts w:ascii="Arial" w:hAnsi="Arial"/>
        </w:rPr>
      </w:pPr>
      <w:r w:rsidRPr="009D01B7">
        <w:rPr>
          <w:rFonts w:ascii="Arial" w:hAnsi="Arial"/>
        </w:rPr>
        <w:t xml:space="preserve">SDQ-20= Somatoform Dissociation Questionnaire </w:t>
      </w:r>
    </w:p>
    <w:p w14:paraId="2E39AFEA" w14:textId="04D54E33" w:rsidR="008804B6" w:rsidRPr="009D01B7" w:rsidRDefault="008804B6" w:rsidP="003E0A24">
      <w:pPr>
        <w:spacing w:after="0" w:line="360" w:lineRule="auto"/>
        <w:rPr>
          <w:rFonts w:ascii="Arial" w:hAnsi="Arial"/>
        </w:rPr>
      </w:pPr>
      <w:r w:rsidRPr="009D01B7">
        <w:rPr>
          <w:rFonts w:ascii="Arial" w:hAnsi="Arial"/>
        </w:rPr>
        <w:t xml:space="preserve">STAI-T= </w:t>
      </w:r>
      <w:r w:rsidRPr="009D01B7">
        <w:rPr>
          <w:rStyle w:val="acopre"/>
          <w:rFonts w:ascii="Arial" w:eastAsia="Times New Roman" w:hAnsi="Arial" w:cs="Arial"/>
        </w:rPr>
        <w:t>State-Trait Anxiety Inventory-Trait</w:t>
      </w:r>
    </w:p>
    <w:p w14:paraId="30649FC4" w14:textId="0625A9BC" w:rsidR="008804B6" w:rsidRPr="009D01B7" w:rsidRDefault="008804B6" w:rsidP="003E0A24">
      <w:pPr>
        <w:spacing w:after="0" w:line="360" w:lineRule="auto"/>
        <w:rPr>
          <w:rFonts w:ascii="Arial" w:hAnsi="Arial" w:cs="Arial"/>
        </w:rPr>
      </w:pPr>
      <w:r w:rsidRPr="009D01B7">
        <w:rPr>
          <w:rFonts w:ascii="Arial" w:hAnsi="Arial"/>
        </w:rPr>
        <w:t>TEC= Traumatic Experience Checklist</w:t>
      </w:r>
    </w:p>
    <w:p w14:paraId="1C90AECD" w14:textId="02664809" w:rsidR="008A091A" w:rsidRPr="009D01B7" w:rsidRDefault="008A091A" w:rsidP="009D01B7">
      <w:pPr>
        <w:spacing w:after="0" w:line="360" w:lineRule="auto"/>
        <w:rPr>
          <w:rStyle w:val="Geen"/>
          <w:rFonts w:ascii="Arial" w:eastAsia="Times New Roman" w:hAnsi="Arial" w:cs="Arial"/>
          <w:lang w:val="en-GB" w:eastAsia="en-GB"/>
        </w:rPr>
      </w:pPr>
      <w:r w:rsidRPr="009D01B7">
        <w:rPr>
          <w:rFonts w:ascii="Arial" w:eastAsia="Arial" w:hAnsi="Arial" w:cs="Arial"/>
          <w:color w:val="111111"/>
          <w:vertAlign w:val="superscript"/>
        </w:rPr>
        <w:t>a</w:t>
      </w:r>
      <w:r w:rsidRPr="009D01B7">
        <w:rPr>
          <w:rStyle w:val="Geen"/>
          <w:rFonts w:ascii="Arial" w:eastAsia="Arial Unicode MS" w:hAnsi="Arial" w:cs="Arial"/>
        </w:rPr>
        <w:t xml:space="preserve"> = </w:t>
      </w:r>
      <w:r w:rsidR="003E0A24" w:rsidRPr="009D01B7">
        <w:rPr>
          <w:rFonts w:ascii="Arial" w:eastAsia="Times New Roman" w:hAnsi="Arial" w:cs="Arial"/>
          <w:lang w:val="en-GB" w:eastAsia="en-GB"/>
        </w:rPr>
        <w:t>denotes groups which do not significantly differ (p&gt;0.05) in post-hoc pairwise comparisons from other groups marked by a superscript a</w:t>
      </w:r>
    </w:p>
    <w:p w14:paraId="65E07531" w14:textId="28E62B9B" w:rsidR="008A091A" w:rsidRPr="009D01B7" w:rsidRDefault="008A091A" w:rsidP="009D01B7">
      <w:pPr>
        <w:spacing w:after="0" w:line="360" w:lineRule="auto"/>
        <w:rPr>
          <w:rStyle w:val="Geen"/>
          <w:rFonts w:ascii="Arial" w:eastAsia="Times New Roman" w:hAnsi="Arial" w:cs="Arial"/>
          <w:lang w:val="en-GB" w:eastAsia="en-GB"/>
        </w:rPr>
      </w:pPr>
      <w:r w:rsidRPr="009D01B7">
        <w:rPr>
          <w:rFonts w:ascii="Arial" w:eastAsia="Arial" w:hAnsi="Arial" w:cs="Arial"/>
          <w:color w:val="111111"/>
          <w:vertAlign w:val="superscript"/>
        </w:rPr>
        <w:t>b</w:t>
      </w:r>
      <w:r w:rsidRPr="009D01B7">
        <w:rPr>
          <w:rStyle w:val="Geen"/>
          <w:rFonts w:ascii="Arial" w:eastAsia="Arial Unicode MS" w:hAnsi="Arial" w:cs="Arial"/>
        </w:rPr>
        <w:t xml:space="preserve"> = </w:t>
      </w:r>
      <w:r w:rsidR="003E0A24" w:rsidRPr="009D01B7">
        <w:rPr>
          <w:rFonts w:ascii="Arial" w:eastAsia="Times New Roman" w:hAnsi="Arial" w:cs="Arial"/>
          <w:lang w:val="en-GB" w:eastAsia="en-GB"/>
        </w:rPr>
        <w:t>denotes groups which do not significantly differ (p&gt;0.05) in post-hoc pairwise comparisons from other groups marked by a superscript b</w:t>
      </w:r>
    </w:p>
    <w:p w14:paraId="69F386C2" w14:textId="77777777" w:rsidR="003E0A24" w:rsidRPr="009D01B7" w:rsidRDefault="008A091A" w:rsidP="003E0A24">
      <w:pPr>
        <w:spacing w:after="0" w:line="360" w:lineRule="auto"/>
        <w:rPr>
          <w:rFonts w:ascii="Arial" w:eastAsia="Times New Roman" w:hAnsi="Arial" w:cs="Arial"/>
          <w:lang w:val="en-GB" w:eastAsia="en-GB"/>
        </w:rPr>
      </w:pPr>
      <w:r w:rsidRPr="009D01B7">
        <w:rPr>
          <w:rFonts w:ascii="Arial" w:eastAsia="Arial" w:hAnsi="Arial" w:cs="Arial"/>
          <w:color w:val="111111"/>
          <w:vertAlign w:val="superscript"/>
        </w:rPr>
        <w:t>c</w:t>
      </w:r>
      <w:r w:rsidRPr="009D01B7">
        <w:rPr>
          <w:rStyle w:val="Geen"/>
          <w:rFonts w:ascii="Arial" w:eastAsia="Arial Unicode MS" w:hAnsi="Arial" w:cs="Arial"/>
        </w:rPr>
        <w:t xml:space="preserve"> = </w:t>
      </w:r>
      <w:r w:rsidR="003E0A24" w:rsidRPr="009D01B7">
        <w:rPr>
          <w:rFonts w:ascii="Arial" w:eastAsia="Times New Roman" w:hAnsi="Arial" w:cs="Arial"/>
          <w:lang w:val="en-GB" w:eastAsia="en-GB"/>
        </w:rPr>
        <w:t>denotes groups which do not significantly differ (p&gt;0.05) in post-hoc pairwise comparisons from other groups marked by a superscript c</w:t>
      </w:r>
    </w:p>
    <w:p w14:paraId="7D1495E6" w14:textId="3E85A674" w:rsidR="008A091A" w:rsidRPr="00F542D1" w:rsidRDefault="008A091A" w:rsidP="008804B6">
      <w:pPr>
        <w:spacing w:after="0"/>
        <w:rPr>
          <w:rStyle w:val="Geen"/>
          <w:rFonts w:ascii="Arial" w:eastAsia="Arial Unicode MS" w:hAnsi="Arial" w:cs="Arial"/>
        </w:rPr>
      </w:pPr>
    </w:p>
    <w:p w14:paraId="29067E3C" w14:textId="77777777" w:rsidR="008A091A" w:rsidRPr="005363B3" w:rsidRDefault="008A091A" w:rsidP="008804B6">
      <w:pPr>
        <w:spacing w:after="0"/>
        <w:rPr>
          <w:rStyle w:val="Geen"/>
          <w:rFonts w:ascii="Arial" w:eastAsia="Arial Unicode MS" w:hAnsi="Arial" w:cs="Arial Unicode MS"/>
        </w:rPr>
      </w:pPr>
    </w:p>
    <w:p w14:paraId="32DC99C3" w14:textId="77777777" w:rsidR="008804B6" w:rsidRPr="004B0F4F" w:rsidRDefault="008804B6" w:rsidP="008804B6">
      <w:pPr>
        <w:spacing w:after="0"/>
        <w:rPr>
          <w:rFonts w:ascii="Arial" w:hAnsi="Arial"/>
        </w:rPr>
      </w:pPr>
    </w:p>
    <w:sectPr w:rsidR="008804B6" w:rsidRPr="004B0F4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7843" w14:textId="77777777" w:rsidR="006F66EF" w:rsidRDefault="006F66EF">
      <w:pPr>
        <w:spacing w:after="0"/>
      </w:pPr>
      <w:r>
        <w:separator/>
      </w:r>
    </w:p>
  </w:endnote>
  <w:endnote w:type="continuationSeparator" w:id="0">
    <w:p w14:paraId="6E213DB9" w14:textId="77777777" w:rsidR="006F66EF" w:rsidRDefault="006F6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731C" w14:textId="77777777" w:rsidR="006F66EF" w:rsidRDefault="006F66EF">
      <w:r>
        <w:separator/>
      </w:r>
    </w:p>
  </w:footnote>
  <w:footnote w:type="continuationSeparator" w:id="0">
    <w:p w14:paraId="3FED1102" w14:textId="77777777" w:rsidR="006F66EF" w:rsidRDefault="006F6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389041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5BCD"/>
    <w:rsid w:val="00011C8B"/>
    <w:rsid w:val="00034E57"/>
    <w:rsid w:val="000968F8"/>
    <w:rsid w:val="00112784"/>
    <w:rsid w:val="00150C71"/>
    <w:rsid w:val="00160F76"/>
    <w:rsid w:val="001671D3"/>
    <w:rsid w:val="00175041"/>
    <w:rsid w:val="00176A88"/>
    <w:rsid w:val="00212D00"/>
    <w:rsid w:val="00264996"/>
    <w:rsid w:val="002A01A5"/>
    <w:rsid w:val="00357B4C"/>
    <w:rsid w:val="00375CFA"/>
    <w:rsid w:val="00381BA5"/>
    <w:rsid w:val="003938FC"/>
    <w:rsid w:val="003E0A24"/>
    <w:rsid w:val="004018B0"/>
    <w:rsid w:val="00413FDA"/>
    <w:rsid w:val="004371B5"/>
    <w:rsid w:val="00470B85"/>
    <w:rsid w:val="00486457"/>
    <w:rsid w:val="00494BEC"/>
    <w:rsid w:val="00497CA2"/>
    <w:rsid w:val="004A2E93"/>
    <w:rsid w:val="004B0F4F"/>
    <w:rsid w:val="004C5D96"/>
    <w:rsid w:val="004E29B3"/>
    <w:rsid w:val="004F7A08"/>
    <w:rsid w:val="00507D52"/>
    <w:rsid w:val="005225FC"/>
    <w:rsid w:val="00543316"/>
    <w:rsid w:val="0056476F"/>
    <w:rsid w:val="00590D07"/>
    <w:rsid w:val="005A47A6"/>
    <w:rsid w:val="005D325E"/>
    <w:rsid w:val="006217C5"/>
    <w:rsid w:val="006269F6"/>
    <w:rsid w:val="00643D58"/>
    <w:rsid w:val="006457A7"/>
    <w:rsid w:val="006635E7"/>
    <w:rsid w:val="006F66EF"/>
    <w:rsid w:val="00700211"/>
    <w:rsid w:val="00717F1B"/>
    <w:rsid w:val="007626B1"/>
    <w:rsid w:val="00771084"/>
    <w:rsid w:val="00784D58"/>
    <w:rsid w:val="00787BC5"/>
    <w:rsid w:val="007B5F67"/>
    <w:rsid w:val="007E2E4C"/>
    <w:rsid w:val="007F0F7B"/>
    <w:rsid w:val="007F66F8"/>
    <w:rsid w:val="00826AD5"/>
    <w:rsid w:val="008804B6"/>
    <w:rsid w:val="008A091A"/>
    <w:rsid w:val="008A4782"/>
    <w:rsid w:val="008C2B2B"/>
    <w:rsid w:val="008D5CA0"/>
    <w:rsid w:val="008D6863"/>
    <w:rsid w:val="008E6642"/>
    <w:rsid w:val="00915AEC"/>
    <w:rsid w:val="00947828"/>
    <w:rsid w:val="009D01B7"/>
    <w:rsid w:val="009E4D05"/>
    <w:rsid w:val="00A35F01"/>
    <w:rsid w:val="00A37070"/>
    <w:rsid w:val="00A52C09"/>
    <w:rsid w:val="00AE339A"/>
    <w:rsid w:val="00AE413A"/>
    <w:rsid w:val="00B418FF"/>
    <w:rsid w:val="00B70166"/>
    <w:rsid w:val="00B86B75"/>
    <w:rsid w:val="00B95126"/>
    <w:rsid w:val="00BC48D5"/>
    <w:rsid w:val="00BD0140"/>
    <w:rsid w:val="00BE7A43"/>
    <w:rsid w:val="00C17766"/>
    <w:rsid w:val="00C36279"/>
    <w:rsid w:val="00C674EA"/>
    <w:rsid w:val="00CA7A47"/>
    <w:rsid w:val="00D233F4"/>
    <w:rsid w:val="00D32F56"/>
    <w:rsid w:val="00D82E45"/>
    <w:rsid w:val="00D87D42"/>
    <w:rsid w:val="00DC6B55"/>
    <w:rsid w:val="00E01CEF"/>
    <w:rsid w:val="00E2028E"/>
    <w:rsid w:val="00E315A3"/>
    <w:rsid w:val="00E33C8B"/>
    <w:rsid w:val="00EF77A9"/>
    <w:rsid w:val="00F018A1"/>
    <w:rsid w:val="00F43D65"/>
    <w:rsid w:val="00F542D1"/>
    <w:rsid w:val="00F7184D"/>
    <w:rsid w:val="00F8479E"/>
    <w:rsid w:val="00FB08C6"/>
    <w:rsid w:val="00FC48A1"/>
    <w:rsid w:val="00FF56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5AF06"/>
  <w15:docId w15:val="{B435DC48-F2D5-7742-B35D-4B56D0C5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BalloonText">
    <w:name w:val="Balloon Text"/>
    <w:basedOn w:val="Normal"/>
    <w:link w:val="BalloonTextChar"/>
    <w:semiHidden/>
    <w:unhideWhenUsed/>
    <w:rsid w:val="008D5CA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D5CA0"/>
    <w:rPr>
      <w:rFonts w:ascii="Segoe UI" w:hAnsi="Segoe UI" w:cs="Segoe UI"/>
      <w:sz w:val="18"/>
      <w:szCs w:val="18"/>
    </w:rPr>
  </w:style>
  <w:style w:type="character" w:customStyle="1" w:styleId="acopre">
    <w:name w:val="acopre"/>
    <w:basedOn w:val="DefaultParagraphFont"/>
    <w:rsid w:val="004B0F4F"/>
  </w:style>
  <w:style w:type="character" w:customStyle="1" w:styleId="Geen">
    <w:name w:val="Geen"/>
    <w:rsid w:val="008804B6"/>
  </w:style>
  <w:style w:type="paragraph" w:styleId="NormalWeb">
    <w:name w:val="Normal (Web)"/>
    <w:rsid w:val="003E0A24"/>
    <w:pPr>
      <w:pBdr>
        <w:top w:val="nil"/>
        <w:left w:val="nil"/>
        <w:bottom w:val="nil"/>
        <w:right w:val="nil"/>
        <w:between w:val="nil"/>
        <w:bar w:val="nil"/>
      </w:pBdr>
      <w:spacing w:before="280" w:after="280"/>
    </w:pPr>
    <w:rPr>
      <w:rFonts w:ascii="Times New Roman" w:eastAsia="Arial Unicode MS" w:hAnsi="Times New Roman" w:cs="Arial Unicode MS"/>
      <w:color w:val="000000"/>
      <w:u w:color="000000"/>
      <w:bdr w:val="nil"/>
    </w:rPr>
  </w:style>
  <w:style w:type="paragraph" w:styleId="Revision">
    <w:name w:val="Revision"/>
    <w:hidden/>
    <w:semiHidden/>
    <w:rsid w:val="00F542D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6567">
      <w:bodyDiv w:val="1"/>
      <w:marLeft w:val="0"/>
      <w:marRight w:val="0"/>
      <w:marTop w:val="0"/>
      <w:marBottom w:val="0"/>
      <w:divBdr>
        <w:top w:val="none" w:sz="0" w:space="0" w:color="auto"/>
        <w:left w:val="none" w:sz="0" w:space="0" w:color="auto"/>
        <w:bottom w:val="none" w:sz="0" w:space="0" w:color="auto"/>
        <w:right w:val="none" w:sz="0" w:space="0" w:color="auto"/>
      </w:divBdr>
    </w:div>
    <w:div w:id="373770254">
      <w:bodyDiv w:val="1"/>
      <w:marLeft w:val="0"/>
      <w:marRight w:val="0"/>
      <w:marTop w:val="0"/>
      <w:marBottom w:val="0"/>
      <w:divBdr>
        <w:top w:val="none" w:sz="0" w:space="0" w:color="auto"/>
        <w:left w:val="none" w:sz="0" w:space="0" w:color="auto"/>
        <w:bottom w:val="none" w:sz="0" w:space="0" w:color="auto"/>
        <w:right w:val="none" w:sz="0" w:space="0" w:color="auto"/>
      </w:divBdr>
    </w:div>
    <w:div w:id="716662208">
      <w:bodyDiv w:val="1"/>
      <w:marLeft w:val="0"/>
      <w:marRight w:val="0"/>
      <w:marTop w:val="0"/>
      <w:marBottom w:val="0"/>
      <w:divBdr>
        <w:top w:val="none" w:sz="0" w:space="0" w:color="auto"/>
        <w:left w:val="none" w:sz="0" w:space="0" w:color="auto"/>
        <w:bottom w:val="none" w:sz="0" w:space="0" w:color="auto"/>
        <w:right w:val="none" w:sz="0" w:space="0" w:color="auto"/>
      </w:divBdr>
    </w:div>
    <w:div w:id="763837933">
      <w:bodyDiv w:val="1"/>
      <w:marLeft w:val="0"/>
      <w:marRight w:val="0"/>
      <w:marTop w:val="0"/>
      <w:marBottom w:val="0"/>
      <w:divBdr>
        <w:top w:val="none" w:sz="0" w:space="0" w:color="auto"/>
        <w:left w:val="none" w:sz="0" w:space="0" w:color="auto"/>
        <w:bottom w:val="none" w:sz="0" w:space="0" w:color="auto"/>
        <w:right w:val="none" w:sz="0" w:space="0" w:color="auto"/>
      </w:divBdr>
    </w:div>
    <w:div w:id="1565675504">
      <w:bodyDiv w:val="1"/>
      <w:marLeft w:val="0"/>
      <w:marRight w:val="0"/>
      <w:marTop w:val="0"/>
      <w:marBottom w:val="0"/>
      <w:divBdr>
        <w:top w:val="none" w:sz="0" w:space="0" w:color="auto"/>
        <w:left w:val="none" w:sz="0" w:space="0" w:color="auto"/>
        <w:bottom w:val="none" w:sz="0" w:space="0" w:color="auto"/>
        <w:right w:val="none" w:sz="0" w:space="0" w:color="auto"/>
      </w:divBdr>
    </w:div>
    <w:div w:id="1640375053">
      <w:bodyDiv w:val="1"/>
      <w:marLeft w:val="0"/>
      <w:marRight w:val="0"/>
      <w:marTop w:val="0"/>
      <w:marBottom w:val="0"/>
      <w:divBdr>
        <w:top w:val="none" w:sz="0" w:space="0" w:color="auto"/>
        <w:left w:val="none" w:sz="0" w:space="0" w:color="auto"/>
        <w:bottom w:val="none" w:sz="0" w:space="0" w:color="auto"/>
        <w:right w:val="none" w:sz="0" w:space="0" w:color="auto"/>
      </w:divBdr>
    </w:div>
    <w:div w:id="1867909190">
      <w:bodyDiv w:val="1"/>
      <w:marLeft w:val="0"/>
      <w:marRight w:val="0"/>
      <w:marTop w:val="0"/>
      <w:marBottom w:val="0"/>
      <w:divBdr>
        <w:top w:val="none" w:sz="0" w:space="0" w:color="auto"/>
        <w:left w:val="none" w:sz="0" w:space="0" w:color="auto"/>
        <w:bottom w:val="none" w:sz="0" w:space="0" w:color="auto"/>
        <w:right w:val="none" w:sz="0" w:space="0" w:color="auto"/>
      </w:divBdr>
    </w:div>
    <w:div w:id="1885361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Andrew</dc:creator>
  <cp:keywords/>
  <cp:lastModifiedBy>Emma Thompson</cp:lastModifiedBy>
  <cp:revision>3</cp:revision>
  <dcterms:created xsi:type="dcterms:W3CDTF">2022-01-24T16:27:00Z</dcterms:created>
  <dcterms:modified xsi:type="dcterms:W3CDTF">2022-01-24T16:28:00Z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word_document</vt:lpwstr>
  </property>
</Properties>
</file>