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87A03" w14:textId="72ACE90F" w:rsidR="007202D9" w:rsidRPr="007202D9" w:rsidRDefault="007202D9" w:rsidP="007202D9">
      <w:pPr>
        <w:pStyle w:val="Title"/>
        <w:rPr>
          <w:sz w:val="72"/>
          <w:szCs w:val="72"/>
        </w:rPr>
      </w:pPr>
      <w:r w:rsidRPr="007202D9">
        <w:rPr>
          <w:sz w:val="72"/>
          <w:szCs w:val="72"/>
        </w:rPr>
        <w:t xml:space="preserve">Clozapine treatment and risk of COVID-19 </w:t>
      </w:r>
    </w:p>
    <w:p w14:paraId="357DBB41" w14:textId="77777777" w:rsidR="007202D9" w:rsidRDefault="007202D9" w:rsidP="007202D9"/>
    <w:p w14:paraId="33857140" w14:textId="1DFF9A83" w:rsidR="007202D9" w:rsidRPr="00C31964" w:rsidRDefault="007202D9" w:rsidP="007202D9">
      <w:pPr>
        <w:pStyle w:val="Title"/>
        <w:rPr>
          <w:sz w:val="40"/>
          <w:szCs w:val="40"/>
        </w:rPr>
      </w:pPr>
      <w:r w:rsidRPr="00C31964">
        <w:rPr>
          <w:sz w:val="40"/>
          <w:szCs w:val="40"/>
        </w:rPr>
        <w:t>Osimo et al, 202</w:t>
      </w:r>
      <w:r>
        <w:rPr>
          <w:sz w:val="40"/>
          <w:szCs w:val="40"/>
        </w:rPr>
        <w:t>2</w:t>
      </w:r>
    </w:p>
    <w:p w14:paraId="2156666A" w14:textId="77777777" w:rsidR="007202D9" w:rsidRPr="00C31964" w:rsidRDefault="007202D9" w:rsidP="007202D9">
      <w:pPr>
        <w:rPr>
          <w:sz w:val="40"/>
          <w:szCs w:val="40"/>
        </w:rPr>
      </w:pPr>
    </w:p>
    <w:p w14:paraId="0AA3B2E6" w14:textId="77777777" w:rsidR="007202D9" w:rsidRPr="00C31964" w:rsidRDefault="007202D9" w:rsidP="007202D9">
      <w:pPr>
        <w:pStyle w:val="Title"/>
        <w:rPr>
          <w:sz w:val="40"/>
          <w:szCs w:val="40"/>
        </w:rPr>
      </w:pPr>
      <w:r w:rsidRPr="00C31964">
        <w:rPr>
          <w:sz w:val="40"/>
          <w:szCs w:val="40"/>
        </w:rPr>
        <w:t>Supplementary Materials</w:t>
      </w:r>
    </w:p>
    <w:p w14:paraId="4512D27C" w14:textId="77777777" w:rsidR="007202D9" w:rsidRPr="007202D9" w:rsidRDefault="007202D9" w:rsidP="007202D9">
      <w:pPr>
        <w:pStyle w:val="Title"/>
        <w:rPr>
          <w:sz w:val="40"/>
          <w:szCs w:val="40"/>
        </w:rPr>
      </w:pPr>
    </w:p>
    <w:p w14:paraId="7E21A9F9" w14:textId="77777777" w:rsidR="007202D9" w:rsidRPr="007202D9" w:rsidRDefault="007202D9" w:rsidP="007202D9">
      <w:pPr>
        <w:pStyle w:val="Title"/>
        <w:rPr>
          <w:sz w:val="40"/>
          <w:szCs w:val="40"/>
        </w:rPr>
      </w:pPr>
    </w:p>
    <w:p w14:paraId="6C82A7DF" w14:textId="71D75958" w:rsidR="007202D9" w:rsidRDefault="007202D9" w:rsidP="007202D9">
      <w:pPr>
        <w:pStyle w:val="Title"/>
        <w:rPr>
          <w:sz w:val="40"/>
          <w:szCs w:val="40"/>
        </w:rPr>
      </w:pPr>
      <w:r w:rsidRPr="007202D9">
        <w:rPr>
          <w:sz w:val="40"/>
          <w:szCs w:val="40"/>
        </w:rPr>
        <w:t>Table of contents:</w:t>
      </w:r>
    </w:p>
    <w:p w14:paraId="52DFDA9A" w14:textId="259591C2" w:rsidR="007202D9" w:rsidRDefault="007202D9">
      <w:pPr>
        <w:pStyle w:val="TOC2"/>
        <w:tabs>
          <w:tab w:val="right" w:pos="15388"/>
        </w:tabs>
        <w:rPr>
          <w:rFonts w:eastAsiaTheme="minorEastAsia" w:cstheme="minorBidi"/>
          <w:b w:val="0"/>
          <w:bCs w:val="0"/>
          <w:noProof/>
          <w:sz w:val="24"/>
          <w:szCs w:val="24"/>
        </w:rPr>
      </w:pPr>
      <w:r>
        <w:rPr>
          <w:lang w:eastAsia="en-US"/>
        </w:rPr>
        <w:fldChar w:fldCharType="begin"/>
      </w:r>
      <w:r>
        <w:rPr>
          <w:lang w:eastAsia="en-US"/>
        </w:rPr>
        <w:instrText xml:space="preserve"> TOC \o "1-3" \h \z \u </w:instrText>
      </w:r>
      <w:r>
        <w:rPr>
          <w:lang w:eastAsia="en-US"/>
        </w:rPr>
        <w:fldChar w:fldCharType="separate"/>
      </w:r>
      <w:hyperlink w:anchor="_Toc101967778" w:history="1">
        <w:r w:rsidRPr="00444A00">
          <w:rPr>
            <w:rStyle w:val="Hyperlink"/>
            <w:noProof/>
          </w:rPr>
          <w:t>Supplementary Methods</w:t>
        </w:r>
        <w:r>
          <w:rPr>
            <w:noProof/>
            <w:webHidden/>
          </w:rPr>
          <w:tab/>
        </w:r>
        <w:r>
          <w:rPr>
            <w:noProof/>
            <w:webHidden/>
          </w:rPr>
          <w:fldChar w:fldCharType="begin"/>
        </w:r>
        <w:r>
          <w:rPr>
            <w:noProof/>
            <w:webHidden/>
          </w:rPr>
          <w:instrText xml:space="preserve"> PAGEREF _Toc101967778 \h </w:instrText>
        </w:r>
        <w:r>
          <w:rPr>
            <w:noProof/>
            <w:webHidden/>
          </w:rPr>
        </w:r>
        <w:r>
          <w:rPr>
            <w:noProof/>
            <w:webHidden/>
          </w:rPr>
          <w:fldChar w:fldCharType="separate"/>
        </w:r>
        <w:r>
          <w:rPr>
            <w:noProof/>
            <w:webHidden/>
          </w:rPr>
          <w:t>2</w:t>
        </w:r>
        <w:r>
          <w:rPr>
            <w:noProof/>
            <w:webHidden/>
          </w:rPr>
          <w:fldChar w:fldCharType="end"/>
        </w:r>
      </w:hyperlink>
    </w:p>
    <w:p w14:paraId="70D233F0" w14:textId="63010752" w:rsidR="007202D9" w:rsidRDefault="00CF63E2">
      <w:pPr>
        <w:pStyle w:val="TOC2"/>
        <w:tabs>
          <w:tab w:val="right" w:pos="15388"/>
        </w:tabs>
        <w:rPr>
          <w:rFonts w:eastAsiaTheme="minorEastAsia" w:cstheme="minorBidi"/>
          <w:b w:val="0"/>
          <w:bCs w:val="0"/>
          <w:noProof/>
          <w:sz w:val="24"/>
          <w:szCs w:val="24"/>
        </w:rPr>
      </w:pPr>
      <w:hyperlink w:anchor="_Toc101967779" w:history="1">
        <w:r w:rsidR="007202D9" w:rsidRPr="00444A00">
          <w:rPr>
            <w:rStyle w:val="Hyperlink"/>
            <w:noProof/>
          </w:rPr>
          <w:t>Supplementary Table 1: Were clozapine-treated patients more likely to be tested for COVID-19, as compared with other antipsychotic-treated patients?</w:t>
        </w:r>
        <w:r w:rsidR="007202D9">
          <w:rPr>
            <w:noProof/>
            <w:webHidden/>
          </w:rPr>
          <w:tab/>
        </w:r>
        <w:r w:rsidR="007202D9">
          <w:rPr>
            <w:noProof/>
            <w:webHidden/>
          </w:rPr>
          <w:fldChar w:fldCharType="begin"/>
        </w:r>
        <w:r w:rsidR="007202D9">
          <w:rPr>
            <w:noProof/>
            <w:webHidden/>
          </w:rPr>
          <w:instrText xml:space="preserve"> PAGEREF _Toc101967779 \h </w:instrText>
        </w:r>
        <w:r w:rsidR="007202D9">
          <w:rPr>
            <w:noProof/>
            <w:webHidden/>
          </w:rPr>
        </w:r>
        <w:r w:rsidR="007202D9">
          <w:rPr>
            <w:noProof/>
            <w:webHidden/>
          </w:rPr>
          <w:fldChar w:fldCharType="separate"/>
        </w:r>
        <w:r w:rsidR="007202D9">
          <w:rPr>
            <w:noProof/>
            <w:webHidden/>
          </w:rPr>
          <w:t>4</w:t>
        </w:r>
        <w:r w:rsidR="007202D9">
          <w:rPr>
            <w:noProof/>
            <w:webHidden/>
          </w:rPr>
          <w:fldChar w:fldCharType="end"/>
        </w:r>
      </w:hyperlink>
    </w:p>
    <w:p w14:paraId="4B1F70E7" w14:textId="2F9415CE" w:rsidR="007202D9" w:rsidRDefault="00CF63E2">
      <w:pPr>
        <w:pStyle w:val="TOC2"/>
        <w:tabs>
          <w:tab w:val="right" w:pos="15388"/>
        </w:tabs>
        <w:rPr>
          <w:rFonts w:eastAsiaTheme="minorEastAsia" w:cstheme="minorBidi"/>
          <w:b w:val="0"/>
          <w:bCs w:val="0"/>
          <w:noProof/>
          <w:sz w:val="24"/>
          <w:szCs w:val="24"/>
        </w:rPr>
      </w:pPr>
      <w:hyperlink w:anchor="_Toc101967780" w:history="1">
        <w:r w:rsidR="007202D9" w:rsidRPr="00444A00">
          <w:rPr>
            <w:rStyle w:val="Hyperlink"/>
            <w:noProof/>
          </w:rPr>
          <w:t xml:space="preserve">Supplementary Table 2: If </w:t>
        </w:r>
        <w:r w:rsidR="007202D9" w:rsidRPr="00444A00">
          <w:rPr>
            <w:rStyle w:val="Hyperlink"/>
            <w:noProof/>
            <w:shd w:val="clear" w:color="auto" w:fill="FFFFFF"/>
          </w:rPr>
          <w:t>tested for COVID-19, were</w:t>
        </w:r>
        <w:r w:rsidR="007202D9" w:rsidRPr="00444A00">
          <w:rPr>
            <w:rStyle w:val="Hyperlink"/>
            <w:noProof/>
          </w:rPr>
          <w:t xml:space="preserve"> clozapine-treated patients more likely to test positive compared with other antipsychotic-treated patients?</w:t>
        </w:r>
        <w:r w:rsidR="007202D9">
          <w:rPr>
            <w:noProof/>
            <w:webHidden/>
          </w:rPr>
          <w:tab/>
        </w:r>
        <w:r w:rsidR="007202D9">
          <w:rPr>
            <w:noProof/>
            <w:webHidden/>
          </w:rPr>
          <w:fldChar w:fldCharType="begin"/>
        </w:r>
        <w:r w:rsidR="007202D9">
          <w:rPr>
            <w:noProof/>
            <w:webHidden/>
          </w:rPr>
          <w:instrText xml:space="preserve"> PAGEREF _Toc101967780 \h </w:instrText>
        </w:r>
        <w:r w:rsidR="007202D9">
          <w:rPr>
            <w:noProof/>
            <w:webHidden/>
          </w:rPr>
        </w:r>
        <w:r w:rsidR="007202D9">
          <w:rPr>
            <w:noProof/>
            <w:webHidden/>
          </w:rPr>
          <w:fldChar w:fldCharType="separate"/>
        </w:r>
        <w:r w:rsidR="007202D9">
          <w:rPr>
            <w:noProof/>
            <w:webHidden/>
          </w:rPr>
          <w:t>5</w:t>
        </w:r>
        <w:r w:rsidR="007202D9">
          <w:rPr>
            <w:noProof/>
            <w:webHidden/>
          </w:rPr>
          <w:fldChar w:fldCharType="end"/>
        </w:r>
      </w:hyperlink>
    </w:p>
    <w:p w14:paraId="103B2B5B" w14:textId="36EB48D1" w:rsidR="007202D9" w:rsidRDefault="00CF63E2">
      <w:pPr>
        <w:pStyle w:val="TOC2"/>
        <w:tabs>
          <w:tab w:val="right" w:pos="15388"/>
        </w:tabs>
        <w:rPr>
          <w:rFonts w:eastAsiaTheme="minorEastAsia" w:cstheme="minorBidi"/>
          <w:b w:val="0"/>
          <w:bCs w:val="0"/>
          <w:noProof/>
          <w:sz w:val="24"/>
          <w:szCs w:val="24"/>
        </w:rPr>
      </w:pPr>
      <w:hyperlink w:anchor="_Toc101967781" w:history="1">
        <w:r w:rsidR="007202D9" w:rsidRPr="00444A00">
          <w:rPr>
            <w:rStyle w:val="Hyperlink"/>
            <w:noProof/>
          </w:rPr>
          <w:t>Supplementary Table 3: Were clozapine-treated patients more likely to test positive compared with other antipsychotic-treated patients, irrespective of testing rates?</w:t>
        </w:r>
        <w:r w:rsidR="007202D9">
          <w:rPr>
            <w:noProof/>
            <w:webHidden/>
          </w:rPr>
          <w:tab/>
        </w:r>
        <w:r w:rsidR="007202D9">
          <w:rPr>
            <w:noProof/>
            <w:webHidden/>
          </w:rPr>
          <w:fldChar w:fldCharType="begin"/>
        </w:r>
        <w:r w:rsidR="007202D9">
          <w:rPr>
            <w:noProof/>
            <w:webHidden/>
          </w:rPr>
          <w:instrText xml:space="preserve"> PAGEREF _Toc101967781 \h </w:instrText>
        </w:r>
        <w:r w:rsidR="007202D9">
          <w:rPr>
            <w:noProof/>
            <w:webHidden/>
          </w:rPr>
        </w:r>
        <w:r w:rsidR="007202D9">
          <w:rPr>
            <w:noProof/>
            <w:webHidden/>
          </w:rPr>
          <w:fldChar w:fldCharType="separate"/>
        </w:r>
        <w:r w:rsidR="007202D9">
          <w:rPr>
            <w:noProof/>
            <w:webHidden/>
          </w:rPr>
          <w:t>6</w:t>
        </w:r>
        <w:r w:rsidR="007202D9">
          <w:rPr>
            <w:noProof/>
            <w:webHidden/>
          </w:rPr>
          <w:fldChar w:fldCharType="end"/>
        </w:r>
      </w:hyperlink>
    </w:p>
    <w:p w14:paraId="6D8B894A" w14:textId="48FB08F1" w:rsidR="007202D9" w:rsidRPr="007202D9" w:rsidRDefault="007202D9" w:rsidP="007202D9">
      <w:pPr>
        <w:rPr>
          <w:lang w:eastAsia="en-US"/>
        </w:rPr>
      </w:pPr>
      <w:r>
        <w:rPr>
          <w:lang w:eastAsia="en-US"/>
        </w:rPr>
        <w:fldChar w:fldCharType="end"/>
      </w:r>
    </w:p>
    <w:p w14:paraId="4D4C61AD" w14:textId="77777777" w:rsidR="00070D4B" w:rsidRDefault="00070D4B">
      <w:pPr>
        <w:rPr>
          <w:rFonts w:asciiTheme="majorHAnsi" w:eastAsiaTheme="majorEastAsia" w:hAnsiTheme="majorHAnsi" w:cstheme="majorBidi"/>
          <w:color w:val="2F5496" w:themeColor="accent1" w:themeShade="BF"/>
          <w:sz w:val="26"/>
          <w:szCs w:val="26"/>
        </w:rPr>
      </w:pPr>
      <w:r>
        <w:br w:type="page"/>
      </w:r>
    </w:p>
    <w:p w14:paraId="3F168D9F" w14:textId="6F16807E" w:rsidR="00070D4B" w:rsidRDefault="00070D4B" w:rsidP="00070D4B">
      <w:pPr>
        <w:pStyle w:val="Heading2"/>
      </w:pPr>
      <w:bookmarkStart w:id="0" w:name="_Toc101967778"/>
      <w:r>
        <w:lastRenderedPageBreak/>
        <w:t>Supplementary Methods</w:t>
      </w:r>
      <w:bookmarkEnd w:id="0"/>
    </w:p>
    <w:p w14:paraId="0168DB4C" w14:textId="32B83167" w:rsidR="00070D4B" w:rsidRDefault="00070D4B" w:rsidP="00070D4B">
      <w:pPr>
        <w:spacing w:line="360" w:lineRule="auto"/>
      </w:pPr>
      <w:r>
        <w:t>An electronic search of the CPFTRD (UK National Health Service [NHS] Research Ethics Service references 12/EE/0407, 17/EE/0442), which contains de-identified electronic health records (EHRs), was used to select all patients who were prescribed an antipsychotic medication (operationalised as at least two mentions of the same British National Formulary-class antipsychotic at least one month apart, detected via natural language processing</w:t>
      </w:r>
      <w:r w:rsidR="00B348AE">
        <w:t xml:space="preserve"> </w:t>
      </w:r>
      <w:r w:rsidR="00B348AE">
        <w:fldChar w:fldCharType="begin"/>
      </w:r>
      <w:r w:rsidR="00B348AE">
        <w:instrText xml:space="preserve"> ADDIN EN.CITE &lt;EndNote&gt;&lt;Cite&gt;&lt;Author&gt;Cardinal&lt;/Author&gt;&lt;Year&gt;2015&lt;/Year&gt;&lt;RecNum&gt;1488&lt;/RecNum&gt;&lt;DisplayText&gt;(1)&lt;/DisplayText&gt;&lt;record&gt;&lt;rec-number&gt;1488&lt;/rec-number&gt;&lt;foreign-keys&gt;&lt;key app="EN" db-id="xwf0afsx7s995yef5rsprwft9px9xs2tepee" timestamp="1651071817" guid="cb739680-3ad0-462e-a517-2e4c1b0c0734"&gt;1488&lt;/key&gt;&lt;/foreign-keys&gt;&lt;ref-type name="Journal Article"&gt;17&lt;/ref-type&gt;&lt;contributors&gt;&lt;authors&gt;&lt;author&gt;Cardinal, Rudolf N&lt;/author&gt;&lt;author&gt;Savulich, George&lt;/author&gt;&lt;author&gt;Mann, Louisa M&lt;/author&gt;&lt;author&gt;Fernández-Egea, Emilio&lt;/author&gt;&lt;/authors&gt;&lt;/contributors&gt;&lt;titles&gt;&lt;title&gt;Association between antipsychotic/antidepressant drug treatments and hospital admissions in schizophrenia assessed using a mental health case register&lt;/title&gt;&lt;secondary-title&gt;npj Schizophrenia&lt;/secondary-title&gt;&lt;/titles&gt;&lt;periodical&gt;&lt;full-title&gt;NPJ schizophrenia&lt;/full-title&gt;&lt;/periodical&gt;&lt;pages&gt;1-7&lt;/pages&gt;&lt;volume&gt;1&lt;/volume&gt;&lt;number&gt;1&lt;/number&gt;&lt;dates&gt;&lt;year&gt;2015&lt;/year&gt;&lt;/dates&gt;&lt;isbn&gt;2334-265X&lt;/isbn&gt;&lt;urls&gt;&lt;/urls&gt;&lt;/record&gt;&lt;/Cite&gt;&lt;/EndNote&gt;</w:instrText>
      </w:r>
      <w:r w:rsidR="00B348AE">
        <w:fldChar w:fldCharType="separate"/>
      </w:r>
      <w:r w:rsidR="00B348AE">
        <w:rPr>
          <w:noProof/>
        </w:rPr>
        <w:t>(1)</w:t>
      </w:r>
      <w:r w:rsidR="00B348AE">
        <w:fldChar w:fldCharType="end"/>
      </w:r>
      <w:r>
        <w:t>) between 2013-01-01 and 2021-04-30</w:t>
      </w:r>
      <w:r w:rsidR="0085035A">
        <w:t xml:space="preserve"> </w:t>
      </w:r>
      <w:r w:rsidR="0085035A">
        <w:fldChar w:fldCharType="begin"/>
      </w:r>
      <w:r w:rsidR="0085035A">
        <w:instrText xml:space="preserve"> ADDIN EN.CITE &lt;EndNote&gt;&lt;Cite&gt;&lt;Author&gt;Cardinal&lt;/Author&gt;&lt;Year&gt;2017&lt;/Year&gt;&lt;RecNum&gt;1167&lt;/RecNum&gt;&lt;DisplayText&gt;(2)&lt;/DisplayText&gt;&lt;record&gt;&lt;rec-number&gt;1167&lt;/rec-number&gt;&lt;foreign-keys&gt;&lt;key app="EN" db-id="xwf0afsx7s995yef5rsprwft9px9xs2tepee" timestamp="1587718943" guid="c088916f-ae62-4c40-b358-db09be255554"&gt;1167&lt;/key&gt;&lt;/foreign-keys&gt;&lt;ref-type name="Journal Article"&gt;17&lt;/ref-type&gt;&lt;contributors&gt;&lt;authors&gt;&lt;author&gt;Cardinal, Rudolf N.&lt;/author&gt;&lt;/authors&gt;&lt;/contributors&gt;&lt;titles&gt;&lt;title&gt;Clinical records anonymisation and text extraction (CRATE): an open-source software system&lt;/title&gt;&lt;secondary-title&gt;BMC Medical Informatics and Decision Making&lt;/secondary-title&gt;&lt;/titles&gt;&lt;periodical&gt;&lt;full-title&gt;BMC medical informatics and decision making&lt;/full-title&gt;&lt;/periodical&gt;&lt;pages&gt;50&lt;/pages&gt;&lt;volume&gt;17&lt;/volume&gt;&lt;number&gt;1&lt;/number&gt;&lt;dates&gt;&lt;year&gt;2017&lt;/year&gt;&lt;pub-dates&gt;&lt;date&gt;2017/04/26&lt;/date&gt;&lt;/pub-dates&gt;&lt;/dates&gt;&lt;isbn&gt;1472-6947&lt;/isbn&gt;&lt;urls&gt;&lt;related-urls&gt;&lt;url&gt;https://doi.org/10.1186/s12911-017-0437-1&lt;/url&gt;&lt;/related-urls&gt;&lt;/urls&gt;&lt;electronic-resource-num&gt;10.1186/s12911-017-0437-1&lt;/electronic-resource-num&gt;&lt;/record&gt;&lt;/Cite&gt;&lt;/EndNote&gt;</w:instrText>
      </w:r>
      <w:r w:rsidR="0085035A">
        <w:fldChar w:fldCharType="separate"/>
      </w:r>
      <w:r w:rsidR="0085035A">
        <w:rPr>
          <w:noProof/>
        </w:rPr>
        <w:t>(2)</w:t>
      </w:r>
      <w:r w:rsidR="0085035A">
        <w:fldChar w:fldCharType="end"/>
      </w:r>
      <w:r>
        <w:t>.</w:t>
      </w:r>
    </w:p>
    <w:p w14:paraId="2EB1B5D2" w14:textId="77777777" w:rsidR="00070D4B" w:rsidRDefault="00070D4B" w:rsidP="00070D4B">
      <w:pPr>
        <w:spacing w:line="360" w:lineRule="auto"/>
      </w:pPr>
    </w:p>
    <w:p w14:paraId="72991081" w14:textId="77777777" w:rsidR="00070D4B" w:rsidRDefault="00070D4B" w:rsidP="00070D4B">
      <w:pPr>
        <w:spacing w:line="360" w:lineRule="auto"/>
      </w:pPr>
      <w:r>
        <w:t>We established clozapine use via a gold-standard method, as follows. In the UK, clozapine dispensing occurs in secondary care, and follows registration to a national clozapine registry. We matched CPFTRD records with local records in CPFT that mirror the relevant national clozapine registry for CPFT patients.</w:t>
      </w:r>
    </w:p>
    <w:p w14:paraId="751B1AAF" w14:textId="77777777" w:rsidR="00070D4B" w:rsidRDefault="00070D4B" w:rsidP="00070D4B">
      <w:pPr>
        <w:spacing w:line="360" w:lineRule="auto"/>
      </w:pPr>
    </w:p>
    <w:p w14:paraId="2BDBB0E0" w14:textId="77777777" w:rsidR="00070D4B" w:rsidRDefault="00070D4B" w:rsidP="00070D4B">
      <w:pPr>
        <w:spacing w:line="360" w:lineRule="auto"/>
      </w:pPr>
      <w:r w:rsidRPr="00DC00CC">
        <w:t>The inclusion criteria for the main analysis were (a) for the "ever clozapine" group: being registered with the CPFT clozapine registry during the study period (as above), or (b) for the "ever other antipsychotic" group: use of an antipsychotic within the study period, as detected by natural language processing as above, minus any patients who were in the "ever clozapine" group. Patients were excluded if they had opted out of having their data used, de-identified, for research. In addition, we repeated the analysis restricting the sample to "current" patients: (a) "current clozapine" group: those registered with the clozapine registry on 2021-04-30, and (b) "current other antipsychotic" group: those prescribed an antipsychotic medication between 2019-05-01 and 2021-04-03, minus those in the "current clozapine" group</w:t>
      </w:r>
      <w:r>
        <w:t>.</w:t>
      </w:r>
    </w:p>
    <w:p w14:paraId="261D3A3F" w14:textId="77777777" w:rsidR="00070D4B" w:rsidRDefault="00070D4B" w:rsidP="00070D4B">
      <w:pPr>
        <w:spacing w:line="360" w:lineRule="auto"/>
      </w:pPr>
    </w:p>
    <w:p w14:paraId="4A50578E" w14:textId="77777777" w:rsidR="00070D4B" w:rsidRDefault="00070D4B" w:rsidP="00070D4B">
      <w:pPr>
        <w:spacing w:line="360" w:lineRule="auto"/>
      </w:pPr>
      <w:r>
        <w:t>ICD-10 psychiatric diagnoses assigned by clinicians were used for a sensitivity analysis of people who had been given a diagnosis of class F20* (schizophrenia).</w:t>
      </w:r>
    </w:p>
    <w:p w14:paraId="073BC62B" w14:textId="77777777" w:rsidR="00070D4B" w:rsidRDefault="00070D4B" w:rsidP="00070D4B">
      <w:pPr>
        <w:spacing w:line="360" w:lineRule="auto"/>
      </w:pPr>
    </w:p>
    <w:p w14:paraId="1B2E2276" w14:textId="77777777" w:rsidR="00070D4B" w:rsidRDefault="00070D4B" w:rsidP="00070D4B">
      <w:pPr>
        <w:spacing w:line="360" w:lineRule="auto"/>
      </w:pPr>
      <w:r>
        <w:t xml:space="preserve">Linkage to COVID-19 test data was obtained, in de-identified fashion, via the </w:t>
      </w:r>
      <w:proofErr w:type="spellStart"/>
      <w:r>
        <w:t>EpiCov</w:t>
      </w:r>
      <w:proofErr w:type="spellEnd"/>
      <w:r>
        <w:t xml:space="preserve"> project (Cambridge University Hospitals NHS Foundation Trust, CUH) (CPFT project reference M00997). Linkage was achieved as follows: (1) CPFT and CUH agreed a study-specific secret cryptographic hash key, never known to the analysing researchers; (2) for relevant patients in CPFT (selected as above), NHS numbers were hashed to create a study-specific ID (SID) or pseudonym, in automated fashion without humans viewing identifiable information; (3) CPFT passed those SIDs to CUH, without any other data; (4) CUH hashed its known NHS numbers in automated fashion using the same hash key and selected the subset of patients who overlapped by SID; (5) CUH transmitted pseudonymised COVID-19 test data to CPFT for overlapping patients, accompanied by their SID; (6) CPFT linked relevant de-identified patient-level data </w:t>
      </w:r>
      <w:r>
        <w:lastRenderedPageBreak/>
        <w:t>(antipsychotic use, age, etc.) to COVID-19 data (tests, results) based on the SID, creating a limited and study-specific research database; (7) only then were researchers granted access to that de-identified linked database.</w:t>
      </w:r>
    </w:p>
    <w:p w14:paraId="53ECBD3E" w14:textId="77777777" w:rsidR="00070D4B" w:rsidRDefault="00070D4B" w:rsidP="00070D4B">
      <w:pPr>
        <w:spacing w:line="360" w:lineRule="auto"/>
      </w:pPr>
    </w:p>
    <w:p w14:paraId="3C24CC17" w14:textId="77777777" w:rsidR="00070D4B" w:rsidRDefault="00070D4B" w:rsidP="00070D4B">
      <w:pPr>
        <w:spacing w:line="360" w:lineRule="auto"/>
      </w:pPr>
      <w:r>
        <w:t xml:space="preserve">Outcomes </w:t>
      </w:r>
      <w:proofErr w:type="gramStart"/>
      <w:r>
        <w:t>were:</w:t>
      </w:r>
      <w:proofErr w:type="gramEnd"/>
      <w:r>
        <w:t xml:space="preserve"> tested for COVID-19 via polymerase chain reaction (PCR) (binary); tested positive for COVID-19 by PCR (binary). The primary predictor was the use of clozapine (binary). Covariates </w:t>
      </w:r>
      <w:proofErr w:type="gramStart"/>
      <w:r>
        <w:t>were:</w:t>
      </w:r>
      <w:proofErr w:type="gramEnd"/>
      <w:r>
        <w:t xml:space="preserve"> age (continuous, in years); sex (binary); ethnicity (binary: white versus non-white); presence of a coded schizophrenia diagnosis (binary). Associations were tested through logistic regression, and odds ratios (ORs) calculated as the exponentiated coefficients for each predictor.</w:t>
      </w:r>
    </w:p>
    <w:p w14:paraId="1785C1CF" w14:textId="77777777" w:rsidR="00070D4B" w:rsidRDefault="00070D4B">
      <w:pPr>
        <w:rPr>
          <w:rFonts w:asciiTheme="majorHAnsi" w:eastAsiaTheme="majorEastAsia" w:hAnsiTheme="majorHAnsi" w:cstheme="majorBidi"/>
          <w:color w:val="2F5496" w:themeColor="accent1" w:themeShade="BF"/>
          <w:sz w:val="26"/>
          <w:szCs w:val="26"/>
        </w:rPr>
      </w:pPr>
      <w:r>
        <w:br w:type="page"/>
      </w:r>
    </w:p>
    <w:p w14:paraId="311E17F5" w14:textId="3B326627" w:rsidR="00CF79FF" w:rsidRDefault="00070D4B">
      <w:pPr>
        <w:pStyle w:val="Heading2"/>
      </w:pPr>
      <w:bookmarkStart w:id="1" w:name="_Toc101967779"/>
      <w:r>
        <w:lastRenderedPageBreak/>
        <w:t>Supplementary Table 1: Were clozapine-treated patients more likely to be tested for COVID-19, as compared with other antipsychotic-treated patients?</w:t>
      </w:r>
      <w:bookmarkEnd w:id="1"/>
    </w:p>
    <w:p w14:paraId="6A89D5BD" w14:textId="77777777" w:rsidR="00CF79FF" w:rsidRDefault="00CF79FF"/>
    <w:tbl>
      <w:tblPr>
        <w:tblStyle w:val="TableGrid"/>
        <w:tblW w:w="12837" w:type="dxa"/>
        <w:tblLook w:val="04A0" w:firstRow="1" w:lastRow="0" w:firstColumn="1" w:lastColumn="0" w:noHBand="0" w:noVBand="1"/>
      </w:tblPr>
      <w:tblGrid>
        <w:gridCol w:w="2749"/>
        <w:gridCol w:w="1340"/>
        <w:gridCol w:w="1539"/>
        <w:gridCol w:w="1494"/>
        <w:gridCol w:w="1905"/>
        <w:gridCol w:w="1905"/>
        <w:gridCol w:w="1905"/>
      </w:tblGrid>
      <w:tr w:rsidR="00CF79FF" w14:paraId="61372B00" w14:textId="77777777">
        <w:tc>
          <w:tcPr>
            <w:tcW w:w="7121" w:type="dxa"/>
            <w:gridSpan w:val="4"/>
          </w:tcPr>
          <w:p w14:paraId="44D9954B" w14:textId="77777777" w:rsidR="00CF79FF" w:rsidRDefault="00CF79FF">
            <w:pPr>
              <w:pStyle w:val="NormalWeb"/>
              <w:spacing w:before="280" w:beforeAutospacing="0" w:after="280" w:afterAutospacing="0"/>
              <w:rPr>
                <w:b/>
                <w:bCs/>
                <w:sz w:val="22"/>
                <w:szCs w:val="22"/>
                <w:highlight w:val="white"/>
              </w:rPr>
            </w:pPr>
          </w:p>
        </w:tc>
        <w:tc>
          <w:tcPr>
            <w:tcW w:w="5715" w:type="dxa"/>
            <w:gridSpan w:val="3"/>
            <w:shd w:val="clear" w:color="auto" w:fill="auto"/>
          </w:tcPr>
          <w:p w14:paraId="6A412BB8" w14:textId="77777777" w:rsidR="00CF79FF" w:rsidRDefault="00070D4B">
            <w:pPr>
              <w:pStyle w:val="NormalWeb"/>
              <w:spacing w:before="280" w:beforeAutospacing="0" w:after="280" w:afterAutospacing="0"/>
              <w:jc w:val="center"/>
              <w:rPr>
                <w:b/>
                <w:bCs/>
                <w:sz w:val="22"/>
                <w:szCs w:val="22"/>
              </w:rPr>
            </w:pPr>
            <w:r>
              <w:rPr>
                <w:b/>
                <w:bCs/>
                <w:sz w:val="22"/>
                <w:szCs w:val="22"/>
              </w:rPr>
              <w:t xml:space="preserve">OR (95% CI) </w:t>
            </w:r>
            <w:r>
              <w:rPr>
                <w:b/>
                <w:bCs/>
                <w:sz w:val="22"/>
                <w:szCs w:val="22"/>
                <w:shd w:val="clear" w:color="auto" w:fill="FFFFFF"/>
              </w:rPr>
              <w:t>for having a COVID-19 test</w:t>
            </w:r>
          </w:p>
        </w:tc>
      </w:tr>
      <w:tr w:rsidR="00CF79FF" w14:paraId="1C98FBEB" w14:textId="77777777">
        <w:tc>
          <w:tcPr>
            <w:tcW w:w="2748" w:type="dxa"/>
          </w:tcPr>
          <w:p w14:paraId="1C799431" w14:textId="77777777" w:rsidR="00CF79FF" w:rsidRDefault="00CF79FF">
            <w:pPr>
              <w:pStyle w:val="NormalWeb"/>
              <w:spacing w:before="280" w:beforeAutospacing="0" w:after="280" w:afterAutospacing="0"/>
              <w:rPr>
                <w:b/>
                <w:bCs/>
                <w:sz w:val="22"/>
                <w:szCs w:val="22"/>
              </w:rPr>
            </w:pPr>
          </w:p>
        </w:tc>
        <w:tc>
          <w:tcPr>
            <w:tcW w:w="1340" w:type="dxa"/>
          </w:tcPr>
          <w:p w14:paraId="7F36D292" w14:textId="77777777" w:rsidR="00CF79FF" w:rsidRDefault="00070D4B">
            <w:pPr>
              <w:pStyle w:val="NormalWeb"/>
              <w:spacing w:before="280" w:beforeAutospacing="0" w:after="280" w:afterAutospacing="0"/>
              <w:rPr>
                <w:b/>
                <w:bCs/>
                <w:sz w:val="22"/>
                <w:szCs w:val="22"/>
              </w:rPr>
            </w:pPr>
            <w:r>
              <w:rPr>
                <w:b/>
                <w:bCs/>
                <w:sz w:val="22"/>
                <w:szCs w:val="22"/>
              </w:rPr>
              <w:t xml:space="preserve">Total sample, N </w:t>
            </w:r>
          </w:p>
        </w:tc>
        <w:tc>
          <w:tcPr>
            <w:tcW w:w="1539" w:type="dxa"/>
          </w:tcPr>
          <w:p w14:paraId="753922C6" w14:textId="77777777" w:rsidR="00CF79FF" w:rsidRDefault="00070D4B">
            <w:pPr>
              <w:pStyle w:val="NormalWeb"/>
              <w:spacing w:before="280" w:beforeAutospacing="0" w:after="280" w:afterAutospacing="0"/>
              <w:rPr>
                <w:b/>
                <w:bCs/>
                <w:sz w:val="22"/>
                <w:szCs w:val="22"/>
              </w:rPr>
            </w:pPr>
            <w:r>
              <w:rPr>
                <w:b/>
                <w:bCs/>
                <w:sz w:val="22"/>
                <w:szCs w:val="22"/>
              </w:rPr>
              <w:t xml:space="preserve">Clozapine treatment, </w:t>
            </w:r>
            <w:r>
              <w:rPr>
                <w:b/>
                <w:bCs/>
                <w:sz w:val="22"/>
                <w:szCs w:val="22"/>
                <w:shd w:val="clear" w:color="auto" w:fill="FFFFFF"/>
              </w:rPr>
              <w:t>N (% of total sample)</w:t>
            </w:r>
          </w:p>
        </w:tc>
        <w:tc>
          <w:tcPr>
            <w:tcW w:w="1494" w:type="dxa"/>
          </w:tcPr>
          <w:p w14:paraId="2BF7E9F6" w14:textId="77777777" w:rsidR="00CF79FF" w:rsidRDefault="00070D4B">
            <w:pPr>
              <w:pStyle w:val="NormalWeb"/>
              <w:spacing w:before="280" w:beforeAutospacing="0" w:after="280" w:afterAutospacing="0"/>
              <w:rPr>
                <w:b/>
                <w:bCs/>
                <w:sz w:val="22"/>
                <w:szCs w:val="22"/>
                <w:highlight w:val="white"/>
              </w:rPr>
            </w:pPr>
            <w:r>
              <w:rPr>
                <w:b/>
                <w:bCs/>
                <w:sz w:val="22"/>
                <w:szCs w:val="22"/>
                <w:shd w:val="clear" w:color="auto" w:fill="FFFFFF"/>
              </w:rPr>
              <w:t>Had COVID-19 test, N (% of total sample)</w:t>
            </w:r>
          </w:p>
        </w:tc>
        <w:tc>
          <w:tcPr>
            <w:tcW w:w="1905" w:type="dxa"/>
            <w:shd w:val="clear" w:color="auto" w:fill="auto"/>
          </w:tcPr>
          <w:p w14:paraId="60D748B9" w14:textId="77777777" w:rsidR="00CF79FF" w:rsidRDefault="00070D4B">
            <w:pPr>
              <w:pStyle w:val="NormalWeb"/>
              <w:spacing w:before="280" w:beforeAutospacing="0" w:after="280" w:afterAutospacing="0"/>
              <w:rPr>
                <w:b/>
                <w:bCs/>
                <w:sz w:val="22"/>
                <w:szCs w:val="22"/>
              </w:rPr>
            </w:pPr>
            <w:r>
              <w:rPr>
                <w:b/>
                <w:bCs/>
                <w:sz w:val="22"/>
                <w:szCs w:val="22"/>
              </w:rPr>
              <w:t>Unadjusted analysis</w:t>
            </w:r>
          </w:p>
        </w:tc>
        <w:tc>
          <w:tcPr>
            <w:tcW w:w="1905" w:type="dxa"/>
          </w:tcPr>
          <w:p w14:paraId="3E0DD08D" w14:textId="77777777" w:rsidR="00CF79FF" w:rsidRDefault="00070D4B">
            <w:pPr>
              <w:pStyle w:val="NormalWeb"/>
              <w:spacing w:before="280" w:beforeAutospacing="0" w:after="280" w:afterAutospacing="0"/>
              <w:rPr>
                <w:b/>
                <w:bCs/>
                <w:sz w:val="22"/>
                <w:szCs w:val="22"/>
              </w:rPr>
            </w:pPr>
            <w:r>
              <w:rPr>
                <w:b/>
                <w:bCs/>
                <w:sz w:val="22"/>
                <w:szCs w:val="22"/>
              </w:rPr>
              <w:t xml:space="preserve">Adjusted for </w:t>
            </w:r>
            <w:proofErr w:type="gramStart"/>
            <w:r>
              <w:rPr>
                <w:b/>
                <w:bCs/>
                <w:sz w:val="22"/>
                <w:szCs w:val="22"/>
                <w:shd w:val="clear" w:color="auto" w:fill="FFFFFF"/>
              </w:rPr>
              <w:t>age,  sex</w:t>
            </w:r>
            <w:proofErr w:type="gramEnd"/>
            <w:r>
              <w:rPr>
                <w:b/>
                <w:bCs/>
                <w:sz w:val="22"/>
                <w:szCs w:val="22"/>
                <w:shd w:val="clear" w:color="auto" w:fill="FFFFFF"/>
              </w:rPr>
              <w:t>, and ethnicity</w:t>
            </w:r>
          </w:p>
        </w:tc>
        <w:tc>
          <w:tcPr>
            <w:tcW w:w="1905" w:type="dxa"/>
          </w:tcPr>
          <w:p w14:paraId="330687EA" w14:textId="11CF4FB5" w:rsidR="00CF79FF" w:rsidRDefault="00070D4B">
            <w:pPr>
              <w:pStyle w:val="NormalWeb"/>
              <w:spacing w:before="280" w:beforeAutospacing="0" w:after="280" w:afterAutospacing="0"/>
              <w:rPr>
                <w:b/>
                <w:bCs/>
                <w:sz w:val="22"/>
                <w:szCs w:val="22"/>
              </w:rPr>
            </w:pPr>
            <w:r>
              <w:rPr>
                <w:b/>
                <w:bCs/>
                <w:sz w:val="22"/>
                <w:szCs w:val="22"/>
              </w:rPr>
              <w:t>Additional adjustment for</w:t>
            </w:r>
            <w:r>
              <w:rPr>
                <w:b/>
                <w:bCs/>
                <w:sz w:val="22"/>
                <w:szCs w:val="22"/>
                <w:shd w:val="clear" w:color="auto" w:fill="FFFFFF"/>
              </w:rPr>
              <w:t xml:space="preserve"> </w:t>
            </w:r>
            <w:r>
              <w:rPr>
                <w:b/>
                <w:bCs/>
                <w:sz w:val="22"/>
                <w:szCs w:val="22"/>
              </w:rPr>
              <w:t>F20</w:t>
            </w:r>
            <w:r w:rsidR="00CF63E2">
              <w:rPr>
                <w:b/>
                <w:bCs/>
                <w:sz w:val="22"/>
                <w:szCs w:val="22"/>
              </w:rPr>
              <w:t>x</w:t>
            </w:r>
            <w:r>
              <w:rPr>
                <w:b/>
                <w:bCs/>
                <w:sz w:val="22"/>
                <w:szCs w:val="22"/>
              </w:rPr>
              <w:t xml:space="preserve"> diagnosis</w:t>
            </w:r>
          </w:p>
        </w:tc>
      </w:tr>
      <w:tr w:rsidR="00CF79FF" w14:paraId="3577C149" w14:textId="77777777">
        <w:tc>
          <w:tcPr>
            <w:tcW w:w="2748" w:type="dxa"/>
          </w:tcPr>
          <w:p w14:paraId="34052D08" w14:textId="11C592C7" w:rsidR="00CF79FF" w:rsidRDefault="00CF63E2">
            <w:pPr>
              <w:rPr>
                <w:sz w:val="22"/>
                <w:szCs w:val="22"/>
              </w:rPr>
            </w:pPr>
            <w:r w:rsidRPr="00CF63E2">
              <w:rPr>
                <w:b/>
                <w:bCs/>
                <w:sz w:val="22"/>
                <w:szCs w:val="22"/>
                <w:shd w:val="clear" w:color="auto" w:fill="FFFFFF"/>
              </w:rPr>
              <w:t>Ever on</w:t>
            </w:r>
            <w:r>
              <w:rPr>
                <w:b/>
                <w:bCs/>
                <w:sz w:val="22"/>
                <w:szCs w:val="22"/>
                <w:shd w:val="clear" w:color="auto" w:fill="FFFFFF"/>
              </w:rPr>
              <w:t xml:space="preserve"> </w:t>
            </w:r>
            <w:r w:rsidRPr="00CF63E2">
              <w:rPr>
                <w:b/>
                <w:bCs/>
                <w:sz w:val="22"/>
                <w:szCs w:val="22"/>
                <w:shd w:val="clear" w:color="auto" w:fill="FFFFFF"/>
              </w:rPr>
              <w:t>clozapine vs ever on another antipsychotic</w:t>
            </w:r>
            <w:r w:rsidR="00070D4B">
              <w:rPr>
                <w:b/>
                <w:bCs/>
                <w:sz w:val="22"/>
                <w:szCs w:val="22"/>
                <w:shd w:val="clear" w:color="auto" w:fill="FFFFFF"/>
              </w:rPr>
              <w:t xml:space="preserve"> (Jan 2013–Apr 2021)</w:t>
            </w:r>
          </w:p>
        </w:tc>
        <w:tc>
          <w:tcPr>
            <w:tcW w:w="1340" w:type="dxa"/>
          </w:tcPr>
          <w:p w14:paraId="459D4A65" w14:textId="77777777" w:rsidR="00CF79FF" w:rsidRDefault="00070D4B">
            <w:pPr>
              <w:rPr>
                <w:sz w:val="22"/>
                <w:szCs w:val="22"/>
                <w:highlight w:val="white"/>
              </w:rPr>
            </w:pPr>
            <w:r>
              <w:rPr>
                <w:sz w:val="22"/>
                <w:szCs w:val="22"/>
              </w:rPr>
              <w:t>13,726</w:t>
            </w:r>
          </w:p>
        </w:tc>
        <w:tc>
          <w:tcPr>
            <w:tcW w:w="1539" w:type="dxa"/>
          </w:tcPr>
          <w:p w14:paraId="3E3BF143" w14:textId="77777777" w:rsidR="00CF79FF" w:rsidRDefault="00070D4B">
            <w:pPr>
              <w:rPr>
                <w:sz w:val="22"/>
                <w:szCs w:val="22"/>
              </w:rPr>
            </w:pPr>
            <w:r>
              <w:rPr>
                <w:sz w:val="22"/>
                <w:szCs w:val="22"/>
              </w:rPr>
              <w:t>778 (6%)</w:t>
            </w:r>
          </w:p>
        </w:tc>
        <w:tc>
          <w:tcPr>
            <w:tcW w:w="1494" w:type="dxa"/>
          </w:tcPr>
          <w:p w14:paraId="1CA378C0" w14:textId="77777777" w:rsidR="00CF79FF" w:rsidRDefault="00070D4B">
            <w:pPr>
              <w:rPr>
                <w:sz w:val="22"/>
                <w:szCs w:val="22"/>
                <w:highlight w:val="white"/>
              </w:rPr>
            </w:pPr>
            <w:r>
              <w:rPr>
                <w:sz w:val="22"/>
                <w:szCs w:val="22"/>
              </w:rPr>
              <w:t>1,831 (13%)</w:t>
            </w:r>
          </w:p>
        </w:tc>
        <w:tc>
          <w:tcPr>
            <w:tcW w:w="1905" w:type="dxa"/>
            <w:shd w:val="clear" w:color="auto" w:fill="auto"/>
          </w:tcPr>
          <w:p w14:paraId="465C1652" w14:textId="77777777" w:rsidR="00CF79FF" w:rsidRDefault="00070D4B">
            <w:pPr>
              <w:rPr>
                <w:sz w:val="22"/>
                <w:szCs w:val="22"/>
              </w:rPr>
            </w:pPr>
            <w:r>
              <w:rPr>
                <w:sz w:val="22"/>
                <w:szCs w:val="22"/>
              </w:rPr>
              <w:t>1.95 (1.67-2.28)</w:t>
            </w:r>
          </w:p>
          <w:p w14:paraId="55D126F2" w14:textId="77777777" w:rsidR="00CF79FF" w:rsidRDefault="00070D4B">
            <w:pPr>
              <w:rPr>
                <w:sz w:val="22"/>
                <w:szCs w:val="22"/>
              </w:rPr>
            </w:pPr>
            <w:r>
              <w:rPr>
                <w:sz w:val="22"/>
                <w:szCs w:val="22"/>
                <w:shd w:val="clear" w:color="auto" w:fill="FFFFFF"/>
              </w:rPr>
              <w:t>p &lt; 2×10</w:t>
            </w:r>
            <w:r>
              <w:rPr>
                <w:sz w:val="22"/>
                <w:szCs w:val="22"/>
                <w:shd w:val="clear" w:color="auto" w:fill="FFFFFF"/>
                <w:vertAlign w:val="superscript"/>
              </w:rPr>
              <w:t>–16</w:t>
            </w:r>
          </w:p>
        </w:tc>
        <w:tc>
          <w:tcPr>
            <w:tcW w:w="1905" w:type="dxa"/>
          </w:tcPr>
          <w:p w14:paraId="53D005FA" w14:textId="77777777" w:rsidR="00CF79FF" w:rsidRDefault="00070D4B">
            <w:pPr>
              <w:rPr>
                <w:sz w:val="22"/>
                <w:szCs w:val="22"/>
              </w:rPr>
            </w:pPr>
            <w:r>
              <w:rPr>
                <w:sz w:val="22"/>
                <w:szCs w:val="22"/>
              </w:rPr>
              <w:t>1.99 (1.70–2.33)</w:t>
            </w:r>
          </w:p>
          <w:p w14:paraId="6E822F85" w14:textId="77777777" w:rsidR="00CF79FF" w:rsidRDefault="00070D4B">
            <w:pPr>
              <w:rPr>
                <w:sz w:val="22"/>
                <w:szCs w:val="22"/>
              </w:rPr>
            </w:pPr>
            <w:r>
              <w:rPr>
                <w:sz w:val="22"/>
                <w:szCs w:val="22"/>
                <w:shd w:val="clear" w:color="auto" w:fill="FFFFFF"/>
              </w:rPr>
              <w:t>p &lt; 2×10</w:t>
            </w:r>
            <w:r>
              <w:rPr>
                <w:sz w:val="22"/>
                <w:szCs w:val="22"/>
                <w:shd w:val="clear" w:color="auto" w:fill="FFFFFF"/>
                <w:vertAlign w:val="superscript"/>
              </w:rPr>
              <w:t>–16</w:t>
            </w:r>
          </w:p>
        </w:tc>
        <w:tc>
          <w:tcPr>
            <w:tcW w:w="1905" w:type="dxa"/>
          </w:tcPr>
          <w:p w14:paraId="1365EA25" w14:textId="77777777" w:rsidR="00CF79FF" w:rsidRDefault="00070D4B">
            <w:pPr>
              <w:rPr>
                <w:sz w:val="22"/>
                <w:szCs w:val="22"/>
              </w:rPr>
            </w:pPr>
            <w:r>
              <w:rPr>
                <w:sz w:val="22"/>
                <w:szCs w:val="22"/>
              </w:rPr>
              <w:t>1.32 (1.10–1.59)</w:t>
            </w:r>
          </w:p>
          <w:p w14:paraId="47D4456A" w14:textId="77777777" w:rsidR="00CF79FF" w:rsidRDefault="00070D4B">
            <w:pPr>
              <w:rPr>
                <w:sz w:val="22"/>
                <w:szCs w:val="22"/>
                <w:highlight w:val="white"/>
              </w:rPr>
            </w:pPr>
            <w:r>
              <w:rPr>
                <w:sz w:val="22"/>
                <w:szCs w:val="22"/>
              </w:rPr>
              <w:t>p = 0.002</w:t>
            </w:r>
          </w:p>
        </w:tc>
      </w:tr>
      <w:tr w:rsidR="00CF79FF" w14:paraId="3856FC81" w14:textId="77777777">
        <w:tc>
          <w:tcPr>
            <w:tcW w:w="2748" w:type="dxa"/>
          </w:tcPr>
          <w:p w14:paraId="4E3ED5D3" w14:textId="6E9767E6" w:rsidR="00CF79FF" w:rsidRDefault="00CF63E2">
            <w:pPr>
              <w:rPr>
                <w:b/>
                <w:bCs/>
                <w:sz w:val="22"/>
                <w:szCs w:val="22"/>
                <w:highlight w:val="white"/>
              </w:rPr>
            </w:pPr>
            <w:r w:rsidRPr="00CF63E2">
              <w:rPr>
                <w:b/>
                <w:bCs/>
                <w:sz w:val="22"/>
                <w:szCs w:val="22"/>
                <w:shd w:val="clear" w:color="auto" w:fill="FFFFFF"/>
              </w:rPr>
              <w:t>Currently on clozapine versus currently on another antipsychotic</w:t>
            </w:r>
            <w:r w:rsidRPr="00CF63E2">
              <w:rPr>
                <w:b/>
                <w:bCs/>
                <w:sz w:val="22"/>
                <w:szCs w:val="22"/>
                <w:shd w:val="clear" w:color="auto" w:fill="FFFFFF"/>
              </w:rPr>
              <w:t xml:space="preserve"> </w:t>
            </w:r>
            <w:r w:rsidR="00070D4B">
              <w:rPr>
                <w:b/>
                <w:bCs/>
                <w:sz w:val="22"/>
                <w:szCs w:val="22"/>
                <w:shd w:val="clear" w:color="auto" w:fill="FFFFFF"/>
              </w:rPr>
              <w:t>(May 2019–Apr 2021)</w:t>
            </w:r>
          </w:p>
        </w:tc>
        <w:tc>
          <w:tcPr>
            <w:tcW w:w="1340" w:type="dxa"/>
          </w:tcPr>
          <w:p w14:paraId="5B9DE45B" w14:textId="77777777" w:rsidR="00CF79FF" w:rsidRDefault="00070D4B">
            <w:pPr>
              <w:rPr>
                <w:sz w:val="22"/>
                <w:szCs w:val="22"/>
                <w:highlight w:val="white"/>
              </w:rPr>
            </w:pPr>
            <w:r>
              <w:rPr>
                <w:sz w:val="22"/>
                <w:szCs w:val="22"/>
                <w:shd w:val="clear" w:color="auto" w:fill="FFFFFF"/>
              </w:rPr>
              <w:t>13,268</w:t>
            </w:r>
          </w:p>
        </w:tc>
        <w:tc>
          <w:tcPr>
            <w:tcW w:w="1539" w:type="dxa"/>
          </w:tcPr>
          <w:p w14:paraId="534E55B1" w14:textId="77777777" w:rsidR="00CF79FF" w:rsidRDefault="00070D4B">
            <w:pPr>
              <w:rPr>
                <w:sz w:val="22"/>
                <w:szCs w:val="22"/>
                <w:highlight w:val="white"/>
              </w:rPr>
            </w:pPr>
            <w:r>
              <w:rPr>
                <w:sz w:val="22"/>
                <w:szCs w:val="22"/>
              </w:rPr>
              <w:t>544 (4%)</w:t>
            </w:r>
          </w:p>
        </w:tc>
        <w:tc>
          <w:tcPr>
            <w:tcW w:w="1494" w:type="dxa"/>
          </w:tcPr>
          <w:p w14:paraId="7F3A50F2" w14:textId="77777777" w:rsidR="00CF79FF" w:rsidRDefault="00070D4B">
            <w:pPr>
              <w:rPr>
                <w:sz w:val="22"/>
                <w:szCs w:val="22"/>
                <w:highlight w:val="white"/>
              </w:rPr>
            </w:pPr>
            <w:r>
              <w:rPr>
                <w:sz w:val="22"/>
                <w:szCs w:val="22"/>
              </w:rPr>
              <w:t>1,823 (14%)</w:t>
            </w:r>
          </w:p>
        </w:tc>
        <w:tc>
          <w:tcPr>
            <w:tcW w:w="1905" w:type="dxa"/>
            <w:shd w:val="clear" w:color="auto" w:fill="auto"/>
          </w:tcPr>
          <w:p w14:paraId="7B405875" w14:textId="77777777" w:rsidR="00CF79FF" w:rsidRDefault="00070D4B">
            <w:pPr>
              <w:rPr>
                <w:sz w:val="22"/>
                <w:szCs w:val="22"/>
                <w:highlight w:val="white"/>
              </w:rPr>
            </w:pPr>
            <w:r>
              <w:rPr>
                <w:sz w:val="22"/>
                <w:szCs w:val="22"/>
              </w:rPr>
              <w:t>1.69 (1.36–2.08)</w:t>
            </w:r>
          </w:p>
          <w:p w14:paraId="6E8E8D24" w14:textId="77777777" w:rsidR="00CF79FF" w:rsidRDefault="00070D4B">
            <w:pPr>
              <w:rPr>
                <w:sz w:val="22"/>
                <w:szCs w:val="22"/>
              </w:rPr>
            </w:pPr>
            <w:r>
              <w:rPr>
                <w:sz w:val="22"/>
                <w:szCs w:val="22"/>
                <w:highlight w:val="white"/>
              </w:rPr>
              <w:t>p = 1.48</w:t>
            </w:r>
            <w:r>
              <w:rPr>
                <w:sz w:val="22"/>
                <w:szCs w:val="22"/>
                <w:highlight w:val="white"/>
                <w:shd w:val="clear" w:color="auto" w:fill="FFFFFF"/>
              </w:rPr>
              <w:t>×10</w:t>
            </w:r>
            <w:r>
              <w:rPr>
                <w:sz w:val="22"/>
                <w:szCs w:val="22"/>
                <w:highlight w:val="white"/>
                <w:shd w:val="clear" w:color="auto" w:fill="FFFFFF"/>
                <w:vertAlign w:val="superscript"/>
              </w:rPr>
              <w:t>–</w:t>
            </w:r>
            <w:r>
              <w:rPr>
                <w:sz w:val="22"/>
                <w:szCs w:val="22"/>
                <w:highlight w:val="white"/>
                <w:vertAlign w:val="superscript"/>
              </w:rPr>
              <w:t>6</w:t>
            </w:r>
          </w:p>
        </w:tc>
        <w:tc>
          <w:tcPr>
            <w:tcW w:w="1905" w:type="dxa"/>
          </w:tcPr>
          <w:p w14:paraId="6DC99C08" w14:textId="77777777" w:rsidR="00CF79FF" w:rsidRDefault="00070D4B">
            <w:pPr>
              <w:rPr>
                <w:sz w:val="22"/>
                <w:szCs w:val="22"/>
                <w:highlight w:val="white"/>
              </w:rPr>
            </w:pPr>
            <w:r>
              <w:rPr>
                <w:sz w:val="22"/>
                <w:szCs w:val="22"/>
              </w:rPr>
              <w:t>1.72 (1.38–2.13)</w:t>
            </w:r>
          </w:p>
          <w:p w14:paraId="6A73C5C8" w14:textId="77777777" w:rsidR="00CF79FF" w:rsidRDefault="00070D4B">
            <w:pPr>
              <w:rPr>
                <w:sz w:val="22"/>
                <w:szCs w:val="22"/>
              </w:rPr>
            </w:pPr>
            <w:r>
              <w:rPr>
                <w:sz w:val="22"/>
                <w:szCs w:val="22"/>
                <w:highlight w:val="white"/>
              </w:rPr>
              <w:t>p = 7.46</w:t>
            </w:r>
            <w:r>
              <w:rPr>
                <w:sz w:val="22"/>
                <w:szCs w:val="22"/>
                <w:highlight w:val="white"/>
                <w:shd w:val="clear" w:color="auto" w:fill="FFFFFF"/>
              </w:rPr>
              <w:t>×10</w:t>
            </w:r>
            <w:r>
              <w:rPr>
                <w:sz w:val="22"/>
                <w:szCs w:val="22"/>
                <w:highlight w:val="white"/>
                <w:shd w:val="clear" w:color="auto" w:fill="FFFFFF"/>
                <w:vertAlign w:val="superscript"/>
              </w:rPr>
              <w:t>–</w:t>
            </w:r>
            <w:r>
              <w:rPr>
                <w:sz w:val="22"/>
                <w:szCs w:val="22"/>
                <w:highlight w:val="white"/>
                <w:vertAlign w:val="superscript"/>
              </w:rPr>
              <w:t>7</w:t>
            </w:r>
          </w:p>
        </w:tc>
        <w:tc>
          <w:tcPr>
            <w:tcW w:w="1905" w:type="dxa"/>
          </w:tcPr>
          <w:p w14:paraId="767772A1" w14:textId="77777777" w:rsidR="00CF79FF" w:rsidRDefault="00070D4B">
            <w:pPr>
              <w:rPr>
                <w:sz w:val="22"/>
                <w:szCs w:val="22"/>
              </w:rPr>
            </w:pPr>
            <w:r>
              <w:rPr>
                <w:sz w:val="22"/>
                <w:szCs w:val="22"/>
              </w:rPr>
              <w:t>1.05 (0.82–1.33)</w:t>
            </w:r>
          </w:p>
          <w:p w14:paraId="5F7576AF" w14:textId="77777777" w:rsidR="00CF79FF" w:rsidRDefault="00070D4B">
            <w:pPr>
              <w:rPr>
                <w:sz w:val="22"/>
                <w:szCs w:val="22"/>
              </w:rPr>
            </w:pPr>
            <w:r>
              <w:rPr>
                <w:sz w:val="22"/>
                <w:szCs w:val="22"/>
              </w:rPr>
              <w:t>p = 0.71</w:t>
            </w:r>
          </w:p>
        </w:tc>
      </w:tr>
    </w:tbl>
    <w:p w14:paraId="7C21AE09" w14:textId="77777777" w:rsidR="00CF79FF" w:rsidRDefault="00CF79FF"/>
    <w:p w14:paraId="331E92EB" w14:textId="77777777" w:rsidR="00CF79FF" w:rsidRDefault="00070D4B">
      <w:pPr>
        <w:rPr>
          <w:rFonts w:asciiTheme="majorHAnsi" w:eastAsiaTheme="majorEastAsia" w:hAnsiTheme="majorHAnsi" w:cstheme="majorBidi"/>
          <w:color w:val="2F5496" w:themeColor="accent1" w:themeShade="BF"/>
          <w:sz w:val="26"/>
          <w:szCs w:val="26"/>
        </w:rPr>
      </w:pPr>
      <w:r>
        <w:br w:type="page"/>
      </w:r>
    </w:p>
    <w:p w14:paraId="36F720C1" w14:textId="77777777" w:rsidR="00CF79FF" w:rsidRDefault="00070D4B">
      <w:pPr>
        <w:pStyle w:val="Heading2"/>
        <w:rPr>
          <w:highlight w:val="white"/>
        </w:rPr>
      </w:pPr>
      <w:bookmarkStart w:id="2" w:name="_Toc101967780"/>
      <w:r>
        <w:lastRenderedPageBreak/>
        <w:t xml:space="preserve">Supplementary Table 2: If </w:t>
      </w:r>
      <w:r>
        <w:rPr>
          <w:shd w:val="clear" w:color="auto" w:fill="FFFFFF"/>
        </w:rPr>
        <w:t>tested for COVID-19, were</w:t>
      </w:r>
      <w:r>
        <w:t xml:space="preserve"> clozapine-treated patients more likely to test positive compared with other antipsychotic-treated patients?</w:t>
      </w:r>
      <w:bookmarkEnd w:id="2"/>
    </w:p>
    <w:p w14:paraId="41B06EB8" w14:textId="77777777" w:rsidR="00CF79FF" w:rsidRDefault="00CF79FF"/>
    <w:tbl>
      <w:tblPr>
        <w:tblStyle w:val="TableGrid"/>
        <w:tblW w:w="12732" w:type="dxa"/>
        <w:tblLook w:val="04A0" w:firstRow="1" w:lastRow="0" w:firstColumn="1" w:lastColumn="0" w:noHBand="0" w:noVBand="1"/>
      </w:tblPr>
      <w:tblGrid>
        <w:gridCol w:w="2830"/>
        <w:gridCol w:w="1007"/>
        <w:gridCol w:w="1470"/>
        <w:gridCol w:w="1396"/>
        <w:gridCol w:w="2010"/>
        <w:gridCol w:w="2009"/>
        <w:gridCol w:w="2010"/>
      </w:tblGrid>
      <w:tr w:rsidR="00CF79FF" w14:paraId="68428116" w14:textId="77777777" w:rsidTr="00CF63E2">
        <w:tc>
          <w:tcPr>
            <w:tcW w:w="6703" w:type="dxa"/>
            <w:gridSpan w:val="4"/>
          </w:tcPr>
          <w:p w14:paraId="2894642F" w14:textId="77777777" w:rsidR="00CF79FF" w:rsidRDefault="00CF79FF">
            <w:pPr>
              <w:pStyle w:val="NormalWeb"/>
              <w:spacing w:before="280" w:beforeAutospacing="0" w:after="280" w:afterAutospacing="0"/>
              <w:rPr>
                <w:b/>
                <w:bCs/>
                <w:sz w:val="22"/>
                <w:szCs w:val="22"/>
                <w:highlight w:val="white"/>
              </w:rPr>
            </w:pPr>
          </w:p>
        </w:tc>
        <w:tc>
          <w:tcPr>
            <w:tcW w:w="6029" w:type="dxa"/>
            <w:gridSpan w:val="3"/>
            <w:shd w:val="clear" w:color="auto" w:fill="auto"/>
          </w:tcPr>
          <w:p w14:paraId="5FD422A8" w14:textId="77777777" w:rsidR="00CF79FF" w:rsidRDefault="00070D4B">
            <w:pPr>
              <w:pStyle w:val="NormalWeb"/>
              <w:spacing w:before="280" w:beforeAutospacing="0" w:after="280" w:afterAutospacing="0"/>
              <w:jc w:val="center"/>
              <w:rPr>
                <w:b/>
                <w:bCs/>
                <w:sz w:val="22"/>
                <w:szCs w:val="22"/>
              </w:rPr>
            </w:pPr>
            <w:r>
              <w:rPr>
                <w:b/>
                <w:bCs/>
                <w:sz w:val="22"/>
                <w:szCs w:val="22"/>
              </w:rPr>
              <w:t xml:space="preserve">OR (95% CI) </w:t>
            </w:r>
            <w:r>
              <w:rPr>
                <w:b/>
                <w:bCs/>
                <w:sz w:val="22"/>
                <w:szCs w:val="22"/>
                <w:shd w:val="clear" w:color="auto" w:fill="FFFFFF"/>
              </w:rPr>
              <w:t>for positive COVID-19 test</w:t>
            </w:r>
          </w:p>
        </w:tc>
      </w:tr>
      <w:tr w:rsidR="00CF79FF" w14:paraId="1C16D5BD" w14:textId="77777777" w:rsidTr="00CF63E2">
        <w:tc>
          <w:tcPr>
            <w:tcW w:w="2830" w:type="dxa"/>
          </w:tcPr>
          <w:p w14:paraId="5A5F2512" w14:textId="77777777" w:rsidR="00CF79FF" w:rsidRDefault="00CF79FF">
            <w:pPr>
              <w:rPr>
                <w:b/>
                <w:bCs/>
                <w:sz w:val="22"/>
                <w:szCs w:val="22"/>
                <w:highlight w:val="white"/>
              </w:rPr>
            </w:pPr>
          </w:p>
        </w:tc>
        <w:tc>
          <w:tcPr>
            <w:tcW w:w="1007" w:type="dxa"/>
          </w:tcPr>
          <w:p w14:paraId="0F1E1BF4" w14:textId="77777777" w:rsidR="00CF79FF" w:rsidRDefault="00070D4B">
            <w:pPr>
              <w:rPr>
                <w:sz w:val="22"/>
                <w:szCs w:val="22"/>
              </w:rPr>
            </w:pPr>
            <w:r>
              <w:rPr>
                <w:b/>
                <w:bCs/>
                <w:sz w:val="22"/>
                <w:szCs w:val="22"/>
              </w:rPr>
              <w:t xml:space="preserve">Total sample, N </w:t>
            </w:r>
          </w:p>
        </w:tc>
        <w:tc>
          <w:tcPr>
            <w:tcW w:w="1470" w:type="dxa"/>
          </w:tcPr>
          <w:p w14:paraId="11230F26" w14:textId="77777777" w:rsidR="00CF79FF" w:rsidRDefault="00070D4B">
            <w:pPr>
              <w:rPr>
                <w:sz w:val="22"/>
                <w:szCs w:val="22"/>
              </w:rPr>
            </w:pPr>
            <w:r>
              <w:rPr>
                <w:b/>
                <w:bCs/>
                <w:sz w:val="22"/>
                <w:szCs w:val="22"/>
              </w:rPr>
              <w:t xml:space="preserve">Clozapine treatment, </w:t>
            </w:r>
            <w:r>
              <w:rPr>
                <w:b/>
                <w:bCs/>
                <w:sz w:val="22"/>
                <w:szCs w:val="22"/>
                <w:shd w:val="clear" w:color="auto" w:fill="FFFFFF"/>
              </w:rPr>
              <w:t>N (% of total sample)</w:t>
            </w:r>
          </w:p>
        </w:tc>
        <w:tc>
          <w:tcPr>
            <w:tcW w:w="1396" w:type="dxa"/>
          </w:tcPr>
          <w:p w14:paraId="0908DE6E" w14:textId="77777777" w:rsidR="00CF79FF" w:rsidRDefault="00070D4B">
            <w:pPr>
              <w:rPr>
                <w:sz w:val="22"/>
                <w:szCs w:val="22"/>
              </w:rPr>
            </w:pPr>
            <w:r>
              <w:rPr>
                <w:b/>
                <w:bCs/>
                <w:sz w:val="22"/>
                <w:szCs w:val="22"/>
                <w:shd w:val="clear" w:color="auto" w:fill="FFFFFF"/>
              </w:rPr>
              <w:t>Had positive Covid test, N (% of total sample)</w:t>
            </w:r>
          </w:p>
        </w:tc>
        <w:tc>
          <w:tcPr>
            <w:tcW w:w="2010" w:type="dxa"/>
            <w:shd w:val="clear" w:color="auto" w:fill="auto"/>
          </w:tcPr>
          <w:p w14:paraId="3449C939" w14:textId="77777777" w:rsidR="00CF79FF" w:rsidRDefault="00070D4B">
            <w:pPr>
              <w:rPr>
                <w:sz w:val="22"/>
                <w:szCs w:val="22"/>
              </w:rPr>
            </w:pPr>
            <w:r>
              <w:rPr>
                <w:b/>
                <w:bCs/>
                <w:sz w:val="22"/>
                <w:szCs w:val="22"/>
              </w:rPr>
              <w:t>Unadjusted analysis</w:t>
            </w:r>
          </w:p>
        </w:tc>
        <w:tc>
          <w:tcPr>
            <w:tcW w:w="2009" w:type="dxa"/>
          </w:tcPr>
          <w:p w14:paraId="0DB97071" w14:textId="77777777" w:rsidR="00CF79FF" w:rsidRDefault="00070D4B">
            <w:pPr>
              <w:rPr>
                <w:sz w:val="22"/>
                <w:szCs w:val="22"/>
              </w:rPr>
            </w:pPr>
            <w:r>
              <w:rPr>
                <w:b/>
                <w:bCs/>
                <w:sz w:val="22"/>
                <w:szCs w:val="22"/>
              </w:rPr>
              <w:t xml:space="preserve">Adjusted for </w:t>
            </w:r>
            <w:r>
              <w:rPr>
                <w:b/>
                <w:bCs/>
                <w:sz w:val="22"/>
                <w:szCs w:val="22"/>
                <w:shd w:val="clear" w:color="auto" w:fill="FFFFFF"/>
              </w:rPr>
              <w:t>age, sex, and ethnicity</w:t>
            </w:r>
          </w:p>
        </w:tc>
        <w:tc>
          <w:tcPr>
            <w:tcW w:w="2010" w:type="dxa"/>
          </w:tcPr>
          <w:p w14:paraId="1E1B65A3" w14:textId="5E52FBF2" w:rsidR="00CF79FF" w:rsidRDefault="00070D4B">
            <w:pPr>
              <w:rPr>
                <w:sz w:val="22"/>
                <w:szCs w:val="22"/>
              </w:rPr>
            </w:pPr>
            <w:r>
              <w:rPr>
                <w:b/>
                <w:bCs/>
                <w:sz w:val="22"/>
                <w:szCs w:val="22"/>
              </w:rPr>
              <w:t>Additional adjustment for</w:t>
            </w:r>
            <w:r>
              <w:rPr>
                <w:b/>
                <w:bCs/>
                <w:sz w:val="22"/>
                <w:szCs w:val="22"/>
                <w:shd w:val="clear" w:color="auto" w:fill="FFFFFF"/>
              </w:rPr>
              <w:t xml:space="preserve"> </w:t>
            </w:r>
            <w:r>
              <w:rPr>
                <w:b/>
                <w:bCs/>
                <w:sz w:val="22"/>
                <w:szCs w:val="22"/>
              </w:rPr>
              <w:t>F20</w:t>
            </w:r>
            <w:r w:rsidR="00CF63E2">
              <w:rPr>
                <w:b/>
                <w:bCs/>
                <w:sz w:val="22"/>
                <w:szCs w:val="22"/>
              </w:rPr>
              <w:t>x</w:t>
            </w:r>
            <w:r>
              <w:rPr>
                <w:b/>
                <w:bCs/>
                <w:sz w:val="22"/>
                <w:szCs w:val="22"/>
              </w:rPr>
              <w:t xml:space="preserve"> diagnosis</w:t>
            </w:r>
          </w:p>
        </w:tc>
      </w:tr>
      <w:tr w:rsidR="00CF79FF" w14:paraId="3D0ADC11" w14:textId="77777777" w:rsidTr="00CF63E2">
        <w:tc>
          <w:tcPr>
            <w:tcW w:w="2830" w:type="dxa"/>
          </w:tcPr>
          <w:p w14:paraId="33127DFD" w14:textId="535708C9" w:rsidR="00CF79FF" w:rsidRDefault="00CF63E2">
            <w:pPr>
              <w:rPr>
                <w:b/>
                <w:bCs/>
                <w:sz w:val="22"/>
                <w:szCs w:val="22"/>
                <w:highlight w:val="white"/>
              </w:rPr>
            </w:pPr>
            <w:r w:rsidRPr="00CF63E2">
              <w:rPr>
                <w:b/>
                <w:bCs/>
                <w:sz w:val="22"/>
                <w:szCs w:val="22"/>
                <w:shd w:val="clear" w:color="auto" w:fill="FFFFFF"/>
              </w:rPr>
              <w:t>Ever on</w:t>
            </w:r>
            <w:r>
              <w:rPr>
                <w:b/>
                <w:bCs/>
                <w:sz w:val="22"/>
                <w:szCs w:val="22"/>
                <w:shd w:val="clear" w:color="auto" w:fill="FFFFFF"/>
              </w:rPr>
              <w:t xml:space="preserve"> </w:t>
            </w:r>
            <w:r w:rsidRPr="00CF63E2">
              <w:rPr>
                <w:b/>
                <w:bCs/>
                <w:sz w:val="22"/>
                <w:szCs w:val="22"/>
                <w:shd w:val="clear" w:color="auto" w:fill="FFFFFF"/>
              </w:rPr>
              <w:t>clozapine vs ever on another antipsychotic</w:t>
            </w:r>
            <w:r>
              <w:rPr>
                <w:b/>
                <w:bCs/>
                <w:sz w:val="22"/>
                <w:szCs w:val="22"/>
                <w:shd w:val="clear" w:color="auto" w:fill="FFFFFF"/>
              </w:rPr>
              <w:t xml:space="preserve"> </w:t>
            </w:r>
            <w:r w:rsidR="00070D4B">
              <w:rPr>
                <w:b/>
                <w:bCs/>
                <w:sz w:val="22"/>
                <w:szCs w:val="22"/>
                <w:shd w:val="clear" w:color="auto" w:fill="FFFFFF"/>
              </w:rPr>
              <w:t>(</w:t>
            </w:r>
            <w:r>
              <w:rPr>
                <w:b/>
                <w:bCs/>
                <w:sz w:val="22"/>
                <w:szCs w:val="22"/>
                <w:shd w:val="clear" w:color="auto" w:fill="FFFFFF"/>
              </w:rPr>
              <w:t>and</w:t>
            </w:r>
            <w:r w:rsidR="00070D4B">
              <w:rPr>
                <w:b/>
                <w:bCs/>
                <w:sz w:val="22"/>
                <w:szCs w:val="22"/>
                <w:shd w:val="clear" w:color="auto" w:fill="FFFFFF"/>
              </w:rPr>
              <w:t xml:space="preserve"> had a COVID-19 test)</w:t>
            </w:r>
          </w:p>
        </w:tc>
        <w:tc>
          <w:tcPr>
            <w:tcW w:w="1007" w:type="dxa"/>
          </w:tcPr>
          <w:p w14:paraId="677833F1" w14:textId="77777777" w:rsidR="00CF79FF" w:rsidRDefault="00070D4B">
            <w:pPr>
              <w:rPr>
                <w:sz w:val="22"/>
                <w:szCs w:val="22"/>
                <w:highlight w:val="white"/>
              </w:rPr>
            </w:pPr>
            <w:r>
              <w:rPr>
                <w:sz w:val="22"/>
                <w:szCs w:val="22"/>
              </w:rPr>
              <w:t>1,943</w:t>
            </w:r>
          </w:p>
        </w:tc>
        <w:tc>
          <w:tcPr>
            <w:tcW w:w="1470" w:type="dxa"/>
          </w:tcPr>
          <w:p w14:paraId="096D8703" w14:textId="77777777" w:rsidR="00CF79FF" w:rsidRDefault="00070D4B">
            <w:pPr>
              <w:rPr>
                <w:sz w:val="22"/>
                <w:szCs w:val="22"/>
              </w:rPr>
            </w:pPr>
            <w:r>
              <w:rPr>
                <w:sz w:val="22"/>
                <w:szCs w:val="22"/>
              </w:rPr>
              <w:t>233 (12%)</w:t>
            </w:r>
          </w:p>
        </w:tc>
        <w:tc>
          <w:tcPr>
            <w:tcW w:w="1396" w:type="dxa"/>
          </w:tcPr>
          <w:p w14:paraId="49E12521" w14:textId="77777777" w:rsidR="00CF79FF" w:rsidRDefault="00070D4B">
            <w:pPr>
              <w:rPr>
                <w:sz w:val="22"/>
                <w:szCs w:val="22"/>
                <w:highlight w:val="white"/>
              </w:rPr>
            </w:pPr>
            <w:r>
              <w:rPr>
                <w:sz w:val="22"/>
                <w:szCs w:val="22"/>
              </w:rPr>
              <w:t>138 (7%)</w:t>
            </w:r>
          </w:p>
        </w:tc>
        <w:tc>
          <w:tcPr>
            <w:tcW w:w="2010" w:type="dxa"/>
            <w:shd w:val="clear" w:color="auto" w:fill="auto"/>
          </w:tcPr>
          <w:p w14:paraId="5D5A2ED0" w14:textId="77777777" w:rsidR="00CF79FF" w:rsidRDefault="00070D4B">
            <w:pPr>
              <w:rPr>
                <w:sz w:val="22"/>
                <w:szCs w:val="22"/>
              </w:rPr>
            </w:pPr>
            <w:r>
              <w:rPr>
                <w:sz w:val="22"/>
                <w:szCs w:val="22"/>
              </w:rPr>
              <w:t>0.96 (0.54–1.60)</w:t>
            </w:r>
          </w:p>
          <w:p w14:paraId="67C2DADF" w14:textId="77777777" w:rsidR="00CF79FF" w:rsidRDefault="00070D4B">
            <w:pPr>
              <w:rPr>
                <w:sz w:val="22"/>
                <w:szCs w:val="22"/>
              </w:rPr>
            </w:pPr>
            <w:r>
              <w:rPr>
                <w:sz w:val="22"/>
                <w:szCs w:val="22"/>
              </w:rPr>
              <w:t>p = 0.88</w:t>
            </w:r>
          </w:p>
        </w:tc>
        <w:tc>
          <w:tcPr>
            <w:tcW w:w="2009" w:type="dxa"/>
          </w:tcPr>
          <w:p w14:paraId="395379C6" w14:textId="77777777" w:rsidR="00CF79FF" w:rsidRDefault="00070D4B">
            <w:pPr>
              <w:rPr>
                <w:sz w:val="22"/>
                <w:szCs w:val="22"/>
              </w:rPr>
            </w:pPr>
            <w:r>
              <w:rPr>
                <w:sz w:val="22"/>
                <w:szCs w:val="22"/>
              </w:rPr>
              <w:t>1.22 (0.68–2.07)</w:t>
            </w:r>
          </w:p>
          <w:p w14:paraId="527375D3" w14:textId="77777777" w:rsidR="00CF79FF" w:rsidRDefault="00070D4B">
            <w:pPr>
              <w:rPr>
                <w:sz w:val="22"/>
                <w:szCs w:val="22"/>
              </w:rPr>
            </w:pPr>
            <w:r>
              <w:rPr>
                <w:sz w:val="22"/>
                <w:szCs w:val="22"/>
              </w:rPr>
              <w:t>p = 0.48</w:t>
            </w:r>
          </w:p>
        </w:tc>
        <w:tc>
          <w:tcPr>
            <w:tcW w:w="2010" w:type="dxa"/>
          </w:tcPr>
          <w:p w14:paraId="327BF1C6" w14:textId="77777777" w:rsidR="00CF79FF" w:rsidRDefault="00070D4B">
            <w:pPr>
              <w:rPr>
                <w:sz w:val="22"/>
                <w:szCs w:val="22"/>
              </w:rPr>
            </w:pPr>
            <w:r>
              <w:rPr>
                <w:sz w:val="22"/>
                <w:szCs w:val="22"/>
              </w:rPr>
              <w:t>1.08 (0.57–1.94)</w:t>
            </w:r>
          </w:p>
          <w:p w14:paraId="57F715C4" w14:textId="77777777" w:rsidR="00CF79FF" w:rsidRDefault="00070D4B">
            <w:pPr>
              <w:rPr>
                <w:sz w:val="22"/>
                <w:szCs w:val="22"/>
                <w:highlight w:val="white"/>
              </w:rPr>
            </w:pPr>
            <w:r>
              <w:rPr>
                <w:sz w:val="22"/>
                <w:szCs w:val="22"/>
              </w:rPr>
              <w:t>p = 0.81</w:t>
            </w:r>
          </w:p>
        </w:tc>
      </w:tr>
      <w:tr w:rsidR="00CF79FF" w14:paraId="3EEB1BB6" w14:textId="77777777" w:rsidTr="00CF63E2">
        <w:tc>
          <w:tcPr>
            <w:tcW w:w="2830" w:type="dxa"/>
          </w:tcPr>
          <w:p w14:paraId="64A9462D" w14:textId="6BE4346E" w:rsidR="00CF79FF" w:rsidRDefault="00CF63E2">
            <w:pPr>
              <w:rPr>
                <w:b/>
                <w:bCs/>
                <w:sz w:val="22"/>
                <w:szCs w:val="22"/>
                <w:highlight w:val="white"/>
              </w:rPr>
            </w:pPr>
            <w:r w:rsidRPr="00CF63E2">
              <w:rPr>
                <w:b/>
                <w:bCs/>
                <w:sz w:val="22"/>
                <w:szCs w:val="22"/>
                <w:shd w:val="clear" w:color="auto" w:fill="FFFFFF"/>
              </w:rPr>
              <w:t xml:space="preserve">Currently on clozapine versus currently on another antipsychotic </w:t>
            </w:r>
            <w:r w:rsidR="00070D4B">
              <w:rPr>
                <w:b/>
                <w:bCs/>
                <w:sz w:val="22"/>
                <w:szCs w:val="22"/>
                <w:shd w:val="clear" w:color="auto" w:fill="FFFFFF"/>
              </w:rPr>
              <w:t>(</w:t>
            </w:r>
            <w:r>
              <w:rPr>
                <w:b/>
                <w:bCs/>
                <w:sz w:val="22"/>
                <w:szCs w:val="22"/>
                <w:shd w:val="clear" w:color="auto" w:fill="FFFFFF"/>
              </w:rPr>
              <w:t>and</w:t>
            </w:r>
            <w:r w:rsidR="00070D4B">
              <w:rPr>
                <w:b/>
                <w:bCs/>
                <w:sz w:val="22"/>
                <w:szCs w:val="22"/>
                <w:shd w:val="clear" w:color="auto" w:fill="FFFFFF"/>
              </w:rPr>
              <w:t xml:space="preserve"> had a COVID-19 test)</w:t>
            </w:r>
          </w:p>
        </w:tc>
        <w:tc>
          <w:tcPr>
            <w:tcW w:w="1007" w:type="dxa"/>
          </w:tcPr>
          <w:p w14:paraId="4CF6098F" w14:textId="77777777" w:rsidR="00CF79FF" w:rsidRDefault="00070D4B">
            <w:pPr>
              <w:rPr>
                <w:sz w:val="22"/>
                <w:szCs w:val="22"/>
              </w:rPr>
            </w:pPr>
            <w:r>
              <w:rPr>
                <w:sz w:val="22"/>
                <w:szCs w:val="22"/>
              </w:rPr>
              <w:t>1,823</w:t>
            </w:r>
          </w:p>
        </w:tc>
        <w:tc>
          <w:tcPr>
            <w:tcW w:w="1470" w:type="dxa"/>
          </w:tcPr>
          <w:p w14:paraId="15D98B4B" w14:textId="77777777" w:rsidR="00CF79FF" w:rsidRDefault="00070D4B">
            <w:pPr>
              <w:rPr>
                <w:sz w:val="22"/>
                <w:szCs w:val="22"/>
              </w:rPr>
            </w:pPr>
            <w:r>
              <w:rPr>
                <w:sz w:val="22"/>
                <w:szCs w:val="22"/>
              </w:rPr>
              <w:t>113 (6%)</w:t>
            </w:r>
          </w:p>
        </w:tc>
        <w:tc>
          <w:tcPr>
            <w:tcW w:w="1396" w:type="dxa"/>
          </w:tcPr>
          <w:p w14:paraId="55C175A4" w14:textId="77777777" w:rsidR="00CF79FF" w:rsidRDefault="00070D4B">
            <w:pPr>
              <w:rPr>
                <w:sz w:val="22"/>
                <w:szCs w:val="22"/>
              </w:rPr>
            </w:pPr>
            <w:r>
              <w:rPr>
                <w:sz w:val="22"/>
                <w:szCs w:val="22"/>
              </w:rPr>
              <w:t>130 (7%)</w:t>
            </w:r>
          </w:p>
        </w:tc>
        <w:tc>
          <w:tcPr>
            <w:tcW w:w="2010" w:type="dxa"/>
            <w:shd w:val="clear" w:color="auto" w:fill="auto"/>
          </w:tcPr>
          <w:p w14:paraId="79CAF3A9" w14:textId="77777777" w:rsidR="00CF79FF" w:rsidRDefault="00070D4B">
            <w:pPr>
              <w:rPr>
                <w:sz w:val="22"/>
                <w:szCs w:val="22"/>
                <w:highlight w:val="white"/>
              </w:rPr>
            </w:pPr>
            <w:r>
              <w:rPr>
                <w:sz w:val="22"/>
                <w:szCs w:val="22"/>
              </w:rPr>
              <w:t>0.99 (0.44–1.96)</w:t>
            </w:r>
          </w:p>
          <w:p w14:paraId="79F2877D" w14:textId="77777777" w:rsidR="00CF79FF" w:rsidRDefault="00070D4B">
            <w:pPr>
              <w:rPr>
                <w:sz w:val="22"/>
                <w:szCs w:val="22"/>
                <w:highlight w:val="white"/>
              </w:rPr>
            </w:pPr>
            <w:r>
              <w:rPr>
                <w:sz w:val="22"/>
                <w:szCs w:val="22"/>
                <w:highlight w:val="white"/>
              </w:rPr>
              <w:t>p = 0.98</w:t>
            </w:r>
          </w:p>
        </w:tc>
        <w:tc>
          <w:tcPr>
            <w:tcW w:w="2009" w:type="dxa"/>
          </w:tcPr>
          <w:p w14:paraId="6844B23B" w14:textId="77777777" w:rsidR="00CF79FF" w:rsidRDefault="00070D4B">
            <w:pPr>
              <w:rPr>
                <w:sz w:val="22"/>
                <w:szCs w:val="22"/>
                <w:highlight w:val="white"/>
              </w:rPr>
            </w:pPr>
            <w:r>
              <w:rPr>
                <w:sz w:val="22"/>
                <w:szCs w:val="22"/>
              </w:rPr>
              <w:t>1.22 (0.53–2.45)</w:t>
            </w:r>
          </w:p>
          <w:p w14:paraId="2E7669F6" w14:textId="77777777" w:rsidR="00CF79FF" w:rsidRDefault="00070D4B">
            <w:pPr>
              <w:rPr>
                <w:sz w:val="22"/>
                <w:szCs w:val="22"/>
              </w:rPr>
            </w:pPr>
            <w:r>
              <w:rPr>
                <w:sz w:val="22"/>
                <w:szCs w:val="22"/>
                <w:highlight w:val="white"/>
              </w:rPr>
              <w:t xml:space="preserve">p = </w:t>
            </w:r>
            <w:r>
              <w:rPr>
                <w:sz w:val="22"/>
                <w:szCs w:val="22"/>
              </w:rPr>
              <w:t>0.61</w:t>
            </w:r>
          </w:p>
        </w:tc>
        <w:tc>
          <w:tcPr>
            <w:tcW w:w="2010" w:type="dxa"/>
          </w:tcPr>
          <w:p w14:paraId="0FCBC4C2" w14:textId="77777777" w:rsidR="00CF79FF" w:rsidRDefault="00070D4B">
            <w:pPr>
              <w:rPr>
                <w:sz w:val="22"/>
                <w:szCs w:val="22"/>
                <w:highlight w:val="white"/>
              </w:rPr>
            </w:pPr>
            <w:r>
              <w:rPr>
                <w:sz w:val="22"/>
                <w:szCs w:val="22"/>
                <w:highlight w:val="white"/>
              </w:rPr>
              <w:t>1.06 (0.44–2.28)</w:t>
            </w:r>
          </w:p>
          <w:p w14:paraId="1747F768" w14:textId="77777777" w:rsidR="00CF79FF" w:rsidRDefault="00070D4B">
            <w:pPr>
              <w:rPr>
                <w:sz w:val="22"/>
                <w:szCs w:val="22"/>
                <w:highlight w:val="white"/>
              </w:rPr>
            </w:pPr>
            <w:r>
              <w:rPr>
                <w:sz w:val="22"/>
                <w:szCs w:val="22"/>
                <w:highlight w:val="white"/>
              </w:rPr>
              <w:t>p = 0.88</w:t>
            </w:r>
          </w:p>
        </w:tc>
      </w:tr>
    </w:tbl>
    <w:p w14:paraId="5C92E12B" w14:textId="77777777" w:rsidR="00CF79FF" w:rsidRDefault="00070D4B">
      <w:r>
        <w:br w:type="page"/>
      </w:r>
    </w:p>
    <w:p w14:paraId="09D5167A" w14:textId="77777777" w:rsidR="00CF79FF" w:rsidRPr="007202D9" w:rsidRDefault="00070D4B" w:rsidP="007202D9">
      <w:pPr>
        <w:pStyle w:val="Heading2"/>
      </w:pPr>
      <w:bookmarkStart w:id="3" w:name="_Toc101967781"/>
      <w:r>
        <w:lastRenderedPageBreak/>
        <w:t xml:space="preserve">Supplementary Table 3: </w:t>
      </w:r>
      <w:r w:rsidRPr="007202D9">
        <w:t>Were</w:t>
      </w:r>
      <w:r>
        <w:t xml:space="preserve"> clozapine-treated patients more likely to test positive compared with other antipsychotic-treated patients</w:t>
      </w:r>
      <w:r w:rsidRPr="007202D9">
        <w:t>, irrespective of testing rates?</w:t>
      </w:r>
      <w:bookmarkEnd w:id="3"/>
    </w:p>
    <w:p w14:paraId="4ECBF05B" w14:textId="77777777" w:rsidR="00CF79FF" w:rsidRDefault="00CF79FF"/>
    <w:tbl>
      <w:tblPr>
        <w:tblStyle w:val="TableGrid"/>
        <w:tblW w:w="12732" w:type="dxa"/>
        <w:tblLook w:val="04A0" w:firstRow="1" w:lastRow="0" w:firstColumn="1" w:lastColumn="0" w:noHBand="0" w:noVBand="1"/>
      </w:tblPr>
      <w:tblGrid>
        <w:gridCol w:w="2530"/>
        <w:gridCol w:w="1307"/>
        <w:gridCol w:w="1470"/>
        <w:gridCol w:w="1396"/>
        <w:gridCol w:w="2010"/>
        <w:gridCol w:w="2009"/>
        <w:gridCol w:w="2010"/>
      </w:tblGrid>
      <w:tr w:rsidR="00CF79FF" w14:paraId="0EE5030A" w14:textId="77777777" w:rsidTr="00CF63E2">
        <w:tc>
          <w:tcPr>
            <w:tcW w:w="6703" w:type="dxa"/>
            <w:gridSpan w:val="4"/>
          </w:tcPr>
          <w:p w14:paraId="00D0A915" w14:textId="77777777" w:rsidR="00CF79FF" w:rsidRDefault="00070D4B">
            <w:pPr>
              <w:pStyle w:val="NormalWeb"/>
              <w:spacing w:before="280" w:beforeAutospacing="0" w:after="280" w:afterAutospacing="0"/>
              <w:rPr>
                <w:b/>
                <w:bCs/>
                <w:sz w:val="22"/>
                <w:szCs w:val="22"/>
                <w:highlight w:val="white"/>
              </w:rPr>
            </w:pPr>
            <w:r>
              <w:rPr>
                <w:b/>
                <w:bCs/>
                <w:sz w:val="22"/>
                <w:szCs w:val="22"/>
              </w:rPr>
              <w:t xml:space="preserve"> </w:t>
            </w:r>
          </w:p>
        </w:tc>
        <w:tc>
          <w:tcPr>
            <w:tcW w:w="6029" w:type="dxa"/>
            <w:gridSpan w:val="3"/>
            <w:shd w:val="clear" w:color="auto" w:fill="auto"/>
          </w:tcPr>
          <w:p w14:paraId="5FF32BD2" w14:textId="77777777" w:rsidR="00CF79FF" w:rsidRDefault="00070D4B">
            <w:pPr>
              <w:pStyle w:val="NormalWeb"/>
              <w:spacing w:before="280" w:beforeAutospacing="0" w:after="280" w:afterAutospacing="0"/>
              <w:jc w:val="center"/>
              <w:rPr>
                <w:b/>
                <w:bCs/>
                <w:sz w:val="22"/>
                <w:szCs w:val="22"/>
              </w:rPr>
            </w:pPr>
            <w:r>
              <w:rPr>
                <w:b/>
                <w:bCs/>
                <w:sz w:val="22"/>
                <w:szCs w:val="22"/>
              </w:rPr>
              <w:t xml:space="preserve">OR (95% CI) </w:t>
            </w:r>
            <w:r>
              <w:rPr>
                <w:b/>
                <w:bCs/>
                <w:sz w:val="22"/>
                <w:szCs w:val="22"/>
                <w:shd w:val="clear" w:color="auto" w:fill="FFFFFF"/>
              </w:rPr>
              <w:t>for positive COVID-19 test</w:t>
            </w:r>
          </w:p>
        </w:tc>
      </w:tr>
      <w:tr w:rsidR="00CF79FF" w14:paraId="58EE6B60" w14:textId="77777777" w:rsidTr="00CF63E2">
        <w:tc>
          <w:tcPr>
            <w:tcW w:w="2530" w:type="dxa"/>
          </w:tcPr>
          <w:p w14:paraId="02B25D38" w14:textId="77777777" w:rsidR="00CF79FF" w:rsidRDefault="00CF79FF">
            <w:pPr>
              <w:pStyle w:val="NormalWeb"/>
              <w:spacing w:before="280" w:beforeAutospacing="0" w:after="280" w:afterAutospacing="0"/>
              <w:rPr>
                <w:b/>
                <w:bCs/>
                <w:sz w:val="22"/>
                <w:szCs w:val="22"/>
              </w:rPr>
            </w:pPr>
          </w:p>
        </w:tc>
        <w:tc>
          <w:tcPr>
            <w:tcW w:w="1307" w:type="dxa"/>
          </w:tcPr>
          <w:p w14:paraId="0FAEE4DE" w14:textId="77777777" w:rsidR="00CF79FF" w:rsidRDefault="00070D4B">
            <w:pPr>
              <w:pStyle w:val="NormalWeb"/>
              <w:spacing w:before="280" w:beforeAutospacing="0" w:after="280" w:afterAutospacing="0"/>
              <w:rPr>
                <w:b/>
                <w:bCs/>
                <w:sz w:val="22"/>
                <w:szCs w:val="22"/>
              </w:rPr>
            </w:pPr>
            <w:r>
              <w:rPr>
                <w:b/>
                <w:bCs/>
                <w:sz w:val="22"/>
                <w:szCs w:val="22"/>
              </w:rPr>
              <w:t xml:space="preserve">Total sample, N </w:t>
            </w:r>
          </w:p>
        </w:tc>
        <w:tc>
          <w:tcPr>
            <w:tcW w:w="1470" w:type="dxa"/>
          </w:tcPr>
          <w:p w14:paraId="438EE2FB" w14:textId="77777777" w:rsidR="00CF79FF" w:rsidRDefault="00070D4B">
            <w:pPr>
              <w:pStyle w:val="NormalWeb"/>
              <w:spacing w:before="280" w:beforeAutospacing="0" w:after="280" w:afterAutospacing="0"/>
              <w:rPr>
                <w:b/>
                <w:bCs/>
                <w:sz w:val="22"/>
                <w:szCs w:val="22"/>
              </w:rPr>
            </w:pPr>
            <w:r>
              <w:rPr>
                <w:b/>
                <w:bCs/>
                <w:sz w:val="22"/>
                <w:szCs w:val="22"/>
              </w:rPr>
              <w:t xml:space="preserve">Clozapine treatment, </w:t>
            </w:r>
            <w:r>
              <w:rPr>
                <w:b/>
                <w:bCs/>
                <w:sz w:val="22"/>
                <w:szCs w:val="22"/>
                <w:shd w:val="clear" w:color="auto" w:fill="FFFFFF"/>
              </w:rPr>
              <w:t>N (% of total sample)</w:t>
            </w:r>
          </w:p>
        </w:tc>
        <w:tc>
          <w:tcPr>
            <w:tcW w:w="1396" w:type="dxa"/>
          </w:tcPr>
          <w:p w14:paraId="5BA688DB" w14:textId="77777777" w:rsidR="00CF79FF" w:rsidRDefault="00070D4B">
            <w:pPr>
              <w:pStyle w:val="NormalWeb"/>
              <w:spacing w:before="280" w:beforeAutospacing="0" w:after="280" w:afterAutospacing="0"/>
              <w:rPr>
                <w:b/>
                <w:bCs/>
                <w:sz w:val="22"/>
                <w:szCs w:val="22"/>
                <w:highlight w:val="white"/>
              </w:rPr>
            </w:pPr>
            <w:r>
              <w:rPr>
                <w:b/>
                <w:bCs/>
                <w:sz w:val="22"/>
                <w:szCs w:val="22"/>
                <w:shd w:val="clear" w:color="auto" w:fill="FFFFFF"/>
              </w:rPr>
              <w:t>Had positive COVID-19 test, N (% of total sample)</w:t>
            </w:r>
          </w:p>
        </w:tc>
        <w:tc>
          <w:tcPr>
            <w:tcW w:w="2010" w:type="dxa"/>
            <w:shd w:val="clear" w:color="auto" w:fill="auto"/>
          </w:tcPr>
          <w:p w14:paraId="1EDD12F3" w14:textId="77777777" w:rsidR="00CF79FF" w:rsidRDefault="00070D4B">
            <w:pPr>
              <w:pStyle w:val="NormalWeb"/>
              <w:spacing w:before="280" w:beforeAutospacing="0" w:after="280" w:afterAutospacing="0"/>
              <w:rPr>
                <w:b/>
                <w:bCs/>
                <w:sz w:val="22"/>
                <w:szCs w:val="22"/>
              </w:rPr>
            </w:pPr>
            <w:r>
              <w:rPr>
                <w:b/>
                <w:bCs/>
                <w:sz w:val="22"/>
                <w:szCs w:val="22"/>
              </w:rPr>
              <w:t>Unadjusted analysis</w:t>
            </w:r>
          </w:p>
        </w:tc>
        <w:tc>
          <w:tcPr>
            <w:tcW w:w="2009" w:type="dxa"/>
          </w:tcPr>
          <w:p w14:paraId="222CC281" w14:textId="77777777" w:rsidR="00CF79FF" w:rsidRDefault="00070D4B">
            <w:pPr>
              <w:pStyle w:val="NormalWeb"/>
              <w:spacing w:before="280" w:beforeAutospacing="0" w:after="280" w:afterAutospacing="0"/>
              <w:rPr>
                <w:b/>
                <w:bCs/>
                <w:sz w:val="22"/>
                <w:szCs w:val="22"/>
              </w:rPr>
            </w:pPr>
            <w:r>
              <w:rPr>
                <w:b/>
                <w:bCs/>
                <w:sz w:val="22"/>
                <w:szCs w:val="22"/>
              </w:rPr>
              <w:t xml:space="preserve">Adjusted for </w:t>
            </w:r>
            <w:r>
              <w:rPr>
                <w:b/>
                <w:bCs/>
                <w:sz w:val="22"/>
                <w:szCs w:val="22"/>
                <w:shd w:val="clear" w:color="auto" w:fill="FFFFFF"/>
              </w:rPr>
              <w:t>age, sex, and ethnicity</w:t>
            </w:r>
          </w:p>
        </w:tc>
        <w:tc>
          <w:tcPr>
            <w:tcW w:w="2010" w:type="dxa"/>
          </w:tcPr>
          <w:p w14:paraId="2A2E9A9E" w14:textId="603DBD55" w:rsidR="00CF79FF" w:rsidRDefault="00070D4B">
            <w:pPr>
              <w:pStyle w:val="NormalWeb"/>
              <w:spacing w:before="280" w:beforeAutospacing="0" w:after="280" w:afterAutospacing="0"/>
              <w:rPr>
                <w:b/>
                <w:bCs/>
                <w:sz w:val="22"/>
                <w:szCs w:val="22"/>
              </w:rPr>
            </w:pPr>
            <w:r>
              <w:rPr>
                <w:b/>
                <w:bCs/>
                <w:sz w:val="22"/>
                <w:szCs w:val="22"/>
              </w:rPr>
              <w:t>Additional adjustment for</w:t>
            </w:r>
            <w:r>
              <w:rPr>
                <w:b/>
                <w:bCs/>
                <w:sz w:val="22"/>
                <w:szCs w:val="22"/>
                <w:shd w:val="clear" w:color="auto" w:fill="FFFFFF"/>
              </w:rPr>
              <w:t xml:space="preserve"> </w:t>
            </w:r>
            <w:r>
              <w:rPr>
                <w:b/>
                <w:bCs/>
                <w:sz w:val="22"/>
                <w:szCs w:val="22"/>
              </w:rPr>
              <w:t>F20</w:t>
            </w:r>
            <w:r w:rsidR="00CF63E2">
              <w:rPr>
                <w:b/>
                <w:bCs/>
                <w:sz w:val="22"/>
                <w:szCs w:val="22"/>
              </w:rPr>
              <w:t>x</w:t>
            </w:r>
            <w:r>
              <w:rPr>
                <w:b/>
                <w:bCs/>
                <w:sz w:val="22"/>
                <w:szCs w:val="22"/>
              </w:rPr>
              <w:t xml:space="preserve"> diagnosis</w:t>
            </w:r>
          </w:p>
        </w:tc>
      </w:tr>
      <w:tr w:rsidR="00CF63E2" w14:paraId="23AA1AD9" w14:textId="77777777" w:rsidTr="00CF63E2">
        <w:tc>
          <w:tcPr>
            <w:tcW w:w="2530" w:type="dxa"/>
          </w:tcPr>
          <w:p w14:paraId="4D9A22C2" w14:textId="2116A353" w:rsidR="00CF63E2" w:rsidRDefault="00CF63E2" w:rsidP="00CF63E2">
            <w:pPr>
              <w:rPr>
                <w:sz w:val="22"/>
                <w:szCs w:val="22"/>
              </w:rPr>
            </w:pPr>
            <w:r w:rsidRPr="00CF63E2">
              <w:rPr>
                <w:b/>
                <w:bCs/>
                <w:sz w:val="22"/>
                <w:szCs w:val="22"/>
                <w:shd w:val="clear" w:color="auto" w:fill="FFFFFF"/>
              </w:rPr>
              <w:t>Ever on</w:t>
            </w:r>
            <w:r>
              <w:rPr>
                <w:b/>
                <w:bCs/>
                <w:sz w:val="22"/>
                <w:szCs w:val="22"/>
                <w:shd w:val="clear" w:color="auto" w:fill="FFFFFF"/>
              </w:rPr>
              <w:t xml:space="preserve"> </w:t>
            </w:r>
            <w:r w:rsidRPr="00CF63E2">
              <w:rPr>
                <w:b/>
                <w:bCs/>
                <w:sz w:val="22"/>
                <w:szCs w:val="22"/>
                <w:shd w:val="clear" w:color="auto" w:fill="FFFFFF"/>
              </w:rPr>
              <w:t>clozapine vs ever on another antipsychotic</w:t>
            </w:r>
            <w:r>
              <w:rPr>
                <w:b/>
                <w:bCs/>
                <w:sz w:val="22"/>
                <w:szCs w:val="22"/>
                <w:shd w:val="clear" w:color="auto" w:fill="FFFFFF"/>
              </w:rPr>
              <w:t xml:space="preserve"> (Jan 2013–Apr 2021)</w:t>
            </w:r>
          </w:p>
        </w:tc>
        <w:tc>
          <w:tcPr>
            <w:tcW w:w="1307" w:type="dxa"/>
          </w:tcPr>
          <w:p w14:paraId="2D3440FF" w14:textId="77777777" w:rsidR="00CF63E2" w:rsidRDefault="00CF63E2" w:rsidP="00CF63E2">
            <w:pPr>
              <w:rPr>
                <w:sz w:val="22"/>
                <w:szCs w:val="22"/>
              </w:rPr>
            </w:pPr>
            <w:r>
              <w:rPr>
                <w:sz w:val="22"/>
                <w:szCs w:val="22"/>
              </w:rPr>
              <w:t xml:space="preserve">13,726 </w:t>
            </w:r>
          </w:p>
        </w:tc>
        <w:tc>
          <w:tcPr>
            <w:tcW w:w="1470" w:type="dxa"/>
          </w:tcPr>
          <w:p w14:paraId="48AE4C48" w14:textId="77777777" w:rsidR="00CF63E2" w:rsidRDefault="00CF63E2" w:rsidP="00CF63E2">
            <w:pPr>
              <w:rPr>
                <w:sz w:val="22"/>
                <w:szCs w:val="22"/>
              </w:rPr>
            </w:pPr>
            <w:r>
              <w:rPr>
                <w:sz w:val="22"/>
                <w:szCs w:val="22"/>
              </w:rPr>
              <w:t>778 (6%)</w:t>
            </w:r>
          </w:p>
        </w:tc>
        <w:tc>
          <w:tcPr>
            <w:tcW w:w="1396" w:type="dxa"/>
          </w:tcPr>
          <w:p w14:paraId="61B1313C" w14:textId="77777777" w:rsidR="00CF63E2" w:rsidRDefault="00CF63E2" w:rsidP="00CF63E2">
            <w:pPr>
              <w:rPr>
                <w:sz w:val="22"/>
                <w:szCs w:val="22"/>
              </w:rPr>
            </w:pPr>
            <w:r>
              <w:rPr>
                <w:sz w:val="22"/>
                <w:szCs w:val="22"/>
              </w:rPr>
              <w:t>138 (1%)</w:t>
            </w:r>
          </w:p>
        </w:tc>
        <w:tc>
          <w:tcPr>
            <w:tcW w:w="2010" w:type="dxa"/>
            <w:shd w:val="clear" w:color="auto" w:fill="auto"/>
          </w:tcPr>
          <w:p w14:paraId="65BAA4C9" w14:textId="77777777" w:rsidR="00CF63E2" w:rsidRDefault="00CF63E2" w:rsidP="00CF63E2">
            <w:pPr>
              <w:rPr>
                <w:sz w:val="22"/>
                <w:szCs w:val="22"/>
              </w:rPr>
            </w:pPr>
            <w:r>
              <w:rPr>
                <w:sz w:val="22"/>
                <w:szCs w:val="22"/>
              </w:rPr>
              <w:t>1.68 (0.95–2.75)</w:t>
            </w:r>
          </w:p>
          <w:p w14:paraId="445092A1" w14:textId="77777777" w:rsidR="00CF63E2" w:rsidRDefault="00CF63E2" w:rsidP="00CF63E2">
            <w:pPr>
              <w:rPr>
                <w:sz w:val="22"/>
                <w:szCs w:val="22"/>
              </w:rPr>
            </w:pPr>
            <w:r>
              <w:rPr>
                <w:sz w:val="22"/>
                <w:szCs w:val="22"/>
              </w:rPr>
              <w:t>p = 0.05</w:t>
            </w:r>
          </w:p>
        </w:tc>
        <w:tc>
          <w:tcPr>
            <w:tcW w:w="2009" w:type="dxa"/>
          </w:tcPr>
          <w:p w14:paraId="6215FBA2" w14:textId="77777777" w:rsidR="00CF63E2" w:rsidRDefault="00CF63E2" w:rsidP="00CF63E2">
            <w:pPr>
              <w:rPr>
                <w:sz w:val="22"/>
                <w:szCs w:val="22"/>
              </w:rPr>
            </w:pPr>
            <w:r>
              <w:rPr>
                <w:sz w:val="22"/>
                <w:szCs w:val="22"/>
              </w:rPr>
              <w:t>2.09 (1.18–3.48)</w:t>
            </w:r>
          </w:p>
          <w:p w14:paraId="00636B32" w14:textId="77777777" w:rsidR="00CF63E2" w:rsidRDefault="00CF63E2" w:rsidP="00CF63E2">
            <w:pPr>
              <w:rPr>
                <w:sz w:val="22"/>
                <w:szCs w:val="22"/>
              </w:rPr>
            </w:pPr>
            <w:r>
              <w:rPr>
                <w:sz w:val="22"/>
                <w:szCs w:val="22"/>
              </w:rPr>
              <w:t>p = 0.00713</w:t>
            </w:r>
          </w:p>
        </w:tc>
        <w:tc>
          <w:tcPr>
            <w:tcW w:w="2010" w:type="dxa"/>
          </w:tcPr>
          <w:p w14:paraId="0113FB84" w14:textId="77777777" w:rsidR="00CF63E2" w:rsidRDefault="00CF63E2" w:rsidP="00CF63E2">
            <w:pPr>
              <w:rPr>
                <w:sz w:val="22"/>
                <w:szCs w:val="22"/>
              </w:rPr>
            </w:pPr>
            <w:r>
              <w:rPr>
                <w:sz w:val="22"/>
                <w:szCs w:val="22"/>
              </w:rPr>
              <w:t>1.26 (0.67–2.26)</w:t>
            </w:r>
          </w:p>
          <w:p w14:paraId="76A499B8" w14:textId="77777777" w:rsidR="00CF63E2" w:rsidRDefault="00CF63E2" w:rsidP="00CF63E2">
            <w:pPr>
              <w:rPr>
                <w:sz w:val="22"/>
                <w:szCs w:val="22"/>
                <w:highlight w:val="white"/>
              </w:rPr>
            </w:pPr>
            <w:r>
              <w:rPr>
                <w:sz w:val="22"/>
                <w:szCs w:val="22"/>
              </w:rPr>
              <w:t>p = 0.46</w:t>
            </w:r>
          </w:p>
        </w:tc>
      </w:tr>
      <w:tr w:rsidR="00CF63E2" w14:paraId="1A2F4FE3" w14:textId="77777777" w:rsidTr="00CF63E2">
        <w:tc>
          <w:tcPr>
            <w:tcW w:w="2530" w:type="dxa"/>
          </w:tcPr>
          <w:p w14:paraId="4FD4BE63" w14:textId="7CFD1F80" w:rsidR="00CF63E2" w:rsidRDefault="00CF63E2" w:rsidP="00CF63E2">
            <w:pPr>
              <w:rPr>
                <w:sz w:val="22"/>
                <w:szCs w:val="22"/>
                <w:highlight w:val="white"/>
              </w:rPr>
            </w:pPr>
            <w:r w:rsidRPr="00CF63E2">
              <w:rPr>
                <w:b/>
                <w:bCs/>
                <w:sz w:val="22"/>
                <w:szCs w:val="22"/>
                <w:shd w:val="clear" w:color="auto" w:fill="FFFFFF"/>
              </w:rPr>
              <w:t xml:space="preserve">Currently on clozapine versus currently on another antipsychotic </w:t>
            </w:r>
            <w:r>
              <w:rPr>
                <w:b/>
                <w:bCs/>
                <w:sz w:val="22"/>
                <w:szCs w:val="22"/>
                <w:shd w:val="clear" w:color="auto" w:fill="FFFFFF"/>
              </w:rPr>
              <w:t>(May 2019–Apr 2021)</w:t>
            </w:r>
          </w:p>
        </w:tc>
        <w:tc>
          <w:tcPr>
            <w:tcW w:w="1307" w:type="dxa"/>
          </w:tcPr>
          <w:p w14:paraId="2F98C7B7" w14:textId="77777777" w:rsidR="00CF63E2" w:rsidRDefault="00CF63E2" w:rsidP="00CF63E2">
            <w:pPr>
              <w:rPr>
                <w:sz w:val="22"/>
                <w:szCs w:val="22"/>
              </w:rPr>
            </w:pPr>
            <w:r>
              <w:rPr>
                <w:sz w:val="22"/>
                <w:szCs w:val="22"/>
              </w:rPr>
              <w:t xml:space="preserve">13,268 </w:t>
            </w:r>
          </w:p>
        </w:tc>
        <w:tc>
          <w:tcPr>
            <w:tcW w:w="1470" w:type="dxa"/>
          </w:tcPr>
          <w:p w14:paraId="1332729A" w14:textId="77777777" w:rsidR="00CF63E2" w:rsidRDefault="00CF63E2" w:rsidP="00CF63E2">
            <w:pPr>
              <w:rPr>
                <w:sz w:val="22"/>
                <w:szCs w:val="22"/>
              </w:rPr>
            </w:pPr>
            <w:r>
              <w:rPr>
                <w:sz w:val="22"/>
                <w:szCs w:val="22"/>
              </w:rPr>
              <w:t>544 (4%)</w:t>
            </w:r>
          </w:p>
        </w:tc>
        <w:tc>
          <w:tcPr>
            <w:tcW w:w="1396" w:type="dxa"/>
          </w:tcPr>
          <w:p w14:paraId="11633D7D" w14:textId="77777777" w:rsidR="00CF63E2" w:rsidRDefault="00CF63E2" w:rsidP="00CF63E2">
            <w:pPr>
              <w:rPr>
                <w:sz w:val="22"/>
                <w:szCs w:val="22"/>
              </w:rPr>
            </w:pPr>
            <w:r>
              <w:rPr>
                <w:sz w:val="22"/>
                <w:szCs w:val="22"/>
              </w:rPr>
              <w:t>130 (1%)</w:t>
            </w:r>
          </w:p>
        </w:tc>
        <w:tc>
          <w:tcPr>
            <w:tcW w:w="2010" w:type="dxa"/>
            <w:shd w:val="clear" w:color="auto" w:fill="auto"/>
          </w:tcPr>
          <w:p w14:paraId="273A9916" w14:textId="77777777" w:rsidR="00CF63E2" w:rsidRDefault="00CF63E2" w:rsidP="00CF63E2">
            <w:pPr>
              <w:rPr>
                <w:sz w:val="22"/>
                <w:szCs w:val="22"/>
              </w:rPr>
            </w:pPr>
            <w:r>
              <w:rPr>
                <w:sz w:val="22"/>
                <w:szCs w:val="22"/>
              </w:rPr>
              <w:t>1.54 (0.69–2.97)</w:t>
            </w:r>
          </w:p>
          <w:p w14:paraId="0E0FAF12" w14:textId="77777777" w:rsidR="00CF63E2" w:rsidRDefault="00CF63E2" w:rsidP="00CF63E2">
            <w:pPr>
              <w:rPr>
                <w:sz w:val="22"/>
                <w:szCs w:val="22"/>
              </w:rPr>
            </w:pPr>
            <w:r>
              <w:rPr>
                <w:sz w:val="22"/>
                <w:szCs w:val="22"/>
              </w:rPr>
              <w:t>p = 0.24</w:t>
            </w:r>
          </w:p>
        </w:tc>
        <w:tc>
          <w:tcPr>
            <w:tcW w:w="2009" w:type="dxa"/>
          </w:tcPr>
          <w:p w14:paraId="0ABC035C" w14:textId="77777777" w:rsidR="00CF63E2" w:rsidRDefault="00CF63E2" w:rsidP="00CF63E2">
            <w:pPr>
              <w:rPr>
                <w:sz w:val="22"/>
                <w:szCs w:val="22"/>
              </w:rPr>
            </w:pPr>
            <w:r>
              <w:rPr>
                <w:sz w:val="22"/>
                <w:szCs w:val="22"/>
              </w:rPr>
              <w:t>2.0 (0.88–3.91)</w:t>
            </w:r>
          </w:p>
          <w:p w14:paraId="69D98E47" w14:textId="77777777" w:rsidR="00CF63E2" w:rsidRDefault="00CF63E2" w:rsidP="00CF63E2">
            <w:pPr>
              <w:rPr>
                <w:sz w:val="22"/>
                <w:szCs w:val="22"/>
              </w:rPr>
            </w:pPr>
            <w:r>
              <w:rPr>
                <w:sz w:val="22"/>
                <w:szCs w:val="22"/>
              </w:rPr>
              <w:t>p = 0.06</w:t>
            </w:r>
          </w:p>
        </w:tc>
        <w:tc>
          <w:tcPr>
            <w:tcW w:w="2010" w:type="dxa"/>
          </w:tcPr>
          <w:p w14:paraId="5A3419ED" w14:textId="77777777" w:rsidR="00CF63E2" w:rsidRDefault="00CF63E2" w:rsidP="00CF63E2">
            <w:pPr>
              <w:rPr>
                <w:sz w:val="22"/>
                <w:szCs w:val="22"/>
              </w:rPr>
            </w:pPr>
            <w:r>
              <w:rPr>
                <w:sz w:val="22"/>
                <w:szCs w:val="22"/>
              </w:rPr>
              <w:t>1.10 (0.46–2.33)</w:t>
            </w:r>
          </w:p>
          <w:p w14:paraId="1BD374AA" w14:textId="77777777" w:rsidR="00CF63E2" w:rsidRDefault="00CF63E2" w:rsidP="00CF63E2">
            <w:pPr>
              <w:rPr>
                <w:sz w:val="22"/>
                <w:szCs w:val="22"/>
                <w:highlight w:val="white"/>
              </w:rPr>
            </w:pPr>
            <w:r>
              <w:rPr>
                <w:sz w:val="22"/>
                <w:szCs w:val="22"/>
              </w:rPr>
              <w:t>p = 0.82</w:t>
            </w:r>
          </w:p>
        </w:tc>
      </w:tr>
    </w:tbl>
    <w:p w14:paraId="24187ECC" w14:textId="77777777" w:rsidR="00CF79FF" w:rsidRDefault="00CF79FF"/>
    <w:p w14:paraId="0FF7D13E" w14:textId="77777777" w:rsidR="00B348AE" w:rsidRDefault="00B348AE"/>
    <w:p w14:paraId="23EEAD0E" w14:textId="34F7AF58" w:rsidR="00B348AE" w:rsidRDefault="00B348AE">
      <w:r>
        <w:br w:type="page"/>
      </w:r>
    </w:p>
    <w:p w14:paraId="555D5A77" w14:textId="0ADBD0C7" w:rsidR="00B348AE" w:rsidRPr="007202D9" w:rsidRDefault="00B348AE" w:rsidP="00B348AE">
      <w:pPr>
        <w:pStyle w:val="Heading2"/>
      </w:pPr>
      <w:r>
        <w:lastRenderedPageBreak/>
        <w:t>Supplementary References</w:t>
      </w:r>
    </w:p>
    <w:p w14:paraId="1D0EA1AE" w14:textId="77777777" w:rsidR="00B348AE" w:rsidRDefault="00B348AE"/>
    <w:p w14:paraId="5673B3FA" w14:textId="77777777" w:rsidR="0085035A" w:rsidRPr="0085035A" w:rsidRDefault="00B348AE" w:rsidP="0085035A">
      <w:pPr>
        <w:pStyle w:val="EndNoteBibliography"/>
        <w:rPr>
          <w:noProof/>
        </w:rPr>
      </w:pPr>
      <w:r>
        <w:fldChar w:fldCharType="begin"/>
      </w:r>
      <w:r>
        <w:instrText xml:space="preserve"> ADDIN EN.REFLIST </w:instrText>
      </w:r>
      <w:r>
        <w:fldChar w:fldCharType="separate"/>
      </w:r>
      <w:r w:rsidR="0085035A" w:rsidRPr="0085035A">
        <w:rPr>
          <w:noProof/>
        </w:rPr>
        <w:t>1.</w:t>
      </w:r>
      <w:r w:rsidR="0085035A" w:rsidRPr="0085035A">
        <w:rPr>
          <w:noProof/>
        </w:rPr>
        <w:tab/>
        <w:t>Cardinal RN, Savulich G, Mann LM, Fernández-Egea E. Association between antipsychotic/antidepressant drug treatments and hospital admissions in schizophrenia assessed using a mental health case register. npj Schizophrenia. 2015; 1(1): 1-7.</w:t>
      </w:r>
    </w:p>
    <w:p w14:paraId="6B81B539" w14:textId="77777777" w:rsidR="0085035A" w:rsidRPr="0085035A" w:rsidRDefault="0085035A" w:rsidP="0085035A">
      <w:pPr>
        <w:pStyle w:val="EndNoteBibliography"/>
        <w:rPr>
          <w:noProof/>
        </w:rPr>
      </w:pPr>
      <w:r w:rsidRPr="0085035A">
        <w:rPr>
          <w:noProof/>
        </w:rPr>
        <w:t>2.</w:t>
      </w:r>
      <w:r w:rsidRPr="0085035A">
        <w:rPr>
          <w:noProof/>
        </w:rPr>
        <w:tab/>
        <w:t>Cardinal RN. Clinical records anonymisation and text extraction (CRATE): an open-source software system. BMC Medical Informatics and Decision Making. 2017; 17(1): 50.</w:t>
      </w:r>
    </w:p>
    <w:p w14:paraId="5AC52EF3" w14:textId="4F683337" w:rsidR="00CF79FF" w:rsidRDefault="00B348AE">
      <w:r>
        <w:fldChar w:fldCharType="end"/>
      </w:r>
    </w:p>
    <w:sectPr w:rsidR="00CF79FF">
      <w:pgSz w:w="16838" w:h="11906" w:orient="landscape"/>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rit J Psychiatr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wf0afsx7s995yef5rsprwft9px9xs2tepee&quot;&gt;general9&lt;record-ids&gt;&lt;item&gt;1167&lt;/item&gt;&lt;item&gt;1488&lt;/item&gt;&lt;/record-ids&gt;&lt;/item&gt;&lt;/Libraries&gt;"/>
  </w:docVars>
  <w:rsids>
    <w:rsidRoot w:val="00CF79FF"/>
    <w:rsid w:val="00070D4B"/>
    <w:rsid w:val="007202D9"/>
    <w:rsid w:val="0085035A"/>
    <w:rsid w:val="00B348AE"/>
    <w:rsid w:val="00CF63E2"/>
    <w:rsid w:val="00CF79F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B4E55"/>
  <w15:docId w15:val="{4F0A9870-4DBB-2146-8235-9401C8E9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A7"/>
    <w:rPr>
      <w:rFonts w:ascii="Times New Roman" w:eastAsia="Times New Roman" w:hAnsi="Times New Roman" w:cs="Times New Roman"/>
      <w:sz w:val="24"/>
      <w:lang w:eastAsia="en-GB"/>
    </w:rPr>
  </w:style>
  <w:style w:type="paragraph" w:styleId="Heading1">
    <w:name w:val="heading 1"/>
    <w:basedOn w:val="Normal"/>
    <w:next w:val="Normal"/>
    <w:link w:val="Heading1Char"/>
    <w:uiPriority w:val="9"/>
    <w:qFormat/>
    <w:rsid w:val="007202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08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F08D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2F08DC"/>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qFormat/>
    <w:rsid w:val="002F08DC"/>
    <w:rPr>
      <w:rFonts w:asciiTheme="majorHAnsi" w:eastAsiaTheme="majorEastAsia" w:hAnsiTheme="majorHAnsi" w:cstheme="majorBidi"/>
      <w:color w:val="1F3763" w:themeColor="accent1" w:themeShade="7F"/>
      <w:lang w:eastAsia="en-GB"/>
    </w:rPr>
  </w:style>
  <w:style w:type="character" w:styleId="CommentReference">
    <w:name w:val="annotation reference"/>
    <w:basedOn w:val="DefaultParagraphFont"/>
    <w:uiPriority w:val="99"/>
    <w:semiHidden/>
    <w:unhideWhenUsed/>
    <w:qFormat/>
    <w:rsid w:val="00D840E9"/>
    <w:rPr>
      <w:sz w:val="16"/>
      <w:szCs w:val="16"/>
    </w:rPr>
  </w:style>
  <w:style w:type="character" w:customStyle="1" w:styleId="CommentTextChar">
    <w:name w:val="Comment Text Char"/>
    <w:basedOn w:val="DefaultParagraphFont"/>
    <w:link w:val="CommentText"/>
    <w:uiPriority w:val="99"/>
    <w:semiHidden/>
    <w:qFormat/>
    <w:rsid w:val="00D840E9"/>
    <w:rPr>
      <w:rFonts w:ascii="Times New Roman" w:eastAsia="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qFormat/>
    <w:rsid w:val="00D840E9"/>
    <w:rPr>
      <w:rFonts w:ascii="Times New Roman" w:eastAsia="Times New Roman" w:hAnsi="Times New Roman" w:cs="Times New Roman"/>
      <w:b/>
      <w:bCs/>
      <w:sz w:val="20"/>
      <w:szCs w:val="20"/>
      <w:lang w:eastAsia="en-GB"/>
    </w:rPr>
  </w:style>
  <w:style w:type="character" w:customStyle="1" w:styleId="BalloonTextChar">
    <w:name w:val="Balloon Text Char"/>
    <w:basedOn w:val="DefaultParagraphFont"/>
    <w:link w:val="BalloonText"/>
    <w:uiPriority w:val="99"/>
    <w:semiHidden/>
    <w:qFormat/>
    <w:rsid w:val="00D840E9"/>
    <w:rPr>
      <w:rFonts w:ascii="Segoe UI" w:eastAsia="Times New Roman" w:hAnsi="Segoe UI" w:cs="Segoe UI"/>
      <w:sz w:val="18"/>
      <w:szCs w:val="18"/>
      <w:lang w:eastAsia="en-GB"/>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NormalWeb">
    <w:name w:val="Normal (Web)"/>
    <w:basedOn w:val="Normal"/>
    <w:uiPriority w:val="99"/>
    <w:unhideWhenUsed/>
    <w:qFormat/>
    <w:rsid w:val="00F14ABF"/>
    <w:pPr>
      <w:spacing w:beforeAutospacing="1" w:afterAutospacing="1"/>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CommentText">
    <w:name w:val="annotation text"/>
    <w:basedOn w:val="Normal"/>
    <w:link w:val="CommentTextChar"/>
    <w:uiPriority w:val="99"/>
    <w:semiHidden/>
    <w:unhideWhenUsed/>
    <w:qFormat/>
    <w:rsid w:val="00D840E9"/>
    <w:rPr>
      <w:sz w:val="20"/>
      <w:szCs w:val="20"/>
    </w:rPr>
  </w:style>
  <w:style w:type="paragraph" w:styleId="CommentSubject">
    <w:name w:val="annotation subject"/>
    <w:basedOn w:val="CommentText"/>
    <w:next w:val="CommentText"/>
    <w:link w:val="CommentSubjectChar"/>
    <w:uiPriority w:val="99"/>
    <w:semiHidden/>
    <w:unhideWhenUsed/>
    <w:qFormat/>
    <w:rsid w:val="00D840E9"/>
    <w:rPr>
      <w:b/>
      <w:bCs/>
    </w:rPr>
  </w:style>
  <w:style w:type="paragraph" w:styleId="BalloonText">
    <w:name w:val="Balloon Text"/>
    <w:basedOn w:val="Normal"/>
    <w:link w:val="BalloonTextChar"/>
    <w:uiPriority w:val="99"/>
    <w:semiHidden/>
    <w:unhideWhenUsed/>
    <w:qFormat/>
    <w:rsid w:val="00D840E9"/>
    <w:rPr>
      <w:rFonts w:ascii="Segoe UI" w:hAnsi="Segoe UI" w:cs="Segoe UI"/>
      <w:sz w:val="18"/>
      <w:szCs w:val="18"/>
    </w:rPr>
  </w:style>
  <w:style w:type="paragraph" w:styleId="Revision">
    <w:name w:val="Revision"/>
    <w:uiPriority w:val="99"/>
    <w:semiHidden/>
    <w:qFormat/>
    <w:rsid w:val="00012DD8"/>
    <w:rPr>
      <w:rFonts w:ascii="Times New Roman" w:eastAsia="Times New Roman" w:hAnsi="Times New Roman" w:cs="Times New Roman"/>
      <w:sz w:val="24"/>
      <w:lang w:eastAsia="en-GB"/>
    </w:rPr>
  </w:style>
  <w:style w:type="table" w:styleId="TableGrid">
    <w:name w:val="Table Grid"/>
    <w:basedOn w:val="TableNormal"/>
    <w:uiPriority w:val="39"/>
    <w:rsid w:val="00F14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qFormat/>
    <w:rsid w:val="007202D9"/>
    <w:rPr>
      <w:rFonts w:asciiTheme="majorHAnsi" w:eastAsiaTheme="majorEastAsia" w:hAnsiTheme="majorHAnsi" w:cstheme="majorBidi"/>
      <w:spacing w:val="-10"/>
      <w:kern w:val="2"/>
      <w:sz w:val="56"/>
      <w:szCs w:val="56"/>
    </w:rPr>
  </w:style>
  <w:style w:type="paragraph" w:styleId="Title">
    <w:name w:val="Title"/>
    <w:basedOn w:val="Normal"/>
    <w:next w:val="Normal"/>
    <w:link w:val="TitleChar"/>
    <w:uiPriority w:val="10"/>
    <w:qFormat/>
    <w:rsid w:val="007202D9"/>
    <w:pPr>
      <w:contextualSpacing/>
    </w:pPr>
    <w:rPr>
      <w:rFonts w:asciiTheme="majorHAnsi" w:eastAsiaTheme="majorEastAsia" w:hAnsiTheme="majorHAnsi" w:cstheme="majorBidi"/>
      <w:spacing w:val="-10"/>
      <w:kern w:val="2"/>
      <w:sz w:val="56"/>
      <w:szCs w:val="56"/>
      <w:lang w:eastAsia="en-US"/>
    </w:rPr>
  </w:style>
  <w:style w:type="character" w:customStyle="1" w:styleId="TitleChar1">
    <w:name w:val="Title Char1"/>
    <w:basedOn w:val="DefaultParagraphFont"/>
    <w:uiPriority w:val="10"/>
    <w:rsid w:val="007202D9"/>
    <w:rPr>
      <w:rFonts w:asciiTheme="majorHAnsi" w:eastAsiaTheme="majorEastAsia" w:hAnsiTheme="majorHAnsi" w:cstheme="majorBidi"/>
      <w:spacing w:val="-10"/>
      <w:kern w:val="28"/>
      <w:sz w:val="56"/>
      <w:szCs w:val="56"/>
      <w:lang w:eastAsia="en-GB"/>
    </w:rPr>
  </w:style>
  <w:style w:type="character" w:customStyle="1" w:styleId="Heading1Char">
    <w:name w:val="Heading 1 Char"/>
    <w:basedOn w:val="DefaultParagraphFont"/>
    <w:link w:val="Heading1"/>
    <w:uiPriority w:val="9"/>
    <w:rsid w:val="007202D9"/>
    <w:rPr>
      <w:rFonts w:asciiTheme="majorHAnsi" w:eastAsiaTheme="majorEastAsia" w:hAnsiTheme="majorHAnsi" w:cstheme="majorBidi"/>
      <w:color w:val="2F5496" w:themeColor="accent1" w:themeShade="BF"/>
      <w:sz w:val="32"/>
      <w:szCs w:val="32"/>
      <w:lang w:eastAsia="en-GB"/>
    </w:rPr>
  </w:style>
  <w:style w:type="paragraph" w:styleId="TOC1">
    <w:name w:val="toc 1"/>
    <w:basedOn w:val="Normal"/>
    <w:next w:val="Normal"/>
    <w:autoRedefine/>
    <w:uiPriority w:val="39"/>
    <w:unhideWhenUsed/>
    <w:rsid w:val="007202D9"/>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7202D9"/>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7202D9"/>
    <w:pPr>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7202D9"/>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7202D9"/>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7202D9"/>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7202D9"/>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7202D9"/>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7202D9"/>
    <w:pPr>
      <w:ind w:left="1680"/>
    </w:pPr>
    <w:rPr>
      <w:rFonts w:asciiTheme="minorHAnsi" w:hAnsiTheme="minorHAnsi" w:cstheme="minorHAnsi"/>
      <w:sz w:val="20"/>
      <w:szCs w:val="20"/>
    </w:rPr>
  </w:style>
  <w:style w:type="character" w:styleId="Hyperlink">
    <w:name w:val="Hyperlink"/>
    <w:basedOn w:val="DefaultParagraphFont"/>
    <w:uiPriority w:val="99"/>
    <w:unhideWhenUsed/>
    <w:rsid w:val="007202D9"/>
    <w:rPr>
      <w:color w:val="0563C1" w:themeColor="hyperlink"/>
      <w:u w:val="single"/>
    </w:rPr>
  </w:style>
  <w:style w:type="paragraph" w:customStyle="1" w:styleId="EndNoteBibliographyTitle">
    <w:name w:val="EndNote Bibliography Title"/>
    <w:basedOn w:val="Normal"/>
    <w:link w:val="EndNoteBibliographyTitleChar"/>
    <w:rsid w:val="00B348AE"/>
    <w:pPr>
      <w:jc w:val="center"/>
    </w:pPr>
  </w:style>
  <w:style w:type="character" w:customStyle="1" w:styleId="EndNoteBibliographyTitleChar">
    <w:name w:val="EndNote Bibliography Title Char"/>
    <w:basedOn w:val="DefaultParagraphFont"/>
    <w:link w:val="EndNoteBibliographyTitle"/>
    <w:rsid w:val="00B348AE"/>
    <w:rPr>
      <w:rFonts w:ascii="Times New Roman" w:eastAsia="Times New Roman" w:hAnsi="Times New Roman" w:cs="Times New Roman"/>
      <w:sz w:val="24"/>
      <w:lang w:eastAsia="en-GB"/>
    </w:rPr>
  </w:style>
  <w:style w:type="paragraph" w:customStyle="1" w:styleId="EndNoteBibliography">
    <w:name w:val="EndNote Bibliography"/>
    <w:basedOn w:val="Normal"/>
    <w:link w:val="EndNoteBibliographyChar"/>
    <w:rsid w:val="00B348AE"/>
  </w:style>
  <w:style w:type="character" w:customStyle="1" w:styleId="EndNoteBibliographyChar">
    <w:name w:val="EndNote Bibliography Char"/>
    <w:basedOn w:val="DefaultParagraphFont"/>
    <w:link w:val="EndNoteBibliography"/>
    <w:rsid w:val="00B348AE"/>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7</Pages>
  <Words>1380</Words>
  <Characters>7868</Characters>
  <Application>Microsoft Office Word</Application>
  <DocSecurity>0</DocSecurity>
  <Lines>65</Lines>
  <Paragraphs>18</Paragraphs>
  <ScaleCrop>false</ScaleCrop>
  <Company>Imperial College London</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Osimo, Emanuele F</dc:creator>
  <dc:description/>
  <cp:lastModifiedBy>Osimo, Emanuele F</cp:lastModifiedBy>
  <cp:revision>37</cp:revision>
  <dcterms:created xsi:type="dcterms:W3CDTF">2022-03-30T11:04:00Z</dcterms:created>
  <dcterms:modified xsi:type="dcterms:W3CDTF">2022-04-27T15:29:00Z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Imperial College London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