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C72809" w14:textId="606A19B3" w:rsidR="00424139" w:rsidRPr="002946C7" w:rsidRDefault="009526F1">
      <w:pPr>
        <w:rPr>
          <w:b/>
          <w:bCs/>
          <w:sz w:val="24"/>
          <w:szCs w:val="24"/>
          <w:u w:val="single"/>
        </w:rPr>
      </w:pPr>
      <w:r w:rsidRPr="002946C7">
        <w:rPr>
          <w:b/>
          <w:bCs/>
          <w:sz w:val="24"/>
          <w:szCs w:val="24"/>
          <w:u w:val="single"/>
        </w:rPr>
        <w:t>Supplementary file 2</w:t>
      </w:r>
    </w:p>
    <w:p w14:paraId="6168CF6D" w14:textId="77777777" w:rsidR="009526F1" w:rsidRPr="009526F1" w:rsidRDefault="009526F1">
      <w:pPr>
        <w:rPr>
          <w:b/>
          <w:bCs/>
          <w:u w:val="single"/>
        </w:rPr>
      </w:pPr>
    </w:p>
    <w:tbl>
      <w:tblPr>
        <w:tblStyle w:val="TableGrid"/>
        <w:tblW w:w="10343" w:type="dxa"/>
        <w:tblInd w:w="-667" w:type="dxa"/>
        <w:tblLook w:val="04A0" w:firstRow="1" w:lastRow="0" w:firstColumn="1" w:lastColumn="0" w:noHBand="0" w:noVBand="1"/>
      </w:tblPr>
      <w:tblGrid>
        <w:gridCol w:w="1701"/>
        <w:gridCol w:w="8642"/>
      </w:tblGrid>
      <w:tr w:rsidR="009526F1" w14:paraId="2FCAE3F9" w14:textId="77777777" w:rsidTr="009526F1">
        <w:tc>
          <w:tcPr>
            <w:tcW w:w="10343" w:type="dxa"/>
            <w:gridSpan w:val="2"/>
            <w:shd w:val="clear" w:color="auto" w:fill="FFF2CC" w:themeFill="accent4" w:themeFillTint="33"/>
          </w:tcPr>
          <w:p w14:paraId="64C466B7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</w:p>
          <w:p w14:paraId="77532CBA" w14:textId="77777777" w:rsidR="009526F1" w:rsidRDefault="009526F1" w:rsidP="0095714F">
            <w:pPr>
              <w:jc w:val="center"/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Experience of intervention</w:t>
            </w:r>
          </w:p>
          <w:p w14:paraId="5DA576C9" w14:textId="1B9D29A4" w:rsidR="009526F1" w:rsidRPr="000173CD" w:rsidRDefault="009526F1" w:rsidP="0095714F">
            <w:pPr>
              <w:jc w:val="center"/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</w:p>
        </w:tc>
      </w:tr>
      <w:tr w:rsidR="009526F1" w14:paraId="657E2161" w14:textId="77777777" w:rsidTr="009526F1">
        <w:tc>
          <w:tcPr>
            <w:tcW w:w="1701" w:type="dxa"/>
          </w:tcPr>
          <w:p w14:paraId="159890F7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Positive impact on the lifestyle</w:t>
            </w:r>
          </w:p>
        </w:tc>
        <w:tc>
          <w:tcPr>
            <w:tcW w:w="8642" w:type="dxa"/>
          </w:tcPr>
          <w:p w14:paraId="18FE0E7A" w14:textId="77777777" w:rsidR="009526F1" w:rsidRPr="000173CD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“A greater focus on what my lifestyle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’</w:t>
            </w: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s like and what I’m doing and when I’m doing it…looking at sleep pattern, getting it undisturbed sleep now, so that was useful” 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(</w:t>
            </w: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P002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)</w:t>
            </w:r>
          </w:p>
        </w:tc>
      </w:tr>
      <w:tr w:rsidR="009526F1" w14:paraId="5798E6FF" w14:textId="77777777" w:rsidTr="009526F1">
        <w:tc>
          <w:tcPr>
            <w:tcW w:w="1701" w:type="dxa"/>
          </w:tcPr>
          <w:p w14:paraId="32D375E2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Positive impact on relationships</w:t>
            </w:r>
          </w:p>
        </w:tc>
        <w:tc>
          <w:tcPr>
            <w:tcW w:w="8642" w:type="dxa"/>
          </w:tcPr>
          <w:p w14:paraId="755E2B4D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“I’m more relaxed around them, and they’re more relaxed around me” 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(</w:t>
            </w: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P003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)</w:t>
            </w:r>
          </w:p>
          <w:p w14:paraId="38B01EC3" w14:textId="77777777" w:rsidR="009526F1" w:rsidRPr="000173CD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“I’ve learnt to be perhaps more patient really with other people, um, and not be demanding of them… I still do rely on my husband a lot but I try not to over rely on him and expect him to do things that are too perfectionist” (P005)</w:t>
            </w:r>
          </w:p>
        </w:tc>
      </w:tr>
      <w:tr w:rsidR="009526F1" w14:paraId="23821726" w14:textId="77777777" w:rsidTr="009526F1">
        <w:tc>
          <w:tcPr>
            <w:tcW w:w="1701" w:type="dxa"/>
          </w:tcPr>
          <w:p w14:paraId="1FE29B68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 w:rsidRPr="008430F5"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 xml:space="preserve">Recovery focused approach </w:t>
            </w:r>
          </w:p>
        </w:tc>
        <w:tc>
          <w:tcPr>
            <w:tcW w:w="8642" w:type="dxa"/>
          </w:tcPr>
          <w:p w14:paraId="5370A54B" w14:textId="77777777" w:rsidR="009526F1" w:rsidRPr="008430F5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8430F5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I thought it was well balanced and aimed at specific elements of your mental health er process of recovery …it’s like giving out a silver bullet, that bullet that dri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v</w:t>
            </w:r>
            <w:r w:rsidRPr="008430F5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es right to the centre of the problems (P003)</w:t>
            </w:r>
          </w:p>
        </w:tc>
      </w:tr>
      <w:tr w:rsidR="009526F1" w14:paraId="67158CC9" w14:textId="77777777" w:rsidTr="009526F1">
        <w:tc>
          <w:tcPr>
            <w:tcW w:w="1701" w:type="dxa"/>
          </w:tcPr>
          <w:p w14:paraId="50BECBAB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 w:rsidRPr="008430F5"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Coping strategies to manage mood</w:t>
            </w:r>
          </w:p>
        </w:tc>
        <w:tc>
          <w:tcPr>
            <w:tcW w:w="8642" w:type="dxa"/>
          </w:tcPr>
          <w:p w14:paraId="4298482C" w14:textId="77777777" w:rsidR="009526F1" w:rsidRPr="008430F5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576929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 I think er if I feel down, I think um, I can… give myself permission to be down, er but be aware not to let it get into a spiral and do…somethings which are soothing, some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576929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things which are stimulating, you’ve got to make your choice at the time (P005)</w:t>
            </w:r>
          </w:p>
        </w:tc>
      </w:tr>
      <w:tr w:rsidR="009526F1" w14:paraId="646866C1" w14:textId="77777777" w:rsidTr="009526F1">
        <w:tc>
          <w:tcPr>
            <w:tcW w:w="1701" w:type="dxa"/>
          </w:tcPr>
          <w:p w14:paraId="40C6DBD4" w14:textId="77777777" w:rsidR="009526F1" w:rsidRPr="008430F5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 xml:space="preserve">Difficulty engaging in therapy </w:t>
            </w:r>
          </w:p>
        </w:tc>
        <w:tc>
          <w:tcPr>
            <w:tcW w:w="8642" w:type="dxa"/>
          </w:tcPr>
          <w:p w14:paraId="27EC2191" w14:textId="77777777" w:rsidR="009526F1" w:rsidRPr="00425B8E" w:rsidRDefault="009526F1" w:rsidP="0095714F">
            <w:pPr>
              <w:rPr>
                <w:i/>
                <w:iCs/>
              </w:rPr>
            </w:pPr>
            <w:r w:rsidRPr="00425B8E">
              <w:rPr>
                <w:i/>
                <w:iCs/>
              </w:rPr>
              <w:t>Not a lot has changed – we were going through marital problems at the time. We were too busy trying to sort ourselves out (P007)</w:t>
            </w:r>
          </w:p>
          <w:p w14:paraId="28D09171" w14:textId="77777777" w:rsidR="009526F1" w:rsidRPr="00576929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</w:p>
        </w:tc>
      </w:tr>
      <w:tr w:rsidR="009526F1" w14:paraId="29066019" w14:textId="77777777" w:rsidTr="009526F1">
        <w:tc>
          <w:tcPr>
            <w:tcW w:w="1701" w:type="dxa"/>
          </w:tcPr>
          <w:p w14:paraId="143AD7A0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 w:rsidRPr="00415B73"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Therapist stance</w:t>
            </w:r>
          </w:p>
        </w:tc>
        <w:tc>
          <w:tcPr>
            <w:tcW w:w="8642" w:type="dxa"/>
          </w:tcPr>
          <w:p w14:paraId="306EE2FA" w14:textId="77777777" w:rsidR="009526F1" w:rsidRPr="000173CD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There were lots of intimate things we discussed…I didn’t feel that there was any judgement there (P001)</w:t>
            </w:r>
          </w:p>
        </w:tc>
      </w:tr>
      <w:tr w:rsidR="009526F1" w14:paraId="162ED587" w14:textId="77777777" w:rsidTr="009526F1">
        <w:tc>
          <w:tcPr>
            <w:tcW w:w="1701" w:type="dxa"/>
          </w:tcPr>
          <w:p w14:paraId="74A1594C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 xml:space="preserve">Session number </w:t>
            </w:r>
          </w:p>
        </w:tc>
        <w:tc>
          <w:tcPr>
            <w:tcW w:w="8642" w:type="dxa"/>
          </w:tcPr>
          <w:p w14:paraId="6CEBBDFB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 think it was about right, ‘cos you needed a couple of sessions just to get going and get to know what’s happening and what the strategy is going to be” (P002)</w:t>
            </w:r>
          </w:p>
          <w:p w14:paraId="2AE42C50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 was a bit disappointed when it ended really but I recognise that you know it couldn’t go on forever” (P001)</w:t>
            </w:r>
          </w:p>
          <w:p w14:paraId="0E84C2B8" w14:textId="77777777" w:rsidR="009526F1" w:rsidRPr="00240FC2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</w:t>
            </w:r>
            <w:r w:rsidRPr="009C6BB9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Only did 7 sessions – should have had more as it was not enough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”</w:t>
            </w:r>
          </w:p>
        </w:tc>
      </w:tr>
      <w:tr w:rsidR="009526F1" w14:paraId="42EE6512" w14:textId="77777777" w:rsidTr="009526F1">
        <w:tc>
          <w:tcPr>
            <w:tcW w:w="1701" w:type="dxa"/>
          </w:tcPr>
          <w:p w14:paraId="1DC256DD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 xml:space="preserve">Session location </w:t>
            </w:r>
          </w:p>
        </w:tc>
        <w:tc>
          <w:tcPr>
            <w:tcW w:w="8642" w:type="dxa"/>
          </w:tcPr>
          <w:p w14:paraId="438B2650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 thought it was excellent, I couldn’t believe it really when it was offered (to have the therapy sessions at home; P001)</w:t>
            </w:r>
          </w:p>
          <w:p w14:paraId="4C49B696" w14:textId="77777777" w:rsidR="009526F1" w:rsidRPr="000173CD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 enjoyed it coming to work… because it reinforced when I said to people look XX is coming to work and we’re going into this room … it reinforced to them my mental health conditions” P003</w:t>
            </w:r>
          </w:p>
        </w:tc>
      </w:tr>
      <w:tr w:rsidR="009526F1" w14:paraId="0CEAF0C9" w14:textId="77777777" w:rsidTr="009526F1">
        <w:tc>
          <w:tcPr>
            <w:tcW w:w="1701" w:type="dxa"/>
          </w:tcPr>
          <w:p w14:paraId="4EA82F71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Session timing (50-60 minutes)</w:t>
            </w:r>
          </w:p>
        </w:tc>
        <w:tc>
          <w:tcPr>
            <w:tcW w:w="8642" w:type="dxa"/>
          </w:tcPr>
          <w:p w14:paraId="2530DBF7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“It’s very flexible, so it works, no longer though” (P003)</w:t>
            </w:r>
          </w:p>
          <w:p w14:paraId="5E736B5E" w14:textId="77777777" w:rsidR="009526F1" w:rsidRPr="000173CD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“You can keep on track better over an hour...some people start going round in circles in less time… but I think an hour is about right” P005 </w:t>
            </w:r>
          </w:p>
        </w:tc>
      </w:tr>
      <w:tr w:rsidR="009526F1" w14:paraId="7AD16734" w14:textId="77777777" w:rsidTr="009526F1">
        <w:tc>
          <w:tcPr>
            <w:tcW w:w="10343" w:type="dxa"/>
            <w:gridSpan w:val="2"/>
            <w:shd w:val="clear" w:color="auto" w:fill="E2EFD9" w:themeFill="accent6" w:themeFillTint="33"/>
          </w:tcPr>
          <w:p w14:paraId="729432F4" w14:textId="77777777" w:rsidR="009526F1" w:rsidRDefault="009526F1" w:rsidP="009526F1">
            <w:pPr>
              <w:jc w:val="center"/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</w:p>
          <w:p w14:paraId="1AA08864" w14:textId="4CE7C598" w:rsidR="009526F1" w:rsidRDefault="009526F1" w:rsidP="009526F1">
            <w:pPr>
              <w:jc w:val="center"/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Research process</w:t>
            </w:r>
          </w:p>
          <w:p w14:paraId="2C23F742" w14:textId="0CEA7BEA" w:rsidR="009526F1" w:rsidRDefault="009526F1" w:rsidP="009526F1">
            <w:pPr>
              <w:jc w:val="center"/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</w:p>
        </w:tc>
      </w:tr>
      <w:tr w:rsidR="009526F1" w14:paraId="2034BE81" w14:textId="77777777" w:rsidTr="009526F1">
        <w:tc>
          <w:tcPr>
            <w:tcW w:w="1701" w:type="dxa"/>
          </w:tcPr>
          <w:p w14:paraId="4E7139FD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>Follow-up assessments</w:t>
            </w:r>
          </w:p>
        </w:tc>
        <w:tc>
          <w:tcPr>
            <w:tcW w:w="8642" w:type="dxa"/>
          </w:tcPr>
          <w:p w14:paraId="68CA81BD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</w:t>
            </w: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I prefer face to face any time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”</w:t>
            </w:r>
            <w:r w:rsidRPr="000173CD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 (P006)</w:t>
            </w:r>
          </w:p>
          <w:p w14:paraId="3BE01FE7" w14:textId="77777777" w:rsidR="009526F1" w:rsidRPr="000173CD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“It was ok on the phone but obviously face to face is better” (P001)</w:t>
            </w:r>
          </w:p>
        </w:tc>
      </w:tr>
      <w:tr w:rsidR="009526F1" w14:paraId="572EE588" w14:textId="77777777" w:rsidTr="009526F1">
        <w:tc>
          <w:tcPr>
            <w:tcW w:w="1701" w:type="dxa"/>
          </w:tcPr>
          <w:p w14:paraId="227D2FAF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t xml:space="preserve">Questionnaire by post </w:t>
            </w:r>
          </w:p>
        </w:tc>
        <w:tc>
          <w:tcPr>
            <w:tcW w:w="8642" w:type="dxa"/>
          </w:tcPr>
          <w:p w14:paraId="379B17BA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0FC2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“That was alright by post, that was ok</w:t>
            </w: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”</w:t>
            </w:r>
            <w:r w:rsidRPr="00240FC2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 xml:space="preserve"> (P008)</w:t>
            </w:r>
          </w:p>
          <w:p w14:paraId="53EA1B87" w14:textId="77777777" w:rsidR="009526F1" w:rsidRPr="00240FC2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“online you can unclick them can’t you if you think I’ve read that wrong...so it’s easier to unclick and make it clear rather than think when you’ve ticked a box and scribbled it out” (P005)</w:t>
            </w:r>
          </w:p>
        </w:tc>
      </w:tr>
      <w:tr w:rsidR="009526F1" w14:paraId="0184A52D" w14:textId="77777777" w:rsidTr="009526F1">
        <w:tc>
          <w:tcPr>
            <w:tcW w:w="1701" w:type="dxa"/>
          </w:tcPr>
          <w:p w14:paraId="3D2863EE" w14:textId="77777777" w:rsidR="009526F1" w:rsidRDefault="009526F1" w:rsidP="0095714F">
            <w:pP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color w:val="000000"/>
                <w:sz w:val="24"/>
                <w:szCs w:val="24"/>
                <w:lang w:eastAsia="en-GB"/>
              </w:rPr>
              <w:lastRenderedPageBreak/>
              <w:t xml:space="preserve">Completing the questionnaires </w:t>
            </w:r>
          </w:p>
        </w:tc>
        <w:tc>
          <w:tcPr>
            <w:tcW w:w="8642" w:type="dxa"/>
          </w:tcPr>
          <w:p w14:paraId="518E6CEA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 w:rsidRPr="00240FC2"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 filled in all the various forms that came” (P007)</w:t>
            </w:r>
          </w:p>
          <w:p w14:paraId="5FF52379" w14:textId="77777777" w:rsidR="009526F1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“questionnaires were fine, they were easy to understand and easy to get through” P005</w:t>
            </w:r>
          </w:p>
          <w:p w14:paraId="5A5ECA52" w14:textId="77777777" w:rsidR="009526F1" w:rsidRPr="00240FC2" w:rsidRDefault="009526F1" w:rsidP="0095714F">
            <w:pP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Calibri" w:eastAsiaTheme="minorEastAsia" w:hAnsi="Calibri" w:cs="Calibri"/>
                <w:i/>
                <w:iCs/>
                <w:color w:val="000000"/>
                <w:sz w:val="24"/>
                <w:szCs w:val="24"/>
                <w:lang w:eastAsia="en-GB"/>
              </w:rPr>
              <w:t>“I thought they were simple, even though it was a lot, it was easy to go through and none of it was challenging” (P003)</w:t>
            </w:r>
          </w:p>
        </w:tc>
      </w:tr>
    </w:tbl>
    <w:p w14:paraId="0F41D66B" w14:textId="77777777" w:rsidR="009526F1" w:rsidRDefault="009526F1"/>
    <w:sectPr w:rsidR="00952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F1"/>
    <w:rsid w:val="002946C7"/>
    <w:rsid w:val="006B3AFA"/>
    <w:rsid w:val="009526F1"/>
    <w:rsid w:val="00C33B5F"/>
    <w:rsid w:val="00E6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626BE"/>
  <w15:chartTrackingRefBased/>
  <w15:docId w15:val="{61807EE1-C2F0-4AD7-BA28-878F0934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2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2586</Characters>
  <Application>Microsoft Office Word</Application>
  <DocSecurity>0</DocSecurity>
  <Lines>21</Lines>
  <Paragraphs>6</Paragraphs>
  <ScaleCrop>false</ScaleCrop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Tyler</dc:creator>
  <cp:keywords/>
  <dc:description/>
  <cp:lastModifiedBy>Elizabeth Tyler</cp:lastModifiedBy>
  <cp:revision>3</cp:revision>
  <dcterms:created xsi:type="dcterms:W3CDTF">2022-01-07T09:14:00Z</dcterms:created>
  <dcterms:modified xsi:type="dcterms:W3CDTF">2022-01-07T10:11:00Z</dcterms:modified>
</cp:coreProperties>
</file>