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14D1" w14:textId="11D29BCB" w:rsidR="00383EBD" w:rsidRPr="00031351" w:rsidRDefault="00AE09BE" w:rsidP="00383EBD">
      <w:pPr>
        <w:ind w:hanging="1080"/>
        <w:rPr>
          <w:rFonts w:cstheme="minorHAnsi"/>
          <w:vertAlign w:val="superscript"/>
        </w:rPr>
      </w:pPr>
      <w:r w:rsidRPr="00031351">
        <w:rPr>
          <w:b/>
          <w:bCs/>
        </w:rPr>
        <w:t xml:space="preserve">Supplementary </w:t>
      </w:r>
      <w:r w:rsidR="00383EBD" w:rsidRPr="00031351">
        <w:rPr>
          <w:b/>
          <w:bCs/>
        </w:rPr>
        <w:t xml:space="preserve">Table 1 [Desired position – horizontal] </w:t>
      </w:r>
      <w:r w:rsidR="00383EBD" w:rsidRPr="00031351">
        <w:t>Characteristics of included studies</w:t>
      </w:r>
      <w:r w:rsidRPr="00031351">
        <w:t xml:space="preserve"> and ongoing trials</w:t>
      </w:r>
      <w:r w:rsidR="00383EBD" w:rsidRPr="00031351">
        <w:t>.</w:t>
      </w:r>
      <w:r w:rsidR="00383EBD" w:rsidRPr="00031351">
        <w:rPr>
          <w:rFonts w:cstheme="minorHAnsi"/>
          <w:vertAlign w:val="superscript"/>
        </w:rPr>
        <w:t xml:space="preserve">  </w:t>
      </w:r>
    </w:p>
    <w:tbl>
      <w:tblPr>
        <w:tblStyle w:val="TableGrid"/>
        <w:tblW w:w="1539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990"/>
        <w:gridCol w:w="1440"/>
        <w:gridCol w:w="1530"/>
        <w:gridCol w:w="1440"/>
        <w:gridCol w:w="810"/>
        <w:gridCol w:w="990"/>
        <w:gridCol w:w="810"/>
        <w:gridCol w:w="1170"/>
        <w:gridCol w:w="1350"/>
        <w:gridCol w:w="990"/>
        <w:gridCol w:w="1080"/>
      </w:tblGrid>
      <w:tr w:rsidR="004643E2" w:rsidRPr="00031351" w14:paraId="2BFFC6A7" w14:textId="77777777" w:rsidTr="007611A6"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015A930F" w14:textId="206893CC" w:rsidR="004643E2" w:rsidRPr="00031351" w:rsidRDefault="004643E2" w:rsidP="00DC4E5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Author/Y</w:t>
            </w:r>
            <w:r w:rsidR="006D4765">
              <w:rPr>
                <w:b/>
                <w:bCs/>
                <w:sz w:val="20"/>
                <w:szCs w:val="20"/>
              </w:rPr>
              <w:t>ea</w:t>
            </w:r>
            <w:r w:rsidRPr="00031351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AC8671E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45289402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40C2F937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bottom"/>
          </w:tcPr>
          <w:p w14:paraId="12DF851B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24021349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Excluded MH Conditions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7EAA8D04" w14:textId="093FFBB4" w:rsidR="004643E2" w:rsidRPr="00031351" w:rsidRDefault="006D4765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  <w:r w:rsidR="004643E2" w:rsidRPr="00031351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6FF0C6D0" w14:textId="1149E883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Percent Female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bottom"/>
          </w:tcPr>
          <w:p w14:paraId="03081D37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Follow-up, 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777DAC1" w14:textId="2F247E38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 xml:space="preserve">Follow-up, PY </w:t>
            </w:r>
          </w:p>
          <w:p w14:paraId="1B3D562B" w14:textId="600311C8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Li/Control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6CC64632" w14:textId="478808A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Mortality Outcomes</w:t>
            </w:r>
            <w:r w:rsidR="007611A6">
              <w:rPr>
                <w:b/>
                <w:bCs/>
                <w:sz w:val="20"/>
                <w:szCs w:val="20"/>
              </w:rPr>
              <w:t xml:space="preserve"> (N-cause)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69558000" w14:textId="7F310D20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Percent Attrition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101C629C" w14:textId="77777777" w:rsidR="004643E2" w:rsidRPr="00031351" w:rsidRDefault="004643E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Industry Funding</w:t>
            </w:r>
          </w:p>
        </w:tc>
      </w:tr>
      <w:tr w:rsidR="00B51933" w:rsidRPr="00031351" w14:paraId="2D7198F5" w14:textId="77777777" w:rsidTr="004643E2">
        <w:tc>
          <w:tcPr>
            <w:tcW w:w="15390" w:type="dxa"/>
            <w:gridSpan w:val="13"/>
          </w:tcPr>
          <w:p w14:paraId="0E74AF31" w14:textId="1B1F754F" w:rsidR="00B51933" w:rsidRPr="00031351" w:rsidRDefault="00B51933" w:rsidP="00DC4E52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31351">
              <w:rPr>
                <w:b/>
                <w:bCs/>
                <w:i/>
                <w:iCs/>
                <w:sz w:val="20"/>
                <w:szCs w:val="20"/>
              </w:rPr>
              <w:t>Published Studies</w:t>
            </w:r>
          </w:p>
        </w:tc>
      </w:tr>
      <w:tr w:rsidR="004643E2" w:rsidRPr="00031351" w14:paraId="6B508C35" w14:textId="77777777" w:rsidTr="007611A6">
        <w:tc>
          <w:tcPr>
            <w:tcW w:w="1440" w:type="dxa"/>
            <w:vAlign w:val="center"/>
          </w:tcPr>
          <w:p w14:paraId="7A05C4A5" w14:textId="77777777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Bauer’00</w:t>
            </w:r>
          </w:p>
        </w:tc>
        <w:tc>
          <w:tcPr>
            <w:tcW w:w="1350" w:type="dxa"/>
            <w:vAlign w:val="center"/>
          </w:tcPr>
          <w:p w14:paraId="4A55DF62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Completed</w:t>
            </w:r>
          </w:p>
        </w:tc>
        <w:tc>
          <w:tcPr>
            <w:tcW w:w="990" w:type="dxa"/>
            <w:vAlign w:val="center"/>
          </w:tcPr>
          <w:p w14:paraId="5B678CB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Germany</w:t>
            </w:r>
          </w:p>
        </w:tc>
        <w:tc>
          <w:tcPr>
            <w:tcW w:w="1440" w:type="dxa"/>
            <w:vAlign w:val="center"/>
          </w:tcPr>
          <w:p w14:paraId="2E8F1C35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Inpatient Outpatient</w:t>
            </w:r>
          </w:p>
          <w:p w14:paraId="4339E629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3F829F" w14:textId="7547727B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MDD, fail Rx* and stabilized on Lithium, no acute suicidal ideation</w:t>
            </w:r>
          </w:p>
        </w:tc>
        <w:tc>
          <w:tcPr>
            <w:tcW w:w="1440" w:type="dxa"/>
            <w:vAlign w:val="center"/>
          </w:tcPr>
          <w:p w14:paraId="6282CB6D" w14:textId="43184A9B" w:rsidR="004643E2" w:rsidRPr="00031351" w:rsidRDefault="00D60B61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hypomanic or manic episode, Other Axis I Diagnosis</w:t>
            </w:r>
          </w:p>
        </w:tc>
        <w:tc>
          <w:tcPr>
            <w:tcW w:w="810" w:type="dxa"/>
            <w:vAlign w:val="center"/>
          </w:tcPr>
          <w:p w14:paraId="4EC3013E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14:paraId="2A138FE6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58.6</w:t>
            </w:r>
          </w:p>
        </w:tc>
        <w:tc>
          <w:tcPr>
            <w:tcW w:w="810" w:type="dxa"/>
            <w:vAlign w:val="center"/>
          </w:tcPr>
          <w:p w14:paraId="4B84455E" w14:textId="6B7642DB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E40D45C" w14:textId="120BABD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4.6/5.0</w:t>
            </w:r>
          </w:p>
        </w:tc>
        <w:tc>
          <w:tcPr>
            <w:tcW w:w="1350" w:type="dxa"/>
            <w:vAlign w:val="center"/>
          </w:tcPr>
          <w:p w14:paraId="0443EDDA" w14:textId="69732BEB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(no deaths);</w:t>
            </w:r>
            <w:r w:rsidR="007611A6">
              <w:rPr>
                <w:sz w:val="20"/>
                <w:szCs w:val="20"/>
              </w:rPr>
              <w:t xml:space="preserve"> Placebo (1-suicide)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C6606AF" w14:textId="6BA0ECCB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vAlign w:val="center"/>
          </w:tcPr>
          <w:p w14:paraId="611B31C0" w14:textId="436BCABA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Yes**</w:t>
            </w:r>
          </w:p>
        </w:tc>
      </w:tr>
      <w:tr w:rsidR="004643E2" w:rsidRPr="00031351" w14:paraId="6EDE8749" w14:textId="77777777" w:rsidTr="007611A6">
        <w:tc>
          <w:tcPr>
            <w:tcW w:w="1440" w:type="dxa"/>
            <w:vAlign w:val="center"/>
          </w:tcPr>
          <w:p w14:paraId="37E0D84B" w14:textId="23ABC819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Girlanda’14</w:t>
            </w:r>
          </w:p>
        </w:tc>
        <w:tc>
          <w:tcPr>
            <w:tcW w:w="1350" w:type="dxa"/>
            <w:vAlign w:val="center"/>
          </w:tcPr>
          <w:p w14:paraId="47D6881E" w14:textId="17E29677" w:rsidR="004643E2" w:rsidRPr="00031351" w:rsidRDefault="00D60B61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did not achieve recruitment goals</w:t>
            </w:r>
          </w:p>
        </w:tc>
        <w:tc>
          <w:tcPr>
            <w:tcW w:w="990" w:type="dxa"/>
            <w:vAlign w:val="center"/>
          </w:tcPr>
          <w:p w14:paraId="0C30BCB2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Italy</w:t>
            </w:r>
          </w:p>
        </w:tc>
        <w:tc>
          <w:tcPr>
            <w:tcW w:w="1440" w:type="dxa"/>
            <w:vAlign w:val="center"/>
          </w:tcPr>
          <w:p w14:paraId="44C3AB51" w14:textId="1918C259" w:rsidR="004643E2" w:rsidRPr="00031351" w:rsidRDefault="00D60B61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Inpatient or Outpatient</w:t>
            </w:r>
          </w:p>
        </w:tc>
        <w:tc>
          <w:tcPr>
            <w:tcW w:w="1530" w:type="dxa"/>
            <w:vAlign w:val="center"/>
          </w:tcPr>
          <w:p w14:paraId="2190142D" w14:textId="36284BE2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Treatment resistant MDD + deliberate self-harm in previous 12 months</w:t>
            </w:r>
          </w:p>
        </w:tc>
        <w:tc>
          <w:tcPr>
            <w:tcW w:w="1440" w:type="dxa"/>
            <w:vAlign w:val="center"/>
          </w:tcPr>
          <w:p w14:paraId="2F62BC58" w14:textId="34EAA118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Any concurrent Axis I Diagnosis</w:t>
            </w:r>
          </w:p>
        </w:tc>
        <w:tc>
          <w:tcPr>
            <w:tcW w:w="810" w:type="dxa"/>
            <w:vAlign w:val="center"/>
          </w:tcPr>
          <w:p w14:paraId="79E04612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vAlign w:val="center"/>
          </w:tcPr>
          <w:p w14:paraId="2BED1308" w14:textId="371A7355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63.0</w:t>
            </w:r>
            <w:r w:rsidR="00D60B61">
              <w:rPr>
                <w:sz w:val="20"/>
                <w:szCs w:val="20"/>
                <w:vertAlign w:val="superscript"/>
              </w:rPr>
              <w:t>χ</w:t>
            </w:r>
          </w:p>
        </w:tc>
        <w:tc>
          <w:tcPr>
            <w:tcW w:w="810" w:type="dxa"/>
            <w:vAlign w:val="center"/>
          </w:tcPr>
          <w:p w14:paraId="40FFE25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73409169" w14:textId="6425C131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29/25</w:t>
            </w:r>
          </w:p>
        </w:tc>
        <w:tc>
          <w:tcPr>
            <w:tcW w:w="1350" w:type="dxa"/>
            <w:vAlign w:val="center"/>
          </w:tcPr>
          <w:p w14:paraId="4D7AE40D" w14:textId="5BAFB86C" w:rsidR="004643E2" w:rsidRPr="00031351" w:rsidRDefault="007611A6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(1-suicide); Placebo (no deaths)</w:t>
            </w:r>
          </w:p>
        </w:tc>
        <w:tc>
          <w:tcPr>
            <w:tcW w:w="990" w:type="dxa"/>
            <w:vAlign w:val="center"/>
          </w:tcPr>
          <w:p w14:paraId="339BD610" w14:textId="17A92328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9.3</w:t>
            </w:r>
          </w:p>
        </w:tc>
        <w:tc>
          <w:tcPr>
            <w:tcW w:w="1080" w:type="dxa"/>
            <w:vAlign w:val="center"/>
          </w:tcPr>
          <w:p w14:paraId="7C6FFA34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No</w:t>
            </w:r>
          </w:p>
        </w:tc>
      </w:tr>
      <w:tr w:rsidR="004643E2" w:rsidRPr="00031351" w14:paraId="136399E1" w14:textId="77777777" w:rsidTr="007611A6">
        <w:tc>
          <w:tcPr>
            <w:tcW w:w="1440" w:type="dxa"/>
            <w:vAlign w:val="center"/>
          </w:tcPr>
          <w:p w14:paraId="69F8F906" w14:textId="77EF796D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Katz’2</w:t>
            </w:r>
            <w:r w:rsidR="00D60B61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F763E9D" w14:textId="01917CD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Terminated (futility)</w:t>
            </w:r>
          </w:p>
        </w:tc>
        <w:tc>
          <w:tcPr>
            <w:tcW w:w="990" w:type="dxa"/>
            <w:vAlign w:val="center"/>
          </w:tcPr>
          <w:p w14:paraId="464CC1EF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USA</w:t>
            </w:r>
          </w:p>
        </w:tc>
        <w:tc>
          <w:tcPr>
            <w:tcW w:w="1440" w:type="dxa"/>
            <w:vAlign w:val="center"/>
          </w:tcPr>
          <w:p w14:paraId="09B8D0CF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VA Inpatient Outpatient</w:t>
            </w:r>
          </w:p>
        </w:tc>
        <w:tc>
          <w:tcPr>
            <w:tcW w:w="1530" w:type="dxa"/>
            <w:vAlign w:val="center"/>
          </w:tcPr>
          <w:p w14:paraId="122F46A8" w14:textId="632A348B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BPAD or MDD plus suicidal behavior or admitted to prevent suicidal behavior within 6 months</w:t>
            </w:r>
          </w:p>
        </w:tc>
        <w:tc>
          <w:tcPr>
            <w:tcW w:w="1440" w:type="dxa"/>
            <w:vAlign w:val="center"/>
          </w:tcPr>
          <w:p w14:paraId="3AB64A03" w14:textId="3B814659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Schizophrenia, unstable SUD; 6 or more SA</w:t>
            </w:r>
          </w:p>
        </w:tc>
        <w:tc>
          <w:tcPr>
            <w:tcW w:w="810" w:type="dxa"/>
            <w:vAlign w:val="center"/>
          </w:tcPr>
          <w:p w14:paraId="7E422AA8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519</w:t>
            </w:r>
          </w:p>
        </w:tc>
        <w:tc>
          <w:tcPr>
            <w:tcW w:w="990" w:type="dxa"/>
            <w:vAlign w:val="center"/>
          </w:tcPr>
          <w:p w14:paraId="4B6B5981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15.8</w:t>
            </w:r>
          </w:p>
        </w:tc>
        <w:tc>
          <w:tcPr>
            <w:tcW w:w="810" w:type="dxa"/>
            <w:vAlign w:val="center"/>
          </w:tcPr>
          <w:p w14:paraId="7055880C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14:paraId="107C09B8" w14:textId="7F747CDD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218.7/</w:t>
            </w:r>
            <w:r>
              <w:rPr>
                <w:sz w:val="20"/>
                <w:szCs w:val="20"/>
              </w:rPr>
              <w:t xml:space="preserve"> </w:t>
            </w:r>
            <w:r w:rsidRPr="00031351">
              <w:rPr>
                <w:sz w:val="20"/>
                <w:szCs w:val="20"/>
              </w:rPr>
              <w:t>231.5</w:t>
            </w:r>
          </w:p>
        </w:tc>
        <w:tc>
          <w:tcPr>
            <w:tcW w:w="1350" w:type="dxa"/>
            <w:vAlign w:val="center"/>
          </w:tcPr>
          <w:p w14:paraId="5DBA84CB" w14:textId="328FF735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 (1- suicide); Placebo (2-suicide, 1- opioid </w:t>
            </w:r>
            <w:r w:rsidR="007611A6">
              <w:rPr>
                <w:sz w:val="20"/>
                <w:szCs w:val="20"/>
              </w:rPr>
              <w:t>overdose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1C511A90" w14:textId="4EB66F4D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48.2</w:t>
            </w:r>
          </w:p>
        </w:tc>
        <w:tc>
          <w:tcPr>
            <w:tcW w:w="1080" w:type="dxa"/>
            <w:vAlign w:val="center"/>
          </w:tcPr>
          <w:p w14:paraId="6E74D6DC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No</w:t>
            </w:r>
          </w:p>
        </w:tc>
      </w:tr>
      <w:tr w:rsidR="004643E2" w:rsidRPr="00031351" w14:paraId="28AAEC04" w14:textId="77777777" w:rsidTr="007611A6">
        <w:tc>
          <w:tcPr>
            <w:tcW w:w="1440" w:type="dxa"/>
            <w:vAlign w:val="center"/>
          </w:tcPr>
          <w:p w14:paraId="6F130C33" w14:textId="77777777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Khan’11</w:t>
            </w:r>
          </w:p>
        </w:tc>
        <w:tc>
          <w:tcPr>
            <w:tcW w:w="1350" w:type="dxa"/>
            <w:vAlign w:val="center"/>
          </w:tcPr>
          <w:p w14:paraId="48C7FAF6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Completed</w:t>
            </w:r>
          </w:p>
        </w:tc>
        <w:tc>
          <w:tcPr>
            <w:tcW w:w="990" w:type="dxa"/>
            <w:vAlign w:val="center"/>
          </w:tcPr>
          <w:p w14:paraId="3AF381B7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USA</w:t>
            </w:r>
          </w:p>
        </w:tc>
        <w:tc>
          <w:tcPr>
            <w:tcW w:w="1440" w:type="dxa"/>
            <w:vAlign w:val="center"/>
          </w:tcPr>
          <w:p w14:paraId="2AC414DC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Outpatient</w:t>
            </w:r>
          </w:p>
        </w:tc>
        <w:tc>
          <w:tcPr>
            <w:tcW w:w="1530" w:type="dxa"/>
            <w:vAlign w:val="center"/>
          </w:tcPr>
          <w:p w14:paraId="3F610B6C" w14:textId="0ED99CC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MDD, dysthymia, or depression + suicidal behavior</w:t>
            </w:r>
            <w:r w:rsidRPr="00031351">
              <w:rPr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440" w:type="dxa"/>
            <w:vAlign w:val="center"/>
          </w:tcPr>
          <w:p w14:paraId="08FFFD5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None</w:t>
            </w:r>
          </w:p>
        </w:tc>
        <w:tc>
          <w:tcPr>
            <w:tcW w:w="810" w:type="dxa"/>
            <w:vAlign w:val="center"/>
          </w:tcPr>
          <w:p w14:paraId="5FA78511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vAlign w:val="center"/>
          </w:tcPr>
          <w:p w14:paraId="38A8C46E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55.0</w:t>
            </w:r>
          </w:p>
        </w:tc>
        <w:tc>
          <w:tcPr>
            <w:tcW w:w="810" w:type="dxa"/>
            <w:vAlign w:val="center"/>
          </w:tcPr>
          <w:p w14:paraId="3D846EFA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1.4</w:t>
            </w:r>
          </w:p>
        </w:tc>
        <w:tc>
          <w:tcPr>
            <w:tcW w:w="1170" w:type="dxa"/>
            <w:vAlign w:val="center"/>
          </w:tcPr>
          <w:p w14:paraId="30516181" w14:textId="6D4D02E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4.6/4.6</w:t>
            </w:r>
          </w:p>
        </w:tc>
        <w:tc>
          <w:tcPr>
            <w:tcW w:w="1350" w:type="dxa"/>
            <w:vAlign w:val="center"/>
          </w:tcPr>
          <w:p w14:paraId="623BA688" w14:textId="3DAE9095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deaths</w:t>
            </w:r>
            <w:r w:rsidR="007611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CA23D72" w14:textId="47D8B889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0.0</w:t>
            </w:r>
          </w:p>
        </w:tc>
        <w:tc>
          <w:tcPr>
            <w:tcW w:w="1080" w:type="dxa"/>
            <w:vAlign w:val="center"/>
          </w:tcPr>
          <w:p w14:paraId="171C02FA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Yes</w:t>
            </w:r>
          </w:p>
        </w:tc>
      </w:tr>
      <w:tr w:rsidR="004643E2" w:rsidRPr="00031351" w14:paraId="0102B6BF" w14:textId="77777777" w:rsidTr="007611A6">
        <w:tc>
          <w:tcPr>
            <w:tcW w:w="1440" w:type="dxa"/>
            <w:vAlign w:val="center"/>
          </w:tcPr>
          <w:p w14:paraId="402D1BF6" w14:textId="77777777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Lauterbach’08</w:t>
            </w:r>
          </w:p>
        </w:tc>
        <w:tc>
          <w:tcPr>
            <w:tcW w:w="1350" w:type="dxa"/>
            <w:vAlign w:val="center"/>
          </w:tcPr>
          <w:p w14:paraId="13288066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Terminated</w:t>
            </w:r>
          </w:p>
          <w:p w14:paraId="1D968349" w14:textId="2AF0051C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(recruitment)</w:t>
            </w:r>
          </w:p>
        </w:tc>
        <w:tc>
          <w:tcPr>
            <w:tcW w:w="990" w:type="dxa"/>
            <w:vAlign w:val="center"/>
          </w:tcPr>
          <w:p w14:paraId="323755F8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Germany</w:t>
            </w:r>
          </w:p>
        </w:tc>
        <w:tc>
          <w:tcPr>
            <w:tcW w:w="1440" w:type="dxa"/>
            <w:vAlign w:val="center"/>
          </w:tcPr>
          <w:p w14:paraId="0FE9EBC1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ER</w:t>
            </w:r>
          </w:p>
        </w:tc>
        <w:tc>
          <w:tcPr>
            <w:tcW w:w="1530" w:type="dxa"/>
            <w:vAlign w:val="center"/>
          </w:tcPr>
          <w:p w14:paraId="1C060ABB" w14:textId="752838D3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Depression + suicide attempt within 3m</w:t>
            </w:r>
          </w:p>
        </w:tc>
        <w:tc>
          <w:tcPr>
            <w:tcW w:w="1440" w:type="dxa"/>
            <w:vAlign w:val="center"/>
          </w:tcPr>
          <w:p w14:paraId="2ED66394" w14:textId="2DEA5D5D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Schizophrenia, BPD with severe self-harm, SUD, clear indication for long term Li</w:t>
            </w:r>
          </w:p>
        </w:tc>
        <w:tc>
          <w:tcPr>
            <w:tcW w:w="810" w:type="dxa"/>
            <w:vAlign w:val="center"/>
          </w:tcPr>
          <w:p w14:paraId="71B6EEB8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vAlign w:val="center"/>
          </w:tcPr>
          <w:p w14:paraId="11F0ED67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57.5</w:t>
            </w:r>
          </w:p>
        </w:tc>
        <w:tc>
          <w:tcPr>
            <w:tcW w:w="810" w:type="dxa"/>
            <w:vAlign w:val="center"/>
          </w:tcPr>
          <w:p w14:paraId="62D032E7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1BE786D7" w14:textId="01E5D25C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55.2/46.1</w:t>
            </w:r>
          </w:p>
        </w:tc>
        <w:tc>
          <w:tcPr>
            <w:tcW w:w="1350" w:type="dxa"/>
            <w:vAlign w:val="center"/>
          </w:tcPr>
          <w:p w14:paraId="0B9E941C" w14:textId="300BE6DA" w:rsidR="004643E2" w:rsidRPr="00031351" w:rsidRDefault="007611A6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(no deaths); Placebo (3-suicide)</w:t>
            </w:r>
          </w:p>
        </w:tc>
        <w:tc>
          <w:tcPr>
            <w:tcW w:w="990" w:type="dxa"/>
            <w:vAlign w:val="center"/>
          </w:tcPr>
          <w:p w14:paraId="683DA161" w14:textId="602C3842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68.9</w:t>
            </w:r>
          </w:p>
        </w:tc>
        <w:tc>
          <w:tcPr>
            <w:tcW w:w="1080" w:type="dxa"/>
            <w:vAlign w:val="center"/>
          </w:tcPr>
          <w:p w14:paraId="1F6501CC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Yes</w:t>
            </w:r>
          </w:p>
        </w:tc>
      </w:tr>
      <w:tr w:rsidR="004643E2" w:rsidRPr="00031351" w14:paraId="39043773" w14:textId="77777777" w:rsidTr="007611A6">
        <w:tc>
          <w:tcPr>
            <w:tcW w:w="1440" w:type="dxa"/>
            <w:vAlign w:val="center"/>
          </w:tcPr>
          <w:p w14:paraId="60296360" w14:textId="213F9522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Prien, Klett ’73</w:t>
            </w:r>
          </w:p>
        </w:tc>
        <w:tc>
          <w:tcPr>
            <w:tcW w:w="1350" w:type="dxa"/>
            <w:vAlign w:val="center"/>
          </w:tcPr>
          <w:p w14:paraId="2ED6373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Completed</w:t>
            </w:r>
          </w:p>
        </w:tc>
        <w:tc>
          <w:tcPr>
            <w:tcW w:w="990" w:type="dxa"/>
            <w:vAlign w:val="center"/>
          </w:tcPr>
          <w:p w14:paraId="6B11EA89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USA</w:t>
            </w:r>
          </w:p>
        </w:tc>
        <w:tc>
          <w:tcPr>
            <w:tcW w:w="1440" w:type="dxa"/>
            <w:vAlign w:val="center"/>
          </w:tcPr>
          <w:p w14:paraId="295F7FA2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VA &amp; non-VA</w:t>
            </w:r>
          </w:p>
          <w:p w14:paraId="4FB0390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Inpatient</w:t>
            </w:r>
          </w:p>
        </w:tc>
        <w:tc>
          <w:tcPr>
            <w:tcW w:w="1530" w:type="dxa"/>
            <w:vAlign w:val="center"/>
          </w:tcPr>
          <w:p w14:paraId="36898156" w14:textId="08A6BDD4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Depressed (MDD or BPAD) + stabilized on </w:t>
            </w:r>
            <w:r w:rsidRPr="00031351">
              <w:rPr>
                <w:sz w:val="20"/>
                <w:szCs w:val="20"/>
              </w:rPr>
              <w:lastRenderedPageBreak/>
              <w:t>Lithium or Imipramine</w:t>
            </w:r>
          </w:p>
        </w:tc>
        <w:tc>
          <w:tcPr>
            <w:tcW w:w="1440" w:type="dxa"/>
            <w:vAlign w:val="center"/>
          </w:tcPr>
          <w:p w14:paraId="5433A35F" w14:textId="49FBF3FE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lastRenderedPageBreak/>
              <w:t>Schizophrenia; SCAD</w:t>
            </w:r>
          </w:p>
        </w:tc>
        <w:tc>
          <w:tcPr>
            <w:tcW w:w="810" w:type="dxa"/>
            <w:vAlign w:val="center"/>
          </w:tcPr>
          <w:p w14:paraId="5C0F5943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122</w:t>
            </w:r>
            <w:r w:rsidRPr="00031351">
              <w:rPr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990" w:type="dxa"/>
            <w:vAlign w:val="center"/>
          </w:tcPr>
          <w:p w14:paraId="53E052CE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36.4</w:t>
            </w:r>
          </w:p>
        </w:tc>
        <w:tc>
          <w:tcPr>
            <w:tcW w:w="810" w:type="dxa"/>
            <w:vAlign w:val="center"/>
          </w:tcPr>
          <w:p w14:paraId="5FD57F27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vAlign w:val="center"/>
          </w:tcPr>
          <w:p w14:paraId="77C48703" w14:textId="531E6E2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66.8/35.2</w:t>
            </w:r>
          </w:p>
        </w:tc>
        <w:tc>
          <w:tcPr>
            <w:tcW w:w="1350" w:type="dxa"/>
            <w:vAlign w:val="center"/>
          </w:tcPr>
          <w:p w14:paraId="609A68B8" w14:textId="339B874C" w:rsidR="004643E2" w:rsidRPr="00031351" w:rsidRDefault="007611A6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(1- other cause^); Placebo (1-</w:t>
            </w:r>
            <w:r>
              <w:rPr>
                <w:sz w:val="20"/>
                <w:szCs w:val="20"/>
              </w:rPr>
              <w:lastRenderedPageBreak/>
              <w:t>suicide; 1-other cause^)</w:t>
            </w:r>
          </w:p>
        </w:tc>
        <w:tc>
          <w:tcPr>
            <w:tcW w:w="990" w:type="dxa"/>
            <w:vAlign w:val="center"/>
          </w:tcPr>
          <w:p w14:paraId="1C7BDE9A" w14:textId="1B7729AD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lastRenderedPageBreak/>
              <w:t>55.0</w:t>
            </w:r>
            <w:r w:rsidRPr="00031351">
              <w:rPr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080" w:type="dxa"/>
            <w:vAlign w:val="center"/>
          </w:tcPr>
          <w:p w14:paraId="57176ED8" w14:textId="38CE052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Yes**</w:t>
            </w:r>
          </w:p>
        </w:tc>
      </w:tr>
      <w:tr w:rsidR="004643E2" w:rsidRPr="00031351" w14:paraId="43B12D80" w14:textId="77777777" w:rsidTr="007611A6">
        <w:tc>
          <w:tcPr>
            <w:tcW w:w="1440" w:type="dxa"/>
            <w:vAlign w:val="center"/>
          </w:tcPr>
          <w:p w14:paraId="71D00E97" w14:textId="6CD6BA9D" w:rsidR="004643E2" w:rsidRPr="00031351" w:rsidRDefault="004643E2" w:rsidP="004643E2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Prien,        </w:t>
            </w:r>
            <w:r w:rsidR="00D60B61">
              <w:rPr>
                <w:sz w:val="20"/>
                <w:szCs w:val="20"/>
              </w:rPr>
              <w:t>Caffey</w:t>
            </w:r>
            <w:r w:rsidRPr="00031351">
              <w:rPr>
                <w:sz w:val="20"/>
                <w:szCs w:val="20"/>
              </w:rPr>
              <w:t>’73</w:t>
            </w:r>
          </w:p>
        </w:tc>
        <w:tc>
          <w:tcPr>
            <w:tcW w:w="1350" w:type="dxa"/>
            <w:vAlign w:val="center"/>
          </w:tcPr>
          <w:p w14:paraId="55CCB290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Completed</w:t>
            </w:r>
          </w:p>
        </w:tc>
        <w:tc>
          <w:tcPr>
            <w:tcW w:w="990" w:type="dxa"/>
            <w:vAlign w:val="center"/>
          </w:tcPr>
          <w:p w14:paraId="28EB13F5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USA</w:t>
            </w:r>
          </w:p>
        </w:tc>
        <w:tc>
          <w:tcPr>
            <w:tcW w:w="1440" w:type="dxa"/>
            <w:vAlign w:val="center"/>
          </w:tcPr>
          <w:p w14:paraId="5D696915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VA &amp; non-VA Inpatient</w:t>
            </w:r>
          </w:p>
        </w:tc>
        <w:tc>
          <w:tcPr>
            <w:tcW w:w="1530" w:type="dxa"/>
            <w:vAlign w:val="center"/>
          </w:tcPr>
          <w:p w14:paraId="2FF1249E" w14:textId="7E63FE06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BPAD, acute mania + stabilized on Lithium</w:t>
            </w:r>
          </w:p>
        </w:tc>
        <w:tc>
          <w:tcPr>
            <w:tcW w:w="1440" w:type="dxa"/>
            <w:vAlign w:val="center"/>
          </w:tcPr>
          <w:p w14:paraId="5116A102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None</w:t>
            </w:r>
          </w:p>
        </w:tc>
        <w:tc>
          <w:tcPr>
            <w:tcW w:w="810" w:type="dxa"/>
            <w:vAlign w:val="center"/>
          </w:tcPr>
          <w:p w14:paraId="6C2B9ADF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205</w:t>
            </w:r>
          </w:p>
        </w:tc>
        <w:tc>
          <w:tcPr>
            <w:tcW w:w="990" w:type="dxa"/>
            <w:vAlign w:val="center"/>
          </w:tcPr>
          <w:p w14:paraId="5FE15259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35.1</w:t>
            </w:r>
          </w:p>
        </w:tc>
        <w:tc>
          <w:tcPr>
            <w:tcW w:w="810" w:type="dxa"/>
            <w:vAlign w:val="center"/>
          </w:tcPr>
          <w:p w14:paraId="62210B8D" w14:textId="77777777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vAlign w:val="center"/>
          </w:tcPr>
          <w:p w14:paraId="457392AF" w14:textId="29FD8120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185/169</w:t>
            </w:r>
          </w:p>
        </w:tc>
        <w:tc>
          <w:tcPr>
            <w:tcW w:w="1350" w:type="dxa"/>
            <w:vAlign w:val="center"/>
          </w:tcPr>
          <w:p w14:paraId="764378E9" w14:textId="70A23AA9" w:rsidR="004643E2" w:rsidRPr="00031351" w:rsidRDefault="007611A6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 (1- other cause^); Placebo (1-suicide; 1-other cause^)</w:t>
            </w:r>
          </w:p>
        </w:tc>
        <w:tc>
          <w:tcPr>
            <w:tcW w:w="990" w:type="dxa"/>
            <w:vAlign w:val="center"/>
          </w:tcPr>
          <w:p w14:paraId="28C51DA8" w14:textId="544297FF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42.0</w:t>
            </w:r>
          </w:p>
        </w:tc>
        <w:tc>
          <w:tcPr>
            <w:tcW w:w="1080" w:type="dxa"/>
            <w:vAlign w:val="center"/>
          </w:tcPr>
          <w:p w14:paraId="2D0F6C0E" w14:textId="35B3033D" w:rsidR="004643E2" w:rsidRPr="00031351" w:rsidRDefault="004643E2" w:rsidP="004643E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Yes**</w:t>
            </w:r>
          </w:p>
        </w:tc>
      </w:tr>
    </w:tbl>
    <w:p w14:paraId="12D89F20" w14:textId="5ED73F43" w:rsidR="002909C7" w:rsidRPr="00031351" w:rsidRDefault="00383EBD" w:rsidP="006D4765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</w:rPr>
        <w:t xml:space="preserve">BPD = Borderline Personality Disorder; BPAD = Bipolar Affective Disorder; ER = Emergency room; </w:t>
      </w:r>
      <w:r w:rsidR="00B51933" w:rsidRPr="00031351">
        <w:rPr>
          <w:sz w:val="20"/>
          <w:szCs w:val="20"/>
        </w:rPr>
        <w:t xml:space="preserve">Li = Lithium; </w:t>
      </w:r>
      <w:r w:rsidRPr="00031351">
        <w:rPr>
          <w:sz w:val="20"/>
          <w:szCs w:val="20"/>
        </w:rPr>
        <w:t>m = months; MDD = Major Depressive Diso</w:t>
      </w:r>
      <w:r w:rsidR="002909C7" w:rsidRPr="00031351">
        <w:rPr>
          <w:sz w:val="20"/>
          <w:szCs w:val="20"/>
        </w:rPr>
        <w:t xml:space="preserve">rder; </w:t>
      </w:r>
      <w:r w:rsidR="006D4765">
        <w:rPr>
          <w:sz w:val="20"/>
          <w:szCs w:val="20"/>
        </w:rPr>
        <w:t xml:space="preserve">MH = Mental Health; </w:t>
      </w:r>
      <w:r w:rsidRPr="00031351">
        <w:rPr>
          <w:sz w:val="20"/>
          <w:szCs w:val="20"/>
        </w:rPr>
        <w:t xml:space="preserve">N = </w:t>
      </w:r>
      <w:r w:rsidR="006D4765">
        <w:rPr>
          <w:sz w:val="20"/>
          <w:szCs w:val="20"/>
        </w:rPr>
        <w:t>Number</w:t>
      </w:r>
      <w:r w:rsidRPr="00031351">
        <w:rPr>
          <w:sz w:val="20"/>
          <w:szCs w:val="20"/>
        </w:rPr>
        <w:t xml:space="preserve">; </w:t>
      </w:r>
      <w:r w:rsidR="00B51933" w:rsidRPr="00031351">
        <w:rPr>
          <w:sz w:val="20"/>
          <w:szCs w:val="20"/>
        </w:rPr>
        <w:t>PY = Person</w:t>
      </w:r>
      <w:r w:rsidR="00B8606A" w:rsidRPr="00031351">
        <w:rPr>
          <w:sz w:val="20"/>
          <w:szCs w:val="20"/>
        </w:rPr>
        <w:t>-</w:t>
      </w:r>
      <w:r w:rsidR="00B51933" w:rsidRPr="00031351">
        <w:rPr>
          <w:sz w:val="20"/>
          <w:szCs w:val="20"/>
        </w:rPr>
        <w:t>years;</w:t>
      </w:r>
      <w:r w:rsidRPr="00031351">
        <w:rPr>
          <w:sz w:val="20"/>
          <w:szCs w:val="20"/>
        </w:rPr>
        <w:t xml:space="preserve"> Rx = Medication; SCAD = Schizoaffective Disorder; SUD = Substance use disorder; USA = United States of America; </w:t>
      </w:r>
    </w:p>
    <w:p w14:paraId="191ED1BE" w14:textId="15B9C574" w:rsidR="00383EBD" w:rsidRPr="00031351" w:rsidRDefault="00383EBD" w:rsidP="002909C7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</w:rPr>
        <w:t>VA = Department of Veterans Affairs</w:t>
      </w:r>
    </w:p>
    <w:p w14:paraId="4E613320" w14:textId="04C1FD25" w:rsidR="00383EBD" w:rsidRDefault="00383EBD" w:rsidP="00383EBD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  <w:vertAlign w:val="superscript"/>
        </w:rPr>
        <w:t>§</w:t>
      </w:r>
      <w:r w:rsidRPr="00031351">
        <w:rPr>
          <w:sz w:val="20"/>
          <w:szCs w:val="20"/>
        </w:rPr>
        <w:t xml:space="preserve"> Suicidal behavior may include symptoms of suicidal ideation</w:t>
      </w:r>
    </w:p>
    <w:p w14:paraId="21191B55" w14:textId="01F35EBD" w:rsidR="00D60B61" w:rsidRPr="00D60B61" w:rsidRDefault="00D60B61" w:rsidP="00383EBD">
      <w:pPr>
        <w:spacing w:line="240" w:lineRule="auto"/>
        <w:ind w:left="-1080"/>
        <w:rPr>
          <w:sz w:val="20"/>
          <w:szCs w:val="20"/>
        </w:rPr>
      </w:pPr>
      <w:r>
        <w:rPr>
          <w:sz w:val="20"/>
          <w:szCs w:val="20"/>
          <w:vertAlign w:val="superscript"/>
        </w:rPr>
        <w:t>χ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Calculation </w:t>
      </w:r>
      <w:r w:rsidR="003C4B39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based on </w:t>
      </w:r>
      <w:r w:rsidR="003C4B39">
        <w:rPr>
          <w:sz w:val="20"/>
          <w:szCs w:val="20"/>
        </w:rPr>
        <w:t>the</w:t>
      </w:r>
      <w:r>
        <w:rPr>
          <w:sz w:val="20"/>
          <w:szCs w:val="20"/>
        </w:rPr>
        <w:t xml:space="preserve"> 54 patients </w:t>
      </w:r>
      <w:r w:rsidR="003C4B39">
        <w:rPr>
          <w:sz w:val="20"/>
          <w:szCs w:val="20"/>
        </w:rPr>
        <w:t>for which there was information on baseline characteristics.</w:t>
      </w:r>
    </w:p>
    <w:p w14:paraId="01F328F2" w14:textId="77777777" w:rsidR="00383EBD" w:rsidRPr="00031351" w:rsidRDefault="00383EBD" w:rsidP="00383EBD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</w:rPr>
        <w:t>*Failed to respond to non-selective antidepressants or selective serotonin reuptake inhibitors</w:t>
      </w:r>
    </w:p>
    <w:p w14:paraId="687688FA" w14:textId="6459E668" w:rsidR="00383EBD" w:rsidRPr="00031351" w:rsidRDefault="00383EBD" w:rsidP="00383EBD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  <w:vertAlign w:val="superscript"/>
        </w:rPr>
        <w:t xml:space="preserve">¥ </w:t>
      </w:r>
      <w:r w:rsidRPr="00031351">
        <w:rPr>
          <w:sz w:val="20"/>
          <w:szCs w:val="20"/>
        </w:rPr>
        <w:t>Our review only included findings from the placebo and lithium arms</w:t>
      </w:r>
      <w:r w:rsidR="004C1A0F" w:rsidRPr="00031351">
        <w:rPr>
          <w:sz w:val="20"/>
          <w:szCs w:val="20"/>
        </w:rPr>
        <w:t xml:space="preserve"> (N=84)</w:t>
      </w:r>
      <w:r w:rsidRPr="00031351">
        <w:rPr>
          <w:sz w:val="20"/>
          <w:szCs w:val="20"/>
        </w:rPr>
        <w:t>.</w:t>
      </w:r>
      <w:r w:rsidR="007611A6">
        <w:rPr>
          <w:sz w:val="20"/>
          <w:szCs w:val="20"/>
        </w:rPr>
        <w:br/>
        <w:t>^ The</w:t>
      </w:r>
      <w:r w:rsidR="005950C6">
        <w:rPr>
          <w:sz w:val="20"/>
          <w:szCs w:val="20"/>
        </w:rPr>
        <w:t xml:space="preserve"> </w:t>
      </w:r>
      <w:r w:rsidR="007611A6">
        <w:rPr>
          <w:sz w:val="20"/>
          <w:szCs w:val="20"/>
        </w:rPr>
        <w:t>authors determined that t</w:t>
      </w:r>
      <w:r w:rsidR="005950C6">
        <w:rPr>
          <w:sz w:val="20"/>
          <w:szCs w:val="20"/>
        </w:rPr>
        <w:t>he</w:t>
      </w:r>
      <w:r w:rsidR="007611A6">
        <w:rPr>
          <w:sz w:val="20"/>
          <w:szCs w:val="20"/>
        </w:rPr>
        <w:t xml:space="preserve"> death w</w:t>
      </w:r>
      <w:r w:rsidR="005950C6">
        <w:rPr>
          <w:sz w:val="20"/>
          <w:szCs w:val="20"/>
        </w:rPr>
        <w:t>as</w:t>
      </w:r>
      <w:r w:rsidR="007611A6">
        <w:rPr>
          <w:sz w:val="20"/>
          <w:szCs w:val="20"/>
        </w:rPr>
        <w:t xml:space="preserve"> unrelated to the patients’ affective illness. No further details on the cause of death were provided in the publication.</w:t>
      </w:r>
    </w:p>
    <w:p w14:paraId="07DC0D23" w14:textId="4BE7ACC2" w:rsidR="00C44354" w:rsidRPr="00031351" w:rsidRDefault="00C44354" w:rsidP="00383EBD">
      <w:pPr>
        <w:spacing w:line="240" w:lineRule="auto"/>
        <w:ind w:left="-1080"/>
        <w:rPr>
          <w:sz w:val="20"/>
          <w:szCs w:val="20"/>
        </w:rPr>
      </w:pPr>
      <w:r w:rsidRPr="00031351">
        <w:rPr>
          <w:sz w:val="20"/>
          <w:szCs w:val="20"/>
        </w:rPr>
        <w:t>**Lithium was supplied by Smith Kline &amp; French Laboratories, Philadelphia</w:t>
      </w:r>
      <w:r w:rsidR="000C4758" w:rsidRPr="00031351">
        <w:rPr>
          <w:sz w:val="20"/>
          <w:szCs w:val="20"/>
        </w:rPr>
        <w:t xml:space="preserve"> (Prien studies) or SmithKline Beecham Pharmaceuticals (Bauer study).</w:t>
      </w:r>
    </w:p>
    <w:p w14:paraId="14EA6657" w14:textId="7F64DA70" w:rsidR="00374422" w:rsidRPr="00031351" w:rsidRDefault="00374422" w:rsidP="00383EBD">
      <w:pPr>
        <w:spacing w:line="240" w:lineRule="auto"/>
        <w:ind w:left="-1080"/>
        <w:rPr>
          <w:sz w:val="20"/>
          <w:szCs w:val="20"/>
        </w:rPr>
      </w:pPr>
    </w:p>
    <w:p w14:paraId="5B1CFBCA" w14:textId="01F44D07" w:rsidR="00374422" w:rsidRPr="00031351" w:rsidRDefault="00374422" w:rsidP="00383EBD">
      <w:pPr>
        <w:spacing w:line="240" w:lineRule="auto"/>
        <w:ind w:left="-1080"/>
        <w:rPr>
          <w:sz w:val="20"/>
          <w:szCs w:val="20"/>
        </w:rPr>
      </w:pPr>
    </w:p>
    <w:p w14:paraId="45330652" w14:textId="2D38ECBA" w:rsidR="00374422" w:rsidRDefault="00374422" w:rsidP="009F4664">
      <w:pPr>
        <w:spacing w:line="240" w:lineRule="auto"/>
        <w:rPr>
          <w:sz w:val="20"/>
          <w:szCs w:val="20"/>
        </w:rPr>
      </w:pPr>
    </w:p>
    <w:p w14:paraId="7BDE594F" w14:textId="1C151F51" w:rsidR="004643E2" w:rsidRDefault="004643E2" w:rsidP="009F4664">
      <w:pPr>
        <w:spacing w:line="240" w:lineRule="auto"/>
        <w:rPr>
          <w:sz w:val="20"/>
          <w:szCs w:val="20"/>
        </w:rPr>
      </w:pPr>
    </w:p>
    <w:p w14:paraId="715F2464" w14:textId="6A03F27B" w:rsidR="004643E2" w:rsidRDefault="004643E2" w:rsidP="009F4664">
      <w:pPr>
        <w:spacing w:line="240" w:lineRule="auto"/>
        <w:rPr>
          <w:sz w:val="20"/>
          <w:szCs w:val="20"/>
        </w:rPr>
      </w:pPr>
    </w:p>
    <w:p w14:paraId="347A5717" w14:textId="546BD13D" w:rsidR="004643E2" w:rsidRDefault="004643E2" w:rsidP="009F4664">
      <w:pPr>
        <w:spacing w:line="240" w:lineRule="auto"/>
        <w:rPr>
          <w:sz w:val="20"/>
          <w:szCs w:val="20"/>
        </w:rPr>
      </w:pPr>
    </w:p>
    <w:p w14:paraId="474700BA" w14:textId="09F3CB2C" w:rsidR="004643E2" w:rsidRDefault="004643E2" w:rsidP="009F4664">
      <w:pPr>
        <w:spacing w:line="240" w:lineRule="auto"/>
        <w:rPr>
          <w:sz w:val="20"/>
          <w:szCs w:val="20"/>
        </w:rPr>
      </w:pPr>
    </w:p>
    <w:p w14:paraId="68C6042A" w14:textId="0F9AAD68" w:rsidR="004643E2" w:rsidRDefault="004643E2" w:rsidP="009F4664">
      <w:pPr>
        <w:spacing w:line="240" w:lineRule="auto"/>
        <w:rPr>
          <w:sz w:val="20"/>
          <w:szCs w:val="20"/>
        </w:rPr>
      </w:pPr>
    </w:p>
    <w:p w14:paraId="3BFB22B5" w14:textId="2C6F4EE0" w:rsidR="004643E2" w:rsidRDefault="004643E2" w:rsidP="009F4664">
      <w:pPr>
        <w:spacing w:line="240" w:lineRule="auto"/>
        <w:rPr>
          <w:sz w:val="20"/>
          <w:szCs w:val="20"/>
        </w:rPr>
      </w:pPr>
    </w:p>
    <w:p w14:paraId="4531A80A" w14:textId="1D08581C" w:rsidR="004643E2" w:rsidRDefault="004643E2" w:rsidP="009F4664">
      <w:pPr>
        <w:spacing w:line="240" w:lineRule="auto"/>
        <w:rPr>
          <w:sz w:val="20"/>
          <w:szCs w:val="20"/>
        </w:rPr>
      </w:pPr>
    </w:p>
    <w:p w14:paraId="6428E0CB" w14:textId="0F44B58C" w:rsidR="004643E2" w:rsidRDefault="004643E2" w:rsidP="009F4664">
      <w:pPr>
        <w:spacing w:line="240" w:lineRule="auto"/>
        <w:rPr>
          <w:sz w:val="20"/>
          <w:szCs w:val="20"/>
        </w:rPr>
      </w:pPr>
    </w:p>
    <w:p w14:paraId="59F5819E" w14:textId="3A7A685C" w:rsidR="004643E2" w:rsidRDefault="004643E2" w:rsidP="009F4664">
      <w:pPr>
        <w:spacing w:line="240" w:lineRule="auto"/>
        <w:rPr>
          <w:sz w:val="20"/>
          <w:szCs w:val="20"/>
        </w:rPr>
      </w:pPr>
    </w:p>
    <w:p w14:paraId="050262B9" w14:textId="479209C1" w:rsidR="004643E2" w:rsidRDefault="004643E2" w:rsidP="009F4664">
      <w:pPr>
        <w:spacing w:line="240" w:lineRule="auto"/>
        <w:rPr>
          <w:sz w:val="20"/>
          <w:szCs w:val="20"/>
        </w:rPr>
      </w:pPr>
    </w:p>
    <w:p w14:paraId="488D13F2" w14:textId="6742F4CB" w:rsidR="004643E2" w:rsidRDefault="004643E2" w:rsidP="009F4664">
      <w:pPr>
        <w:spacing w:line="240" w:lineRule="auto"/>
        <w:rPr>
          <w:sz w:val="20"/>
          <w:szCs w:val="20"/>
        </w:rPr>
      </w:pPr>
    </w:p>
    <w:p w14:paraId="0EB5ED56" w14:textId="745EAAB2" w:rsidR="004643E2" w:rsidRDefault="004643E2" w:rsidP="009F4664">
      <w:pPr>
        <w:spacing w:line="240" w:lineRule="auto"/>
        <w:rPr>
          <w:sz w:val="20"/>
          <w:szCs w:val="20"/>
        </w:rPr>
      </w:pPr>
    </w:p>
    <w:p w14:paraId="6EC7602E" w14:textId="71C1A5BE" w:rsidR="004643E2" w:rsidRDefault="004643E2" w:rsidP="009F4664">
      <w:pPr>
        <w:spacing w:line="240" w:lineRule="auto"/>
        <w:rPr>
          <w:sz w:val="20"/>
          <w:szCs w:val="20"/>
        </w:rPr>
      </w:pPr>
    </w:p>
    <w:p w14:paraId="2D004C8E" w14:textId="7F85B807" w:rsidR="004643E2" w:rsidRDefault="004643E2" w:rsidP="009F4664">
      <w:pPr>
        <w:spacing w:line="240" w:lineRule="auto"/>
        <w:rPr>
          <w:sz w:val="20"/>
          <w:szCs w:val="20"/>
        </w:rPr>
      </w:pPr>
    </w:p>
    <w:p w14:paraId="47F1D995" w14:textId="2434F87B" w:rsidR="004643E2" w:rsidRDefault="004643E2" w:rsidP="009F4664">
      <w:pPr>
        <w:spacing w:line="240" w:lineRule="auto"/>
        <w:rPr>
          <w:sz w:val="20"/>
          <w:szCs w:val="20"/>
        </w:rPr>
      </w:pPr>
    </w:p>
    <w:p w14:paraId="1F2D47E0" w14:textId="272B10E7" w:rsidR="004643E2" w:rsidRDefault="004643E2" w:rsidP="009F4664">
      <w:pPr>
        <w:spacing w:line="240" w:lineRule="auto"/>
        <w:rPr>
          <w:sz w:val="20"/>
          <w:szCs w:val="20"/>
        </w:rPr>
      </w:pPr>
    </w:p>
    <w:p w14:paraId="3A342E0F" w14:textId="7ED7BB81" w:rsidR="004643E2" w:rsidRDefault="004643E2" w:rsidP="009F4664">
      <w:pPr>
        <w:spacing w:line="240" w:lineRule="auto"/>
        <w:rPr>
          <w:sz w:val="20"/>
          <w:szCs w:val="20"/>
        </w:rPr>
      </w:pPr>
    </w:p>
    <w:p w14:paraId="35413DB3" w14:textId="22E8BCFE" w:rsidR="004643E2" w:rsidRDefault="004643E2" w:rsidP="009F4664">
      <w:pPr>
        <w:spacing w:line="240" w:lineRule="auto"/>
        <w:rPr>
          <w:sz w:val="20"/>
          <w:szCs w:val="20"/>
        </w:rPr>
      </w:pPr>
    </w:p>
    <w:p w14:paraId="55A72241" w14:textId="07DA0A7B" w:rsidR="004643E2" w:rsidRDefault="004643E2" w:rsidP="009F4664">
      <w:pPr>
        <w:spacing w:line="240" w:lineRule="auto"/>
        <w:rPr>
          <w:sz w:val="20"/>
          <w:szCs w:val="20"/>
        </w:rPr>
      </w:pPr>
    </w:p>
    <w:p w14:paraId="52D0D59E" w14:textId="309FEC6F" w:rsidR="004643E2" w:rsidRDefault="004643E2" w:rsidP="009F4664">
      <w:pPr>
        <w:spacing w:line="240" w:lineRule="auto"/>
        <w:rPr>
          <w:sz w:val="20"/>
          <w:szCs w:val="20"/>
        </w:rPr>
      </w:pPr>
    </w:p>
    <w:p w14:paraId="0039DC8A" w14:textId="46CE4B5C" w:rsidR="004643E2" w:rsidRDefault="004643E2" w:rsidP="009F4664">
      <w:pPr>
        <w:spacing w:line="240" w:lineRule="auto"/>
        <w:rPr>
          <w:sz w:val="20"/>
          <w:szCs w:val="20"/>
        </w:rPr>
      </w:pPr>
    </w:p>
    <w:p w14:paraId="4BA120CF" w14:textId="77777777" w:rsidR="004643E2" w:rsidRPr="00031351" w:rsidRDefault="004643E2" w:rsidP="009F4664">
      <w:pPr>
        <w:spacing w:line="240" w:lineRule="auto"/>
        <w:rPr>
          <w:sz w:val="20"/>
          <w:szCs w:val="20"/>
        </w:rPr>
      </w:pPr>
    </w:p>
    <w:p w14:paraId="2671E073" w14:textId="77777777" w:rsidR="00383EBD" w:rsidRPr="00031351" w:rsidRDefault="00383EBD" w:rsidP="00896CF5">
      <w:pPr>
        <w:spacing w:line="240" w:lineRule="auto"/>
        <w:rPr>
          <w:sz w:val="20"/>
          <w:szCs w:val="20"/>
        </w:rPr>
      </w:pPr>
    </w:p>
    <w:p w14:paraId="79BC6F65" w14:textId="4CE654C2" w:rsidR="00383EBD" w:rsidRPr="00031351" w:rsidRDefault="00AE09BE" w:rsidP="00896CF5">
      <w:pPr>
        <w:ind w:hanging="990"/>
      </w:pPr>
      <w:r w:rsidRPr="00031351">
        <w:rPr>
          <w:b/>
          <w:bCs/>
        </w:rPr>
        <w:t xml:space="preserve">Supplementary </w:t>
      </w:r>
      <w:r w:rsidR="00383EBD" w:rsidRPr="00031351">
        <w:rPr>
          <w:b/>
          <w:bCs/>
        </w:rPr>
        <w:t xml:space="preserve">Table 2 [Desired position – horizontal] </w:t>
      </w:r>
      <w:r w:rsidR="00824C8B" w:rsidRPr="00031351">
        <w:t>Risk of bias</w:t>
      </w:r>
      <w:r w:rsidR="00383EBD" w:rsidRPr="00031351">
        <w:t xml:space="preserve"> assessment of </w:t>
      </w:r>
      <w:r w:rsidRPr="00031351">
        <w:t>published</w:t>
      </w:r>
      <w:r w:rsidR="00383EBD" w:rsidRPr="00031351">
        <w:t xml:space="preserve"> studies.</w:t>
      </w:r>
      <w:r w:rsidR="00383EBD" w:rsidRPr="00031351">
        <w:rPr>
          <w:rFonts w:cstheme="minorHAnsi"/>
          <w:vertAlign w:val="superscript"/>
        </w:rPr>
        <w:t>¥</w:t>
      </w:r>
    </w:p>
    <w:tbl>
      <w:tblPr>
        <w:tblStyle w:val="TableGrid"/>
        <w:tblW w:w="14760" w:type="dxa"/>
        <w:tblInd w:w="-995" w:type="dxa"/>
        <w:tblLook w:val="04A0" w:firstRow="1" w:lastRow="0" w:firstColumn="1" w:lastColumn="0" w:noHBand="0" w:noVBand="1"/>
      </w:tblPr>
      <w:tblGrid>
        <w:gridCol w:w="1611"/>
        <w:gridCol w:w="1703"/>
        <w:gridCol w:w="1366"/>
        <w:gridCol w:w="1350"/>
        <w:gridCol w:w="900"/>
        <w:gridCol w:w="1530"/>
        <w:gridCol w:w="1170"/>
        <w:gridCol w:w="4050"/>
        <w:gridCol w:w="1080"/>
      </w:tblGrid>
      <w:tr w:rsidR="00AD1DD3" w:rsidRPr="00031351" w14:paraId="0C556768" w14:textId="77777777" w:rsidTr="00191183">
        <w:tc>
          <w:tcPr>
            <w:tcW w:w="9630" w:type="dxa"/>
            <w:gridSpan w:val="7"/>
            <w:shd w:val="clear" w:color="auto" w:fill="F2F2F2" w:themeFill="background1" w:themeFillShade="F2"/>
            <w:vAlign w:val="bottom"/>
          </w:tcPr>
          <w:p w14:paraId="313A5132" w14:textId="77777777" w:rsidR="00AD1DD3" w:rsidRPr="00031351" w:rsidRDefault="00AD1DD3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shd w:val="clear" w:color="auto" w:fill="F2F2F2" w:themeFill="background1" w:themeFillShade="F2"/>
            <w:vAlign w:val="bottom"/>
          </w:tcPr>
          <w:p w14:paraId="18799BA9" w14:textId="369A41D4" w:rsidR="00AD1DD3" w:rsidRPr="00031351" w:rsidRDefault="00AD1DD3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Summary Conclusions</w:t>
            </w:r>
          </w:p>
        </w:tc>
      </w:tr>
      <w:tr w:rsidR="00191183" w:rsidRPr="00031351" w14:paraId="591B8CEE" w14:textId="77777777" w:rsidTr="00512C1E">
        <w:tc>
          <w:tcPr>
            <w:tcW w:w="1611" w:type="dxa"/>
            <w:shd w:val="clear" w:color="auto" w:fill="F2F2F2" w:themeFill="background1" w:themeFillShade="F2"/>
            <w:vAlign w:val="bottom"/>
          </w:tcPr>
          <w:p w14:paraId="4D0A6ACE" w14:textId="77777777" w:rsidR="009D0B12" w:rsidRPr="00031351" w:rsidRDefault="009D0B12" w:rsidP="00DC4E5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Author/</w:t>
            </w:r>
          </w:p>
          <w:p w14:paraId="23B03715" w14:textId="77777777" w:rsidR="009D0B12" w:rsidRPr="00031351" w:rsidRDefault="009D0B12" w:rsidP="00DC4E5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bottom"/>
          </w:tcPr>
          <w:p w14:paraId="3A3DD6BA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Randomization Process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bottom"/>
          </w:tcPr>
          <w:p w14:paraId="71637CF4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Effect of assignment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10BD7F40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Effect of adherence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50C76F39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Missing data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bottom"/>
          </w:tcPr>
          <w:p w14:paraId="0E02C7A9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Measurement of outcome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1BB24BBB" w14:textId="77777777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Selection of result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bottom"/>
          </w:tcPr>
          <w:p w14:paraId="57AFD075" w14:textId="7F28884C" w:rsidR="009D0B12" w:rsidRPr="00031351" w:rsidRDefault="00191183" w:rsidP="009D0B1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 xml:space="preserve">Key </w:t>
            </w:r>
            <w:r w:rsidR="00210102" w:rsidRPr="00031351">
              <w:rPr>
                <w:b/>
                <w:bCs/>
                <w:sz w:val="20"/>
                <w:szCs w:val="20"/>
              </w:rPr>
              <w:t>conclusions about risk of bias of included studies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220FF44A" w14:textId="2D1D4A15" w:rsidR="009D0B12" w:rsidRPr="00031351" w:rsidRDefault="009D0B12" w:rsidP="00DC4E52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1351">
              <w:rPr>
                <w:b/>
                <w:bCs/>
                <w:sz w:val="20"/>
                <w:szCs w:val="20"/>
              </w:rPr>
              <w:t>Overall Risk</w:t>
            </w:r>
          </w:p>
        </w:tc>
      </w:tr>
      <w:tr w:rsidR="00191183" w:rsidRPr="00031351" w14:paraId="1F4BB991" w14:textId="77777777" w:rsidTr="00512C1E">
        <w:trPr>
          <w:trHeight w:val="476"/>
        </w:trPr>
        <w:tc>
          <w:tcPr>
            <w:tcW w:w="1611" w:type="dxa"/>
            <w:vAlign w:val="center"/>
          </w:tcPr>
          <w:p w14:paraId="10FA5C55" w14:textId="2C148EBB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Prien</w:t>
            </w:r>
            <w:r w:rsidR="00520124" w:rsidRPr="00031351">
              <w:rPr>
                <w:sz w:val="20"/>
                <w:szCs w:val="20"/>
              </w:rPr>
              <w:t>, Klett</w:t>
            </w:r>
            <w:r w:rsidRPr="00031351">
              <w:rPr>
                <w:sz w:val="20"/>
                <w:szCs w:val="20"/>
              </w:rPr>
              <w:t>’73</w:t>
            </w:r>
          </w:p>
        </w:tc>
        <w:tc>
          <w:tcPr>
            <w:tcW w:w="1703" w:type="dxa"/>
            <w:vAlign w:val="center"/>
          </w:tcPr>
          <w:p w14:paraId="6FB4E27F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66" w:type="dxa"/>
            <w:vAlign w:val="center"/>
          </w:tcPr>
          <w:p w14:paraId="09621621" w14:textId="1661B6F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50" w:type="dxa"/>
            <w:vAlign w:val="center"/>
          </w:tcPr>
          <w:p w14:paraId="12F7AA5C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900" w:type="dxa"/>
            <w:vAlign w:val="center"/>
          </w:tcPr>
          <w:p w14:paraId="424F5201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530" w:type="dxa"/>
            <w:vAlign w:val="center"/>
          </w:tcPr>
          <w:p w14:paraId="7809CE3F" w14:textId="68537253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2B3A3795" w14:textId="39A3B89F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4050" w:type="dxa"/>
          </w:tcPr>
          <w:p w14:paraId="507A46E9" w14:textId="1032FAC7" w:rsidR="009D0B12" w:rsidRPr="00031351" w:rsidRDefault="00640F7A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The authors provide limited information on the randomization process. The impact of loss to follow-up on the detection of mortality is unclear.  Causes of death for non-suicide deaths are not described.</w:t>
            </w:r>
            <w:r w:rsidR="00520124" w:rsidRPr="00031351">
              <w:rPr>
                <w:sz w:val="20"/>
                <w:szCs w:val="20"/>
              </w:rPr>
              <w:t xml:space="preserve"> </w:t>
            </w:r>
            <w:r w:rsidRPr="00031351">
              <w:rPr>
                <w:sz w:val="20"/>
                <w:szCs w:val="20"/>
              </w:rPr>
              <w:t>The study is not posted on a trial registry, although</w:t>
            </w:r>
            <w:r w:rsidR="009945E0" w:rsidRPr="00031351">
              <w:rPr>
                <w:sz w:val="20"/>
                <w:szCs w:val="20"/>
              </w:rPr>
              <w:t xml:space="preserve"> the likelihood for</w:t>
            </w:r>
            <w:r w:rsidRPr="00031351">
              <w:rPr>
                <w:sz w:val="20"/>
                <w:szCs w:val="20"/>
              </w:rPr>
              <w:t xml:space="preserve"> reporting bias seems low. </w:t>
            </w:r>
            <w:r w:rsidR="00EA197F" w:rsidRPr="00031351">
              <w:rPr>
                <w:sz w:val="20"/>
                <w:szCs w:val="20"/>
              </w:rPr>
              <w:t xml:space="preserve">A high proportion of patients terminated early, but </w:t>
            </w:r>
            <w:r w:rsidR="009945E0" w:rsidRPr="00031351">
              <w:rPr>
                <w:sz w:val="20"/>
                <w:szCs w:val="20"/>
              </w:rPr>
              <w:t>more dropouts occurred</w:t>
            </w:r>
            <w:r w:rsidR="00EA197F" w:rsidRPr="00031351">
              <w:rPr>
                <w:sz w:val="20"/>
                <w:szCs w:val="20"/>
              </w:rPr>
              <w:t xml:space="preserve"> in</w:t>
            </w:r>
            <w:r w:rsidR="009945E0" w:rsidRPr="00031351">
              <w:rPr>
                <w:sz w:val="20"/>
                <w:szCs w:val="20"/>
              </w:rPr>
              <w:t xml:space="preserve"> the</w:t>
            </w:r>
            <w:r w:rsidR="00EA197F" w:rsidRPr="00031351">
              <w:rPr>
                <w:sz w:val="20"/>
                <w:szCs w:val="20"/>
              </w:rPr>
              <w:t xml:space="preserve"> placebo arm.</w:t>
            </w:r>
          </w:p>
        </w:tc>
        <w:tc>
          <w:tcPr>
            <w:tcW w:w="1080" w:type="dxa"/>
            <w:vAlign w:val="center"/>
          </w:tcPr>
          <w:p w14:paraId="737309CC" w14:textId="0EDD07A0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</w:tr>
      <w:tr w:rsidR="00191183" w:rsidRPr="00031351" w14:paraId="4C030FEB" w14:textId="77777777" w:rsidTr="00512C1E">
        <w:trPr>
          <w:trHeight w:val="422"/>
        </w:trPr>
        <w:tc>
          <w:tcPr>
            <w:tcW w:w="1611" w:type="dxa"/>
            <w:vAlign w:val="center"/>
          </w:tcPr>
          <w:p w14:paraId="371ABD3A" w14:textId="73315043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Prien</w:t>
            </w:r>
            <w:r w:rsidR="00520124" w:rsidRPr="00031351">
              <w:rPr>
                <w:sz w:val="20"/>
                <w:szCs w:val="20"/>
              </w:rPr>
              <w:t xml:space="preserve">, </w:t>
            </w:r>
            <w:r w:rsidR="003C4B39">
              <w:rPr>
                <w:sz w:val="20"/>
                <w:szCs w:val="20"/>
              </w:rPr>
              <w:t>Caffey</w:t>
            </w:r>
            <w:r w:rsidRPr="00031351">
              <w:rPr>
                <w:sz w:val="20"/>
                <w:szCs w:val="20"/>
              </w:rPr>
              <w:t>’73</w:t>
            </w:r>
          </w:p>
        </w:tc>
        <w:tc>
          <w:tcPr>
            <w:tcW w:w="1703" w:type="dxa"/>
            <w:vAlign w:val="center"/>
          </w:tcPr>
          <w:p w14:paraId="17DA33D6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66" w:type="dxa"/>
            <w:vAlign w:val="center"/>
          </w:tcPr>
          <w:p w14:paraId="29036373" w14:textId="29303BD9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50" w:type="dxa"/>
            <w:vAlign w:val="center"/>
          </w:tcPr>
          <w:p w14:paraId="020AE9EE" w14:textId="65482C8C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900" w:type="dxa"/>
            <w:vAlign w:val="center"/>
          </w:tcPr>
          <w:p w14:paraId="77BCF6F2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530" w:type="dxa"/>
            <w:vAlign w:val="center"/>
          </w:tcPr>
          <w:p w14:paraId="275A978E" w14:textId="0348C009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5974F3E2" w14:textId="08DF6216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Some </w:t>
            </w:r>
          </w:p>
        </w:tc>
        <w:tc>
          <w:tcPr>
            <w:tcW w:w="4050" w:type="dxa"/>
          </w:tcPr>
          <w:p w14:paraId="4503B0E8" w14:textId="0ECB6915" w:rsidR="009D0B12" w:rsidRPr="00031351" w:rsidRDefault="00640F7A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The authors provide limited information on the randomization process. The impact of loss to follow-up on the detection of mortality is unclear. The study is not posted on a trial registry, although </w:t>
            </w:r>
            <w:r w:rsidR="009945E0" w:rsidRPr="00031351">
              <w:rPr>
                <w:sz w:val="20"/>
                <w:szCs w:val="20"/>
              </w:rPr>
              <w:t xml:space="preserve">the likelihood of </w:t>
            </w:r>
            <w:r w:rsidRPr="00031351">
              <w:rPr>
                <w:sz w:val="20"/>
                <w:szCs w:val="20"/>
              </w:rPr>
              <w:t>reporting bias seems low.</w:t>
            </w:r>
            <w:r w:rsidR="00EA197F" w:rsidRPr="00031351">
              <w:rPr>
                <w:sz w:val="20"/>
                <w:szCs w:val="20"/>
              </w:rPr>
              <w:t xml:space="preserve"> A high proportion of patients terminated early, but </w:t>
            </w:r>
            <w:r w:rsidR="009945E0" w:rsidRPr="00031351">
              <w:rPr>
                <w:sz w:val="20"/>
                <w:szCs w:val="20"/>
              </w:rPr>
              <w:t>more dropouts occurred in the placebo arm</w:t>
            </w:r>
            <w:r w:rsidR="00EA197F" w:rsidRPr="00031351">
              <w:rPr>
                <w:sz w:val="20"/>
                <w:szCs w:val="20"/>
              </w:rPr>
              <w:t xml:space="preserve">. The authors report there were marked fluctuations in lithium levels in some patients, suggesting poor treatment adherence. </w:t>
            </w:r>
          </w:p>
        </w:tc>
        <w:tc>
          <w:tcPr>
            <w:tcW w:w="1080" w:type="dxa"/>
            <w:vAlign w:val="center"/>
          </w:tcPr>
          <w:p w14:paraId="76BD0202" w14:textId="7DFF44EA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</w:tr>
      <w:tr w:rsidR="00191183" w:rsidRPr="00031351" w14:paraId="7BD4C5BB" w14:textId="77777777" w:rsidTr="00512C1E">
        <w:trPr>
          <w:trHeight w:val="530"/>
        </w:trPr>
        <w:tc>
          <w:tcPr>
            <w:tcW w:w="1611" w:type="dxa"/>
            <w:vAlign w:val="center"/>
          </w:tcPr>
          <w:p w14:paraId="2C869AB1" w14:textId="77777777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Bauer’00</w:t>
            </w:r>
          </w:p>
        </w:tc>
        <w:tc>
          <w:tcPr>
            <w:tcW w:w="1703" w:type="dxa"/>
            <w:vAlign w:val="center"/>
          </w:tcPr>
          <w:p w14:paraId="42E9367E" w14:textId="60632D26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66" w:type="dxa"/>
            <w:vAlign w:val="center"/>
          </w:tcPr>
          <w:p w14:paraId="07DC507A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50" w:type="dxa"/>
            <w:vAlign w:val="center"/>
          </w:tcPr>
          <w:p w14:paraId="2A07FD7D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900" w:type="dxa"/>
            <w:vAlign w:val="center"/>
          </w:tcPr>
          <w:p w14:paraId="0F945B7C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530" w:type="dxa"/>
            <w:vAlign w:val="center"/>
          </w:tcPr>
          <w:p w14:paraId="49866AEE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44C0FFDB" w14:textId="781D03E4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4050" w:type="dxa"/>
          </w:tcPr>
          <w:p w14:paraId="432329E7" w14:textId="3033754B" w:rsidR="009D0B12" w:rsidRPr="00031351" w:rsidRDefault="00D32858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There is limited information about the methods used for randomization. The study, however, reported that baseline characteristics were similar between arms.</w:t>
            </w:r>
          </w:p>
        </w:tc>
        <w:tc>
          <w:tcPr>
            <w:tcW w:w="1080" w:type="dxa"/>
            <w:vAlign w:val="center"/>
          </w:tcPr>
          <w:p w14:paraId="3B2454C4" w14:textId="39A67D56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</w:tr>
      <w:tr w:rsidR="00191183" w:rsidRPr="00031351" w14:paraId="25AE2C0B" w14:textId="77777777" w:rsidTr="00512C1E">
        <w:trPr>
          <w:trHeight w:val="476"/>
        </w:trPr>
        <w:tc>
          <w:tcPr>
            <w:tcW w:w="1611" w:type="dxa"/>
            <w:vAlign w:val="center"/>
          </w:tcPr>
          <w:p w14:paraId="2CB291AB" w14:textId="77777777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Lauterbach’08</w:t>
            </w:r>
          </w:p>
        </w:tc>
        <w:tc>
          <w:tcPr>
            <w:tcW w:w="1703" w:type="dxa"/>
            <w:vAlign w:val="center"/>
          </w:tcPr>
          <w:p w14:paraId="598B14FA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66" w:type="dxa"/>
            <w:vAlign w:val="center"/>
          </w:tcPr>
          <w:p w14:paraId="47B09C14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50" w:type="dxa"/>
            <w:vAlign w:val="center"/>
          </w:tcPr>
          <w:p w14:paraId="5D607C43" w14:textId="7CB6343D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900" w:type="dxa"/>
            <w:vAlign w:val="center"/>
          </w:tcPr>
          <w:p w14:paraId="598BFDBD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530" w:type="dxa"/>
            <w:vAlign w:val="center"/>
          </w:tcPr>
          <w:p w14:paraId="6A922EF9" w14:textId="204C6EDF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0520F534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4050" w:type="dxa"/>
          </w:tcPr>
          <w:p w14:paraId="1350149E" w14:textId="31F22B61" w:rsidR="00512C1E" w:rsidRPr="00031351" w:rsidRDefault="00512C1E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The study mentioned at baseline that there were a higher number of patients with personality disorder and history of multiple suicide attempts in the lithium arm. Yet, the placebo arm had a higher score on a suicide scale. </w:t>
            </w:r>
          </w:p>
          <w:p w14:paraId="3276F93D" w14:textId="77777777" w:rsidR="00512C1E" w:rsidRPr="00031351" w:rsidRDefault="00512C1E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A3D0CC9" w14:textId="05EA0B48" w:rsidR="009D0B12" w:rsidRPr="00031351" w:rsidRDefault="00512C1E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The study reported high attrition. The impact of loss to follow-up on the detection of mortality is unclear. The study was stopped early due to poor recruitment. </w:t>
            </w:r>
            <w:r w:rsidR="006E53AF" w:rsidRPr="00031351">
              <w:rPr>
                <w:sz w:val="20"/>
                <w:szCs w:val="20"/>
              </w:rPr>
              <w:t xml:space="preserve">Some patients may have been </w:t>
            </w:r>
            <w:r w:rsidR="006E53AF" w:rsidRPr="00031351">
              <w:rPr>
                <w:sz w:val="20"/>
                <w:szCs w:val="20"/>
              </w:rPr>
              <w:lastRenderedPageBreak/>
              <w:t>unmasked due to acute safety concerns requiring checking lithium levels.</w:t>
            </w:r>
          </w:p>
        </w:tc>
        <w:tc>
          <w:tcPr>
            <w:tcW w:w="1080" w:type="dxa"/>
            <w:vAlign w:val="center"/>
          </w:tcPr>
          <w:p w14:paraId="5C6B9133" w14:textId="370B5EB5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lastRenderedPageBreak/>
              <w:t>Some</w:t>
            </w:r>
          </w:p>
        </w:tc>
      </w:tr>
      <w:tr w:rsidR="00191183" w:rsidRPr="00031351" w14:paraId="122D81DB" w14:textId="77777777" w:rsidTr="00512C1E">
        <w:trPr>
          <w:trHeight w:val="422"/>
        </w:trPr>
        <w:tc>
          <w:tcPr>
            <w:tcW w:w="1611" w:type="dxa"/>
            <w:vAlign w:val="center"/>
          </w:tcPr>
          <w:p w14:paraId="25DC65A9" w14:textId="77777777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Khan’11</w:t>
            </w:r>
          </w:p>
        </w:tc>
        <w:tc>
          <w:tcPr>
            <w:tcW w:w="1703" w:type="dxa"/>
            <w:vAlign w:val="center"/>
          </w:tcPr>
          <w:p w14:paraId="1334B8B3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66" w:type="dxa"/>
            <w:vAlign w:val="center"/>
          </w:tcPr>
          <w:p w14:paraId="689E5642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50" w:type="dxa"/>
            <w:vAlign w:val="center"/>
          </w:tcPr>
          <w:p w14:paraId="1D601AC3" w14:textId="25146255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900" w:type="dxa"/>
            <w:vAlign w:val="center"/>
          </w:tcPr>
          <w:p w14:paraId="0AEF7D31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530" w:type="dxa"/>
            <w:vAlign w:val="center"/>
          </w:tcPr>
          <w:p w14:paraId="20A265D1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1128D26E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4050" w:type="dxa"/>
          </w:tcPr>
          <w:p w14:paraId="2B83C0AA" w14:textId="154CFFCE" w:rsidR="009D0B12" w:rsidRPr="00031351" w:rsidRDefault="005E40EE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Eleven patients had therapeutic levels and 29 patients had non-therapeutic levels.</w:t>
            </w:r>
          </w:p>
        </w:tc>
        <w:tc>
          <w:tcPr>
            <w:tcW w:w="1080" w:type="dxa"/>
            <w:vAlign w:val="center"/>
          </w:tcPr>
          <w:p w14:paraId="661D6EB8" w14:textId="23205C5A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</w:tr>
      <w:tr w:rsidR="00191183" w:rsidRPr="00031351" w14:paraId="78E5720C" w14:textId="77777777" w:rsidTr="00512C1E">
        <w:trPr>
          <w:trHeight w:val="530"/>
        </w:trPr>
        <w:tc>
          <w:tcPr>
            <w:tcW w:w="1611" w:type="dxa"/>
            <w:vAlign w:val="center"/>
          </w:tcPr>
          <w:p w14:paraId="76DB6F72" w14:textId="77777777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Girlanda’14</w:t>
            </w:r>
          </w:p>
        </w:tc>
        <w:tc>
          <w:tcPr>
            <w:tcW w:w="1703" w:type="dxa"/>
            <w:vAlign w:val="center"/>
          </w:tcPr>
          <w:p w14:paraId="5B4F4DCA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66" w:type="dxa"/>
            <w:vAlign w:val="center"/>
          </w:tcPr>
          <w:p w14:paraId="0C683573" w14:textId="1A0C9D93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High</w:t>
            </w:r>
          </w:p>
        </w:tc>
        <w:tc>
          <w:tcPr>
            <w:tcW w:w="1350" w:type="dxa"/>
            <w:vAlign w:val="center"/>
          </w:tcPr>
          <w:p w14:paraId="14D721F2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900" w:type="dxa"/>
            <w:vAlign w:val="center"/>
          </w:tcPr>
          <w:p w14:paraId="1C3DF7FD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530" w:type="dxa"/>
            <w:vAlign w:val="center"/>
          </w:tcPr>
          <w:p w14:paraId="105F6BCC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37B71E24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4050" w:type="dxa"/>
          </w:tcPr>
          <w:p w14:paraId="533E182C" w14:textId="3446B7BC" w:rsidR="009D0B12" w:rsidRPr="00031351" w:rsidRDefault="00D32858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 xml:space="preserve">Study was at higher risk for bias because it </w:t>
            </w:r>
            <w:r w:rsidR="009945E0" w:rsidRPr="00031351">
              <w:rPr>
                <w:sz w:val="20"/>
                <w:szCs w:val="20"/>
              </w:rPr>
              <w:t>used a</w:t>
            </w:r>
            <w:r w:rsidRPr="00031351">
              <w:rPr>
                <w:sz w:val="20"/>
                <w:szCs w:val="20"/>
              </w:rPr>
              <w:t xml:space="preserve"> treatment as usual co</w:t>
            </w:r>
            <w:r w:rsidR="009945E0" w:rsidRPr="00031351">
              <w:rPr>
                <w:sz w:val="20"/>
                <w:szCs w:val="20"/>
              </w:rPr>
              <w:t>ntrol</w:t>
            </w:r>
            <w:r w:rsidR="00191183" w:rsidRPr="00031351">
              <w:rPr>
                <w:sz w:val="20"/>
                <w:szCs w:val="20"/>
              </w:rPr>
              <w:t xml:space="preserve"> (rather than placebo)</w:t>
            </w:r>
            <w:r w:rsidRPr="00031351">
              <w:rPr>
                <w:sz w:val="20"/>
                <w:szCs w:val="20"/>
              </w:rPr>
              <w:t>. The study encountered recruitment challenges</w:t>
            </w:r>
            <w:r w:rsidR="00191183" w:rsidRPr="00031351">
              <w:rPr>
                <w:sz w:val="20"/>
                <w:szCs w:val="20"/>
              </w:rPr>
              <w:t>. The study</w:t>
            </w:r>
            <w:r w:rsidRPr="00031351">
              <w:rPr>
                <w:sz w:val="20"/>
                <w:szCs w:val="20"/>
              </w:rPr>
              <w:t xml:space="preserve"> was stopped early. </w:t>
            </w:r>
          </w:p>
        </w:tc>
        <w:tc>
          <w:tcPr>
            <w:tcW w:w="1080" w:type="dxa"/>
            <w:vAlign w:val="center"/>
          </w:tcPr>
          <w:p w14:paraId="070C2B4A" w14:textId="2C552A29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High</w:t>
            </w:r>
          </w:p>
        </w:tc>
      </w:tr>
      <w:tr w:rsidR="00191183" w:rsidRPr="00031351" w14:paraId="25761CDA" w14:textId="77777777" w:rsidTr="00512C1E">
        <w:trPr>
          <w:trHeight w:val="656"/>
        </w:trPr>
        <w:tc>
          <w:tcPr>
            <w:tcW w:w="1611" w:type="dxa"/>
            <w:vAlign w:val="center"/>
          </w:tcPr>
          <w:p w14:paraId="15553118" w14:textId="657C926B" w:rsidR="009D0B12" w:rsidRPr="00031351" w:rsidRDefault="009D0B12" w:rsidP="00AD1DD3">
            <w:pPr>
              <w:spacing w:line="240" w:lineRule="auto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Katz’2</w:t>
            </w:r>
            <w:r w:rsidR="003C4B3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vAlign w:val="center"/>
          </w:tcPr>
          <w:p w14:paraId="00492D94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366" w:type="dxa"/>
            <w:vAlign w:val="center"/>
          </w:tcPr>
          <w:p w14:paraId="126641AA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1350" w:type="dxa"/>
            <w:vAlign w:val="center"/>
          </w:tcPr>
          <w:p w14:paraId="77F1C164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  <w:tc>
          <w:tcPr>
            <w:tcW w:w="900" w:type="dxa"/>
            <w:vAlign w:val="center"/>
          </w:tcPr>
          <w:p w14:paraId="10950F1A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530" w:type="dxa"/>
            <w:vAlign w:val="center"/>
          </w:tcPr>
          <w:p w14:paraId="4171022E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1170" w:type="dxa"/>
            <w:vAlign w:val="center"/>
          </w:tcPr>
          <w:p w14:paraId="276D7F38" w14:textId="77777777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Low</w:t>
            </w:r>
          </w:p>
        </w:tc>
        <w:tc>
          <w:tcPr>
            <w:tcW w:w="4050" w:type="dxa"/>
          </w:tcPr>
          <w:p w14:paraId="72163751" w14:textId="7E29D4BF" w:rsidR="009D0B12" w:rsidRPr="00031351" w:rsidRDefault="00D32858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The</w:t>
            </w:r>
            <w:r w:rsidR="00191183" w:rsidRPr="00031351">
              <w:rPr>
                <w:sz w:val="20"/>
                <w:szCs w:val="20"/>
              </w:rPr>
              <w:t xml:space="preserve"> authors mentioned</w:t>
            </w:r>
            <w:r w:rsidRPr="00031351">
              <w:rPr>
                <w:sz w:val="20"/>
                <w:szCs w:val="20"/>
              </w:rPr>
              <w:t xml:space="preserve"> </w:t>
            </w:r>
            <w:r w:rsidR="00191183" w:rsidRPr="00031351">
              <w:rPr>
                <w:sz w:val="20"/>
                <w:szCs w:val="20"/>
              </w:rPr>
              <w:t xml:space="preserve">that there was a higher tendency for patients on lithium to correctly guess their assignment. Similarly, practitioners were fairly good at correctly guessing the assignment of patients on lithium. There were </w:t>
            </w:r>
            <w:r w:rsidRPr="00031351">
              <w:rPr>
                <w:sz w:val="20"/>
                <w:szCs w:val="20"/>
              </w:rPr>
              <w:t>some concerns about poor lithium adherence</w:t>
            </w:r>
            <w:r w:rsidR="00191183" w:rsidRPr="00031351">
              <w:rPr>
                <w:sz w:val="20"/>
                <w:szCs w:val="20"/>
              </w:rPr>
              <w:t xml:space="preserve"> and high attrition</w:t>
            </w:r>
            <w:r w:rsidRPr="00031351">
              <w:rPr>
                <w:sz w:val="20"/>
                <w:szCs w:val="20"/>
              </w:rPr>
              <w:t xml:space="preserve">. The study encountered recruitment challenges. The trial was stopped early due to futility. </w:t>
            </w:r>
            <w:r w:rsidR="00512C1E" w:rsidRPr="00031351">
              <w:rPr>
                <w:sz w:val="20"/>
                <w:szCs w:val="20"/>
              </w:rPr>
              <w:t>The study had a robust strategy to detect mortality outcomes even in the setting of high attrition.</w:t>
            </w:r>
          </w:p>
        </w:tc>
        <w:tc>
          <w:tcPr>
            <w:tcW w:w="1080" w:type="dxa"/>
            <w:vAlign w:val="center"/>
          </w:tcPr>
          <w:p w14:paraId="2EB65F63" w14:textId="10323B36" w:rsidR="009D0B12" w:rsidRPr="00031351" w:rsidRDefault="009D0B12" w:rsidP="00DC4E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1351">
              <w:rPr>
                <w:sz w:val="20"/>
                <w:szCs w:val="20"/>
              </w:rPr>
              <w:t>Some</w:t>
            </w:r>
          </w:p>
        </w:tc>
      </w:tr>
    </w:tbl>
    <w:p w14:paraId="3F3DA067" w14:textId="25D9973E" w:rsidR="00383EBD" w:rsidRPr="00031351" w:rsidRDefault="00383EBD" w:rsidP="00896CF5">
      <w:pPr>
        <w:spacing w:line="240" w:lineRule="auto"/>
        <w:ind w:hanging="990"/>
        <w:rPr>
          <w:sz w:val="20"/>
          <w:szCs w:val="20"/>
        </w:rPr>
      </w:pPr>
      <w:r w:rsidRPr="00031351">
        <w:rPr>
          <w:sz w:val="20"/>
          <w:szCs w:val="20"/>
        </w:rPr>
        <w:t>Low = Low risk of bias; High = High risk of bias; Some = some concern; RoB = Risk of bias</w:t>
      </w:r>
    </w:p>
    <w:p w14:paraId="3A3F54A7" w14:textId="08EEF037" w:rsidR="00383EBD" w:rsidRPr="00031351" w:rsidRDefault="00383EBD" w:rsidP="00896CF5">
      <w:pPr>
        <w:spacing w:line="240" w:lineRule="auto"/>
        <w:ind w:hanging="990"/>
        <w:rPr>
          <w:rFonts w:cstheme="minorHAnsi"/>
          <w:sz w:val="20"/>
          <w:szCs w:val="20"/>
        </w:rPr>
      </w:pPr>
      <w:r w:rsidRPr="00031351">
        <w:rPr>
          <w:rFonts w:cstheme="minorHAnsi"/>
          <w:sz w:val="20"/>
          <w:szCs w:val="20"/>
        </w:rPr>
        <w:t>¥ Risk of bias assessed using the Cochrane Risk of Bias 2.0 Tool</w:t>
      </w:r>
    </w:p>
    <w:p w14:paraId="5182147F" w14:textId="5A3F2FF3" w:rsidR="00384222" w:rsidRPr="00031351" w:rsidRDefault="00384222" w:rsidP="00896CF5">
      <w:pPr>
        <w:spacing w:line="240" w:lineRule="auto"/>
        <w:ind w:hanging="990"/>
        <w:rPr>
          <w:rFonts w:cstheme="minorHAnsi"/>
          <w:sz w:val="20"/>
          <w:szCs w:val="20"/>
        </w:rPr>
      </w:pPr>
    </w:p>
    <w:p w14:paraId="2A9F5E37" w14:textId="77777777" w:rsidR="00383EBD" w:rsidRPr="00031351" w:rsidRDefault="00383EBD" w:rsidP="00383EBD">
      <w:pPr>
        <w:spacing w:line="240" w:lineRule="auto"/>
      </w:pPr>
    </w:p>
    <w:p w14:paraId="3EEE2BC3" w14:textId="2341D76C" w:rsidR="00383EBD" w:rsidRPr="00031351" w:rsidRDefault="00383EBD" w:rsidP="00383EBD"/>
    <w:p w14:paraId="2FF21337" w14:textId="74D7FBAB" w:rsidR="004F35CB" w:rsidRPr="00031351" w:rsidRDefault="004F35CB" w:rsidP="00383EBD"/>
    <w:p w14:paraId="4C6C11C2" w14:textId="50EDB56B" w:rsidR="00896CF5" w:rsidRPr="00031351" w:rsidRDefault="00896CF5" w:rsidP="00383EBD"/>
    <w:p w14:paraId="4A55B2D8" w14:textId="54BAF4AA" w:rsidR="009D0B12" w:rsidRPr="00031351" w:rsidRDefault="009D0B12" w:rsidP="00383EBD"/>
    <w:p w14:paraId="234902B0" w14:textId="10A90F08" w:rsidR="009D0B12" w:rsidRPr="00031351" w:rsidRDefault="009D0B12" w:rsidP="00383EBD"/>
    <w:p w14:paraId="40B26479" w14:textId="77777777" w:rsidR="000F77E2" w:rsidRPr="00031351" w:rsidRDefault="000F77E2" w:rsidP="00383EBD"/>
    <w:p w14:paraId="70A46EC5" w14:textId="77777777" w:rsidR="00384222" w:rsidRPr="00031351" w:rsidRDefault="00384222" w:rsidP="00383EBD"/>
    <w:p w14:paraId="0BEB711C" w14:textId="4F7475B7" w:rsidR="00383EBD" w:rsidRPr="00031351" w:rsidRDefault="00AE09BE" w:rsidP="00383EBD">
      <w:pPr>
        <w:spacing w:line="240" w:lineRule="auto"/>
        <w:ind w:left="-1080"/>
      </w:pPr>
      <w:r w:rsidRPr="00031351">
        <w:rPr>
          <w:b/>
          <w:bCs/>
        </w:rPr>
        <w:lastRenderedPageBreak/>
        <w:t xml:space="preserve">Supplementary </w:t>
      </w:r>
      <w:r w:rsidR="00383EBD" w:rsidRPr="00031351">
        <w:rPr>
          <w:b/>
          <w:bCs/>
        </w:rPr>
        <w:t>Table 3: [Desired position – horizontal]</w:t>
      </w:r>
      <w:r w:rsidR="00383EBD" w:rsidRPr="00031351">
        <w:t xml:space="preserve"> GRADE analysis of seven randomized controlled trials comparing lithium versus control for the prevention of death by suicide</w:t>
      </w:r>
    </w:p>
    <w:tbl>
      <w:tblPr>
        <w:tblW w:w="5297" w:type="pct"/>
        <w:tblInd w:w="-1113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40"/>
        <w:gridCol w:w="1034"/>
        <w:gridCol w:w="767"/>
        <w:gridCol w:w="1306"/>
        <w:gridCol w:w="1195"/>
        <w:gridCol w:w="1173"/>
        <w:gridCol w:w="1384"/>
        <w:gridCol w:w="851"/>
        <w:gridCol w:w="817"/>
        <w:gridCol w:w="876"/>
        <w:gridCol w:w="1138"/>
        <w:gridCol w:w="1163"/>
        <w:gridCol w:w="1254"/>
      </w:tblGrid>
      <w:tr w:rsidR="00384222" w:rsidRPr="00031351" w14:paraId="3E8A0FAA" w14:textId="77777777" w:rsidTr="00384222">
        <w:trPr>
          <w:cantSplit/>
          <w:tblHeader/>
        </w:trPr>
        <w:tc>
          <w:tcPr>
            <w:tcW w:w="2738" w:type="pct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D278" w14:textId="77777777" w:rsidR="00384222" w:rsidRPr="00031351" w:rsidRDefault="00384222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Certainty assessment</w:t>
            </w:r>
          </w:p>
        </w:tc>
        <w:tc>
          <w:tcPr>
            <w:tcW w:w="609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FC85" w14:textId="3FD80548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Suicide incidence</w:t>
            </w:r>
          </w:p>
        </w:tc>
        <w:tc>
          <w:tcPr>
            <w:tcW w:w="81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33343" w14:textId="2115131B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Effect Size</w:t>
            </w:r>
          </w:p>
        </w:tc>
        <w:tc>
          <w:tcPr>
            <w:tcW w:w="35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26CFB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Certainty</w:t>
            </w:r>
          </w:p>
        </w:tc>
        <w:tc>
          <w:tcPr>
            <w:tcW w:w="48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BA947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Importance</w:t>
            </w:r>
          </w:p>
        </w:tc>
      </w:tr>
      <w:tr w:rsidR="00384222" w:rsidRPr="00031351" w14:paraId="17052709" w14:textId="77777777" w:rsidTr="00384222">
        <w:trPr>
          <w:cantSplit/>
          <w:tblHeader/>
        </w:trPr>
        <w:tc>
          <w:tcPr>
            <w:tcW w:w="27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7C4CC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№ of studies</w:t>
            </w:r>
          </w:p>
        </w:tc>
        <w:tc>
          <w:tcPr>
            <w:tcW w:w="377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5B05B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Study design</w:t>
            </w:r>
          </w:p>
        </w:tc>
        <w:tc>
          <w:tcPr>
            <w:tcW w:w="27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B82A0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Risk of bias</w:t>
            </w:r>
          </w:p>
        </w:tc>
        <w:tc>
          <w:tcPr>
            <w:tcW w:w="441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F1FBA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Inconsistency</w:t>
            </w:r>
          </w:p>
        </w:tc>
        <w:tc>
          <w:tcPr>
            <w:tcW w:w="43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0CFC1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Indirectness</w:t>
            </w:r>
          </w:p>
        </w:tc>
        <w:tc>
          <w:tcPr>
            <w:tcW w:w="42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EE6E6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Imprecision</w:t>
            </w:r>
          </w:p>
        </w:tc>
        <w:tc>
          <w:tcPr>
            <w:tcW w:w="506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B97C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Other considerations</w:t>
            </w:r>
          </w:p>
        </w:tc>
        <w:tc>
          <w:tcPr>
            <w:tcW w:w="311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78CE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Lithium</w:t>
            </w:r>
          </w:p>
        </w:tc>
        <w:tc>
          <w:tcPr>
            <w:tcW w:w="29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B3781" w14:textId="26DCAA3B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Control</w:t>
            </w:r>
          </w:p>
        </w:tc>
        <w:tc>
          <w:tcPr>
            <w:tcW w:w="382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D10FA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Relative</w:t>
            </w: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br/>
              <w:t>(95% CI)</w:t>
            </w:r>
          </w:p>
        </w:tc>
        <w:tc>
          <w:tcPr>
            <w:tcW w:w="437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11ABD" w14:textId="77777777" w:rsidR="00384222" w:rsidRPr="00031351" w:rsidRDefault="0038422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Absolute</w:t>
            </w:r>
            <w:r w:rsidRPr="00031351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br/>
              <w:t>(95% CI)</w:t>
            </w:r>
          </w:p>
        </w:tc>
        <w:tc>
          <w:tcPr>
            <w:tcW w:w="355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57BAF48" w14:textId="77777777" w:rsidR="00384222" w:rsidRPr="00031351" w:rsidRDefault="00384222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5004934" w14:textId="77777777" w:rsidR="00384222" w:rsidRPr="00031351" w:rsidRDefault="00384222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84222" w:rsidRPr="00031351" w14:paraId="26819F9C" w14:textId="77777777" w:rsidTr="00384222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DCF5" w14:textId="77777777" w:rsidR="00384222" w:rsidRPr="00031351" w:rsidRDefault="00384222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75416" w14:textId="77777777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randomised trials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90DE" w14:textId="36385F2B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not serious</w:t>
            </w:r>
            <w:r w:rsidR="007E0FD6" w:rsidRPr="00031351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F6324" w14:textId="77777777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not serious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06AD" w14:textId="77777777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not serious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BEB96" w14:textId="30C310B2" w:rsidR="00384222" w:rsidRPr="00031351" w:rsidRDefault="008C32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s</w:t>
            </w:r>
            <w:r w:rsidR="00384222" w:rsidRPr="00031351">
              <w:rPr>
                <w:rFonts w:eastAsia="Times New Roman"/>
                <w:sz w:val="20"/>
                <w:szCs w:val="20"/>
              </w:rPr>
              <w:t>erious</w:t>
            </w:r>
            <w:r w:rsidR="00525A8E" w:rsidRPr="00031351">
              <w:rPr>
                <w:rFonts w:eastAsia="Times New Roman"/>
                <w:sz w:val="20"/>
                <w:szCs w:val="20"/>
              </w:rPr>
              <w:t>**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AC4A" w14:textId="77777777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>strong association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61B5" w14:textId="77777777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Fonts w:eastAsia="Times New Roman"/>
                <w:sz w:val="20"/>
                <w:szCs w:val="20"/>
              </w:rPr>
              <w:t xml:space="preserve">2/568 (0.4%)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39E3" w14:textId="7F7DCF22" w:rsidR="00384222" w:rsidRPr="00031351" w:rsidRDefault="009C4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cell-value"/>
                <w:rFonts w:eastAsia="Times New Roman"/>
                <w:sz w:val="20"/>
                <w:szCs w:val="20"/>
              </w:rPr>
              <w:t>8</w:t>
            </w:r>
            <w:r w:rsidR="00384222" w:rsidRPr="00031351">
              <w:rPr>
                <w:rStyle w:val="cell-value"/>
                <w:rFonts w:eastAsia="Times New Roman"/>
                <w:sz w:val="20"/>
                <w:szCs w:val="20"/>
              </w:rPr>
              <w:t>/570 (1.</w:t>
            </w:r>
            <w:r>
              <w:rPr>
                <w:rStyle w:val="cell-value"/>
                <w:rFonts w:eastAsia="Times New Roman"/>
                <w:sz w:val="20"/>
                <w:szCs w:val="20"/>
              </w:rPr>
              <w:t>4</w:t>
            </w:r>
            <w:r w:rsidR="00384222" w:rsidRPr="00031351">
              <w:rPr>
                <w:rStyle w:val="cell-value"/>
                <w:rFonts w:eastAsia="Times New Roman"/>
                <w:sz w:val="20"/>
                <w:szCs w:val="20"/>
              </w:rPr>
              <w:t xml:space="preserve">%) 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1B133" w14:textId="5425AC61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Style w:val="block"/>
                <w:rFonts w:eastAsia="Times New Roman"/>
                <w:b/>
                <w:bCs/>
                <w:sz w:val="20"/>
                <w:szCs w:val="20"/>
              </w:rPr>
              <w:t>OR 0.3</w:t>
            </w:r>
            <w:r w:rsidRPr="00031351">
              <w:rPr>
                <w:rFonts w:eastAsia="Times New Roman"/>
                <w:sz w:val="20"/>
                <w:szCs w:val="20"/>
              </w:rPr>
              <w:br/>
            </w:r>
            <w:r w:rsidRPr="00031351">
              <w:rPr>
                <w:rStyle w:val="cell"/>
                <w:rFonts w:eastAsia="Times New Roman"/>
                <w:sz w:val="20"/>
                <w:szCs w:val="20"/>
              </w:rPr>
              <w:t>(0.</w:t>
            </w:r>
            <w:r w:rsidR="009C4F7C">
              <w:rPr>
                <w:rStyle w:val="cell"/>
                <w:rFonts w:eastAsia="Times New Roman"/>
                <w:sz w:val="20"/>
                <w:szCs w:val="20"/>
              </w:rPr>
              <w:t>09</w:t>
            </w:r>
            <w:r w:rsidRPr="00031351">
              <w:rPr>
                <w:rStyle w:val="cell"/>
                <w:rFonts w:eastAsia="Times New Roman"/>
                <w:sz w:val="20"/>
                <w:szCs w:val="20"/>
              </w:rPr>
              <w:t xml:space="preserve"> to </w:t>
            </w:r>
            <w:r w:rsidR="009C4F7C">
              <w:rPr>
                <w:rStyle w:val="cell"/>
                <w:rFonts w:eastAsia="Times New Roman"/>
                <w:sz w:val="20"/>
                <w:szCs w:val="20"/>
              </w:rPr>
              <w:t>1.02</w:t>
            </w:r>
            <w:r w:rsidRPr="00031351">
              <w:rPr>
                <w:rStyle w:val="cell"/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7D568" w14:textId="489A0D9D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069A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9C4F7C" w:rsidRPr="0097069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Pr="0097069A">
              <w:rPr>
                <w:rFonts w:eastAsia="Times New Roman"/>
                <w:b/>
                <w:bCs/>
                <w:sz w:val="20"/>
                <w:szCs w:val="20"/>
              </w:rPr>
              <w:t xml:space="preserve"> fewer per 1,000</w:t>
            </w:r>
            <w:r w:rsidRPr="0097069A">
              <w:rPr>
                <w:rFonts w:eastAsia="Times New Roman"/>
                <w:sz w:val="20"/>
                <w:szCs w:val="20"/>
              </w:rPr>
              <w:br/>
              <w:t>(from 1</w:t>
            </w:r>
            <w:r w:rsidR="009C4F7C" w:rsidRPr="0097069A">
              <w:rPr>
                <w:rFonts w:eastAsia="Times New Roman"/>
                <w:sz w:val="20"/>
                <w:szCs w:val="20"/>
              </w:rPr>
              <w:t>3</w:t>
            </w:r>
            <w:r w:rsidRPr="0097069A">
              <w:rPr>
                <w:rFonts w:eastAsia="Times New Roman"/>
                <w:sz w:val="20"/>
                <w:szCs w:val="20"/>
              </w:rPr>
              <w:t xml:space="preserve"> fewer to </w:t>
            </w:r>
            <w:r w:rsidR="0097069A" w:rsidRPr="0097069A">
              <w:rPr>
                <w:rFonts w:eastAsia="Times New Roman"/>
                <w:sz w:val="20"/>
                <w:szCs w:val="20"/>
              </w:rPr>
              <w:t>0</w:t>
            </w:r>
            <w:r w:rsidRPr="0097069A">
              <w:rPr>
                <w:rFonts w:eastAsia="Times New Roman"/>
                <w:sz w:val="20"/>
                <w:szCs w:val="20"/>
              </w:rPr>
              <w:t xml:space="preserve"> fewer)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D57D" w14:textId="132431D6" w:rsidR="00384222" w:rsidRPr="00031351" w:rsidRDefault="0038422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31351">
              <w:rPr>
                <w:rStyle w:val="quality-sign"/>
                <w:rFonts w:ascii="Cambria Math" w:eastAsia="Times New Roman" w:hAnsi="Cambria Math" w:cs="Cambria Math"/>
                <w:sz w:val="20"/>
                <w:szCs w:val="20"/>
              </w:rPr>
              <w:t>⨁⨁⨁</w:t>
            </w:r>
            <w:r w:rsidR="00525A8E" w:rsidRPr="00031351">
              <w:rPr>
                <w:rFonts w:ascii="Menlo Regular" w:hAnsi="Menlo Regular"/>
                <w:shd w:val="clear" w:color="auto" w:fill="FFFFFF"/>
              </w:rPr>
              <w:t>◯</w:t>
            </w:r>
            <w:r w:rsidRPr="00031351">
              <w:rPr>
                <w:rFonts w:eastAsia="Times New Roman"/>
                <w:sz w:val="20"/>
                <w:szCs w:val="20"/>
              </w:rPr>
              <w:br/>
            </w:r>
            <w:r w:rsidR="00525A8E" w:rsidRPr="00031351">
              <w:rPr>
                <w:rStyle w:val="quality-text"/>
              </w:rPr>
              <w:t>Moderate</w:t>
            </w:r>
            <w:r w:rsidR="00D40498" w:rsidRPr="00031351">
              <w:rPr>
                <w:rStyle w:val="quality-text"/>
              </w:rPr>
              <w:t>**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0D06" w14:textId="3AF71866" w:rsidR="00384222" w:rsidRPr="00031351" w:rsidRDefault="009706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Important</w:t>
            </w:r>
          </w:p>
        </w:tc>
      </w:tr>
    </w:tbl>
    <w:p w14:paraId="7300CE92" w14:textId="637FB3D4" w:rsidR="00E80B34" w:rsidRPr="00031351" w:rsidRDefault="00384222" w:rsidP="00E80B34">
      <w:pPr>
        <w:pStyle w:val="NormalWeb"/>
        <w:spacing w:line="140" w:lineRule="atLeast"/>
        <w:ind w:left="-1080"/>
        <w:rPr>
          <w:color w:val="000000"/>
          <w:sz w:val="20"/>
          <w:szCs w:val="20"/>
          <w:lang w:val="en"/>
        </w:rPr>
      </w:pPr>
      <w:r w:rsidRPr="00031351">
        <w:rPr>
          <w:b/>
          <w:bCs/>
          <w:color w:val="000000"/>
          <w:sz w:val="20"/>
          <w:szCs w:val="20"/>
          <w:lang w:val="en"/>
        </w:rPr>
        <w:t>CI:</w:t>
      </w:r>
      <w:r w:rsidRPr="00031351">
        <w:rPr>
          <w:color w:val="000000"/>
          <w:sz w:val="20"/>
          <w:szCs w:val="20"/>
          <w:lang w:val="en"/>
        </w:rPr>
        <w:t xml:space="preserve"> confidence interval; </w:t>
      </w:r>
      <w:r w:rsidRPr="00031351">
        <w:rPr>
          <w:b/>
          <w:bCs/>
          <w:color w:val="000000"/>
          <w:sz w:val="20"/>
          <w:szCs w:val="20"/>
          <w:lang w:val="en"/>
        </w:rPr>
        <w:t>OR:</w:t>
      </w:r>
      <w:r w:rsidRPr="00031351">
        <w:rPr>
          <w:color w:val="000000"/>
          <w:sz w:val="20"/>
          <w:szCs w:val="20"/>
          <w:lang w:val="en"/>
        </w:rPr>
        <w:t xml:space="preserve"> odds ratio</w:t>
      </w:r>
      <w:r w:rsidR="007E0FD6" w:rsidRPr="00031351">
        <w:rPr>
          <w:color w:val="000000"/>
          <w:sz w:val="20"/>
          <w:szCs w:val="20"/>
          <w:lang w:val="en"/>
        </w:rPr>
        <w:br/>
        <w:t xml:space="preserve">*We determined that </w:t>
      </w:r>
      <w:r w:rsidR="00B20AD1" w:rsidRPr="00031351">
        <w:rPr>
          <w:color w:val="000000"/>
          <w:sz w:val="20"/>
          <w:szCs w:val="20"/>
          <w:lang w:val="en"/>
        </w:rPr>
        <w:t xml:space="preserve">the majority </w:t>
      </w:r>
      <w:r w:rsidR="007E0FD6" w:rsidRPr="00031351">
        <w:rPr>
          <w:color w:val="000000"/>
          <w:sz w:val="20"/>
          <w:szCs w:val="20"/>
          <w:lang w:val="en"/>
        </w:rPr>
        <w:t>of the information came from studies at low or unclear risk of bias and that the potential limitation</w:t>
      </w:r>
      <w:r w:rsidR="003911D0" w:rsidRPr="00031351">
        <w:rPr>
          <w:color w:val="000000"/>
          <w:sz w:val="20"/>
          <w:szCs w:val="20"/>
          <w:lang w:val="en"/>
        </w:rPr>
        <w:t>s</w:t>
      </w:r>
      <w:r w:rsidR="007E0FD6" w:rsidRPr="00031351">
        <w:rPr>
          <w:color w:val="000000"/>
          <w:sz w:val="20"/>
          <w:szCs w:val="20"/>
          <w:lang w:val="en"/>
        </w:rPr>
        <w:t xml:space="preserve"> were unlikely to lower our confidence                                in the summary estimate</w:t>
      </w:r>
      <w:r w:rsidR="00525A8E" w:rsidRPr="00031351">
        <w:rPr>
          <w:color w:val="000000"/>
          <w:sz w:val="20"/>
          <w:szCs w:val="20"/>
          <w:lang w:val="en"/>
        </w:rPr>
        <w:br/>
        <w:t>**We decided to downgrade the findings by one-level because the estimate was based on less than 10 studies (1,138 subjects) and the event rate was low.</w:t>
      </w:r>
      <w:r w:rsidR="00E80B34" w:rsidRPr="00031351">
        <w:rPr>
          <w:color w:val="000000"/>
          <w:sz w:val="20"/>
          <w:szCs w:val="20"/>
          <w:lang w:val="en"/>
        </w:rPr>
        <w:br/>
      </w:r>
    </w:p>
    <w:p w14:paraId="4D0CB048" w14:textId="68F22E12" w:rsidR="0063220A" w:rsidRPr="00031351" w:rsidRDefault="0063220A" w:rsidP="00F42CA7">
      <w:pPr>
        <w:rPr>
          <w:sz w:val="20"/>
          <w:szCs w:val="20"/>
          <w:vertAlign w:val="superscript"/>
        </w:rPr>
      </w:pPr>
    </w:p>
    <w:p w14:paraId="2DDE4647" w14:textId="77777777" w:rsidR="00896CF5" w:rsidRPr="00031351" w:rsidRDefault="00896CF5" w:rsidP="00F42CA7">
      <w:pPr>
        <w:rPr>
          <w:vertAlign w:val="superscript"/>
        </w:rPr>
      </w:pPr>
    </w:p>
    <w:p w14:paraId="1A1D8FE8" w14:textId="7B26643C" w:rsidR="00AE09BE" w:rsidRPr="00031351" w:rsidRDefault="00AE09BE" w:rsidP="00F42CA7">
      <w:pPr>
        <w:rPr>
          <w:vertAlign w:val="superscript"/>
        </w:rPr>
      </w:pPr>
    </w:p>
    <w:p w14:paraId="0AE05167" w14:textId="5A9F9CC8" w:rsidR="00AE09BE" w:rsidRPr="00031351" w:rsidRDefault="00AE09BE" w:rsidP="00F42CA7">
      <w:pPr>
        <w:rPr>
          <w:vertAlign w:val="superscript"/>
        </w:rPr>
      </w:pPr>
    </w:p>
    <w:p w14:paraId="384E7F9F" w14:textId="3682BDDF" w:rsidR="00AE09BE" w:rsidRPr="00031351" w:rsidRDefault="00AE09BE" w:rsidP="00F42CA7">
      <w:pPr>
        <w:rPr>
          <w:vertAlign w:val="superscript"/>
        </w:rPr>
      </w:pPr>
    </w:p>
    <w:p w14:paraId="31712B6C" w14:textId="7A7A893D" w:rsidR="00AE09BE" w:rsidRPr="00031351" w:rsidRDefault="00AE09BE" w:rsidP="00AE09BE">
      <w:pPr>
        <w:rPr>
          <w:noProof/>
        </w:rPr>
      </w:pPr>
      <w:r w:rsidRPr="00031351">
        <w:rPr>
          <w:b/>
          <w:bCs/>
        </w:rPr>
        <w:lastRenderedPageBreak/>
        <w:t>Supplementary Figure 1</w:t>
      </w:r>
      <w:r w:rsidR="004879BE" w:rsidRPr="00031351">
        <w:rPr>
          <w:b/>
          <w:bCs/>
        </w:rPr>
        <w:t xml:space="preserve"> [Desired position vertical]</w:t>
      </w:r>
      <w:r w:rsidRPr="00031351">
        <w:rPr>
          <w:b/>
          <w:bCs/>
        </w:rPr>
        <w:t>:</w:t>
      </w:r>
      <w:r w:rsidRPr="00031351">
        <w:t xml:space="preserve"> PRISMA Flow Diagram</w:t>
      </w:r>
    </w:p>
    <w:p w14:paraId="49EFDF52" w14:textId="6F93C139" w:rsidR="003F5165" w:rsidRPr="00031351" w:rsidRDefault="003F5165" w:rsidP="00AE09BE">
      <w:r w:rsidRPr="00031351">
        <w:rPr>
          <w:noProof/>
        </w:rPr>
        <w:drawing>
          <wp:inline distT="0" distB="0" distL="0" distR="0" wp14:anchorId="06B7108A" wp14:editId="1C89DA98">
            <wp:extent cx="8229600" cy="4623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BA29" w14:textId="0EF51518" w:rsidR="006B3908" w:rsidRPr="00031351" w:rsidRDefault="004879BE" w:rsidP="00546296">
      <w:pPr>
        <w:spacing w:line="240" w:lineRule="auto"/>
      </w:pPr>
      <w:r w:rsidRPr="00031351">
        <w:t>Legend:</w:t>
      </w:r>
    </w:p>
    <w:p w14:paraId="353668D6" w14:textId="77777777" w:rsidR="004879BE" w:rsidRPr="00031351" w:rsidRDefault="004879BE" w:rsidP="00546296">
      <w:pPr>
        <w:tabs>
          <w:tab w:val="left" w:pos="1350"/>
        </w:tabs>
        <w:spacing w:line="240" w:lineRule="auto"/>
      </w:pPr>
      <w:r w:rsidRPr="00031351">
        <w:t>CINAHL = The Cumulative Index to Nursing and Allied Health Literature</w:t>
      </w:r>
    </w:p>
    <w:p w14:paraId="0360B349" w14:textId="77777777" w:rsidR="004879BE" w:rsidRPr="00031351" w:rsidRDefault="004879BE" w:rsidP="00546296">
      <w:pPr>
        <w:tabs>
          <w:tab w:val="left" w:pos="1350"/>
        </w:tabs>
        <w:spacing w:line="240" w:lineRule="auto"/>
      </w:pPr>
      <w:r w:rsidRPr="00031351">
        <w:t>EMBASE = Excerpta Medica Database</w:t>
      </w:r>
    </w:p>
    <w:p w14:paraId="6B36ED31" w14:textId="0E13AD7D" w:rsidR="004879BE" w:rsidRPr="00031351" w:rsidRDefault="004879BE" w:rsidP="00546296">
      <w:pPr>
        <w:spacing w:line="240" w:lineRule="auto"/>
      </w:pPr>
      <w:r w:rsidRPr="00031351">
        <w:t>CENTRAL = Cochrane Central Register of Controlled Trials</w:t>
      </w:r>
    </w:p>
    <w:p w14:paraId="56714C1B" w14:textId="53818578" w:rsidR="006B3908" w:rsidRPr="00031351" w:rsidRDefault="006B3908" w:rsidP="00AE09BE">
      <w:pPr>
        <w:rPr>
          <w:b/>
          <w:bCs/>
        </w:rPr>
      </w:pPr>
    </w:p>
    <w:p w14:paraId="2AEA3F63" w14:textId="0A03F51C" w:rsidR="006B3908" w:rsidRPr="00031351" w:rsidRDefault="006B3908" w:rsidP="006B3908">
      <w:pPr>
        <w:spacing w:line="240" w:lineRule="auto"/>
      </w:pPr>
      <w:r w:rsidRPr="00031351">
        <w:rPr>
          <w:b/>
          <w:bCs/>
        </w:rPr>
        <w:lastRenderedPageBreak/>
        <w:t>Supplementary Figure 2:</w:t>
      </w:r>
      <w:r w:rsidRPr="00031351">
        <w:t xml:space="preserve"> Funnel plot of odds of death by suicide among six trials comparing lithium versus control.* </w:t>
      </w:r>
    </w:p>
    <w:p w14:paraId="55A41CD2" w14:textId="4339F875" w:rsidR="006B3908" w:rsidRPr="00031351" w:rsidRDefault="009C4F7C" w:rsidP="006B3908">
      <w:pPr>
        <w:spacing w:line="240" w:lineRule="auto"/>
      </w:pPr>
      <w:r>
        <w:rPr>
          <w:noProof/>
        </w:rPr>
        <w:drawing>
          <wp:inline distT="0" distB="0" distL="0" distR="0" wp14:anchorId="7ED8B3C0" wp14:editId="391DB1C7">
            <wp:extent cx="8229600" cy="4625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51BC" w14:textId="76D9778E" w:rsidR="006B3908" w:rsidRPr="00031351" w:rsidRDefault="006B3908" w:rsidP="006B3908">
      <w:pPr>
        <w:spacing w:line="240" w:lineRule="auto"/>
      </w:pPr>
    </w:p>
    <w:p w14:paraId="4C4359EC" w14:textId="7F2EEF0C" w:rsidR="006B3908" w:rsidRPr="00031351" w:rsidRDefault="006B3908" w:rsidP="006B3908">
      <w:pPr>
        <w:spacing w:line="240" w:lineRule="auto"/>
      </w:pPr>
      <w:r w:rsidRPr="00031351">
        <w:t>Legend:</w:t>
      </w:r>
    </w:p>
    <w:p w14:paraId="56D22F1E" w14:textId="5746A561" w:rsidR="006B3908" w:rsidRDefault="006B3908" w:rsidP="006B3908">
      <w:pPr>
        <w:spacing w:line="240" w:lineRule="auto"/>
        <w:rPr>
          <w:vertAlign w:val="superscript"/>
        </w:rPr>
      </w:pPr>
      <w:r w:rsidRPr="00031351">
        <w:t>*A seventh trial reported double zero events and therefore did not contribute to the outcome.</w:t>
      </w:r>
      <w:r>
        <w:t xml:space="preserve"> </w:t>
      </w:r>
    </w:p>
    <w:sectPr w:rsidR="006B3908" w:rsidSect="00896CF5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B137" w14:textId="77777777" w:rsidR="006E2E40" w:rsidRDefault="006E2E40" w:rsidP="00EB1A1E">
      <w:pPr>
        <w:spacing w:line="240" w:lineRule="auto"/>
      </w:pPr>
      <w:r>
        <w:separator/>
      </w:r>
    </w:p>
  </w:endnote>
  <w:endnote w:type="continuationSeparator" w:id="0">
    <w:p w14:paraId="03FA3435" w14:textId="77777777" w:rsidR="006E2E40" w:rsidRDefault="006E2E40" w:rsidP="00EB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646335"/>
      <w:docPartObj>
        <w:docPartGallery w:val="Page Numbers (Bottom of Page)"/>
        <w:docPartUnique/>
      </w:docPartObj>
    </w:sdtPr>
    <w:sdtEndPr/>
    <w:sdtContent>
      <w:p w14:paraId="3CC276E0" w14:textId="77777777" w:rsidR="006E2E40" w:rsidRDefault="006E2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57379C" w14:textId="77777777" w:rsidR="006E2E40" w:rsidRDefault="006E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34D4" w14:textId="77777777" w:rsidR="006E2E40" w:rsidRDefault="006E2E40" w:rsidP="00EB1A1E">
      <w:pPr>
        <w:spacing w:line="240" w:lineRule="auto"/>
      </w:pPr>
      <w:r>
        <w:separator/>
      </w:r>
    </w:p>
  </w:footnote>
  <w:footnote w:type="continuationSeparator" w:id="0">
    <w:p w14:paraId="0A37FC46" w14:textId="77777777" w:rsidR="006E2E40" w:rsidRDefault="006E2E40" w:rsidP="00EB1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4C8"/>
    <w:multiLevelType w:val="hybridMultilevel"/>
    <w:tmpl w:val="DE9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4A0"/>
    <w:multiLevelType w:val="hybridMultilevel"/>
    <w:tmpl w:val="E504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64A"/>
    <w:multiLevelType w:val="hybridMultilevel"/>
    <w:tmpl w:val="05B67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4552"/>
    <w:multiLevelType w:val="hybridMultilevel"/>
    <w:tmpl w:val="0876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2E7"/>
    <w:multiLevelType w:val="hybridMultilevel"/>
    <w:tmpl w:val="FA2C21EA"/>
    <w:lvl w:ilvl="0" w:tplc="8114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B3FA1"/>
    <w:multiLevelType w:val="hybridMultilevel"/>
    <w:tmpl w:val="99BA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01C"/>
    <w:multiLevelType w:val="multilevel"/>
    <w:tmpl w:val="F938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87E1F"/>
    <w:multiLevelType w:val="hybridMultilevel"/>
    <w:tmpl w:val="F56A9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7759"/>
    <w:multiLevelType w:val="hybridMultilevel"/>
    <w:tmpl w:val="CD90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713"/>
    <w:multiLevelType w:val="hybridMultilevel"/>
    <w:tmpl w:val="0CEA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460B"/>
    <w:multiLevelType w:val="hybridMultilevel"/>
    <w:tmpl w:val="B862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610BC"/>
    <w:multiLevelType w:val="multilevel"/>
    <w:tmpl w:val="77C4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12307"/>
    <w:multiLevelType w:val="hybridMultilevel"/>
    <w:tmpl w:val="1964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D5D"/>
    <w:multiLevelType w:val="hybridMultilevel"/>
    <w:tmpl w:val="3CB2E5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3AF"/>
    <w:multiLevelType w:val="hybridMultilevel"/>
    <w:tmpl w:val="F39C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D20FC"/>
    <w:multiLevelType w:val="hybridMultilevel"/>
    <w:tmpl w:val="246C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504D1"/>
    <w:multiLevelType w:val="hybridMultilevel"/>
    <w:tmpl w:val="C71A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C0ADB"/>
    <w:multiLevelType w:val="hybridMultilevel"/>
    <w:tmpl w:val="48AC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4AC"/>
    <w:multiLevelType w:val="hybridMultilevel"/>
    <w:tmpl w:val="F7426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7002"/>
    <w:multiLevelType w:val="hybridMultilevel"/>
    <w:tmpl w:val="8B9A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6"/>
  </w:num>
  <w:num w:numId="7">
    <w:abstractNumId w:val="15"/>
  </w:num>
  <w:num w:numId="8">
    <w:abstractNumId w:val="19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17"/>
  </w:num>
  <w:num w:numId="14">
    <w:abstractNumId w:val="7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ew England J Medicin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wwfa9sztxevvweave8xsxeleadfxarx9pxe&quot;&gt;Lithium suicide metaanalysis paper&lt;record-ids&gt;&lt;item&gt;283&lt;/item&gt;&lt;item&gt;347&lt;/item&gt;&lt;item&gt;365&lt;/item&gt;&lt;item&gt;366&lt;/item&gt;&lt;item&gt;367&lt;/item&gt;&lt;item&gt;368&lt;/item&gt;&lt;item&gt;369&lt;/item&gt;&lt;item&gt;370&lt;/item&gt;&lt;item&gt;371&lt;/item&gt;&lt;item&gt;372&lt;/item&gt;&lt;item&gt;373&lt;/item&gt;&lt;item&gt;375&lt;/item&gt;&lt;item&gt;376&lt;/item&gt;&lt;item&gt;377&lt;/item&gt;&lt;item&gt;378&lt;/item&gt;&lt;item&gt;379&lt;/item&gt;&lt;item&gt;380&lt;/item&gt;&lt;/record-ids&gt;&lt;/item&gt;&lt;/Libraries&gt;"/>
  </w:docVars>
  <w:rsids>
    <w:rsidRoot w:val="00A32209"/>
    <w:rsid w:val="000000FA"/>
    <w:rsid w:val="0000115D"/>
    <w:rsid w:val="00001725"/>
    <w:rsid w:val="00002E8A"/>
    <w:rsid w:val="00004E2F"/>
    <w:rsid w:val="00005C62"/>
    <w:rsid w:val="00005DC4"/>
    <w:rsid w:val="000067C6"/>
    <w:rsid w:val="000068DB"/>
    <w:rsid w:val="00006A0E"/>
    <w:rsid w:val="000103FD"/>
    <w:rsid w:val="00010F00"/>
    <w:rsid w:val="00011202"/>
    <w:rsid w:val="000118F6"/>
    <w:rsid w:val="00011D58"/>
    <w:rsid w:val="00012125"/>
    <w:rsid w:val="00012A05"/>
    <w:rsid w:val="0001340C"/>
    <w:rsid w:val="000137F3"/>
    <w:rsid w:val="00013C18"/>
    <w:rsid w:val="0001475B"/>
    <w:rsid w:val="000147BF"/>
    <w:rsid w:val="00014E06"/>
    <w:rsid w:val="00015150"/>
    <w:rsid w:val="00015921"/>
    <w:rsid w:val="0001595E"/>
    <w:rsid w:val="0001613D"/>
    <w:rsid w:val="00016D3B"/>
    <w:rsid w:val="00016E55"/>
    <w:rsid w:val="00017BA5"/>
    <w:rsid w:val="00017D6D"/>
    <w:rsid w:val="0002053B"/>
    <w:rsid w:val="00020B3F"/>
    <w:rsid w:val="00020DB6"/>
    <w:rsid w:val="00021163"/>
    <w:rsid w:val="00021348"/>
    <w:rsid w:val="00021E3F"/>
    <w:rsid w:val="00022188"/>
    <w:rsid w:val="00024A6E"/>
    <w:rsid w:val="00024DC8"/>
    <w:rsid w:val="00024E2C"/>
    <w:rsid w:val="00025CF8"/>
    <w:rsid w:val="000264B2"/>
    <w:rsid w:val="000272E8"/>
    <w:rsid w:val="0003061F"/>
    <w:rsid w:val="00031273"/>
    <w:rsid w:val="00031351"/>
    <w:rsid w:val="00031A84"/>
    <w:rsid w:val="00031B7B"/>
    <w:rsid w:val="00032827"/>
    <w:rsid w:val="00032B53"/>
    <w:rsid w:val="00032C0A"/>
    <w:rsid w:val="00032CB2"/>
    <w:rsid w:val="00033051"/>
    <w:rsid w:val="00033278"/>
    <w:rsid w:val="00033824"/>
    <w:rsid w:val="00033E9F"/>
    <w:rsid w:val="00033FA8"/>
    <w:rsid w:val="00034CC0"/>
    <w:rsid w:val="00034EDE"/>
    <w:rsid w:val="000356C0"/>
    <w:rsid w:val="00036993"/>
    <w:rsid w:val="00036AD4"/>
    <w:rsid w:val="00037022"/>
    <w:rsid w:val="00037553"/>
    <w:rsid w:val="00040741"/>
    <w:rsid w:val="00040A89"/>
    <w:rsid w:val="0004175E"/>
    <w:rsid w:val="00041B25"/>
    <w:rsid w:val="00042A6B"/>
    <w:rsid w:val="00042E11"/>
    <w:rsid w:val="00042F77"/>
    <w:rsid w:val="0004349A"/>
    <w:rsid w:val="0004391F"/>
    <w:rsid w:val="00043CC9"/>
    <w:rsid w:val="00043D49"/>
    <w:rsid w:val="00044701"/>
    <w:rsid w:val="00044E5A"/>
    <w:rsid w:val="00044F8B"/>
    <w:rsid w:val="0004579B"/>
    <w:rsid w:val="00045B17"/>
    <w:rsid w:val="00047A98"/>
    <w:rsid w:val="000508FD"/>
    <w:rsid w:val="00051450"/>
    <w:rsid w:val="000517F3"/>
    <w:rsid w:val="0005215D"/>
    <w:rsid w:val="000524A2"/>
    <w:rsid w:val="000528F1"/>
    <w:rsid w:val="00052E0A"/>
    <w:rsid w:val="000530B8"/>
    <w:rsid w:val="0005333A"/>
    <w:rsid w:val="00053AC3"/>
    <w:rsid w:val="00053C2F"/>
    <w:rsid w:val="00053E7D"/>
    <w:rsid w:val="00054903"/>
    <w:rsid w:val="00054923"/>
    <w:rsid w:val="00054BC1"/>
    <w:rsid w:val="00055E16"/>
    <w:rsid w:val="00055E92"/>
    <w:rsid w:val="00056281"/>
    <w:rsid w:val="00056308"/>
    <w:rsid w:val="00060500"/>
    <w:rsid w:val="000612F4"/>
    <w:rsid w:val="00061B48"/>
    <w:rsid w:val="00062022"/>
    <w:rsid w:val="00062259"/>
    <w:rsid w:val="000625B6"/>
    <w:rsid w:val="000629C8"/>
    <w:rsid w:val="000631EC"/>
    <w:rsid w:val="00063263"/>
    <w:rsid w:val="00063275"/>
    <w:rsid w:val="0006446A"/>
    <w:rsid w:val="00064607"/>
    <w:rsid w:val="00064D6C"/>
    <w:rsid w:val="0006501C"/>
    <w:rsid w:val="000650BD"/>
    <w:rsid w:val="00065B90"/>
    <w:rsid w:val="00065C9B"/>
    <w:rsid w:val="0006647C"/>
    <w:rsid w:val="00066A58"/>
    <w:rsid w:val="000674E1"/>
    <w:rsid w:val="00067A06"/>
    <w:rsid w:val="00067A33"/>
    <w:rsid w:val="00067BDC"/>
    <w:rsid w:val="00067DAD"/>
    <w:rsid w:val="00070185"/>
    <w:rsid w:val="0007028E"/>
    <w:rsid w:val="000703C2"/>
    <w:rsid w:val="00071044"/>
    <w:rsid w:val="00071264"/>
    <w:rsid w:val="00072CF9"/>
    <w:rsid w:val="00072F40"/>
    <w:rsid w:val="00072F8F"/>
    <w:rsid w:val="000731A6"/>
    <w:rsid w:val="00073204"/>
    <w:rsid w:val="00073406"/>
    <w:rsid w:val="0007351A"/>
    <w:rsid w:val="00074011"/>
    <w:rsid w:val="00075392"/>
    <w:rsid w:val="00075441"/>
    <w:rsid w:val="000759CC"/>
    <w:rsid w:val="00075DB7"/>
    <w:rsid w:val="0007762F"/>
    <w:rsid w:val="00080613"/>
    <w:rsid w:val="000809CF"/>
    <w:rsid w:val="000809F9"/>
    <w:rsid w:val="00080A1D"/>
    <w:rsid w:val="00080D33"/>
    <w:rsid w:val="00082815"/>
    <w:rsid w:val="0008353A"/>
    <w:rsid w:val="00083600"/>
    <w:rsid w:val="000836B7"/>
    <w:rsid w:val="00084270"/>
    <w:rsid w:val="00084B43"/>
    <w:rsid w:val="00085A33"/>
    <w:rsid w:val="00086645"/>
    <w:rsid w:val="00086AA6"/>
    <w:rsid w:val="000900FD"/>
    <w:rsid w:val="000912C3"/>
    <w:rsid w:val="00091728"/>
    <w:rsid w:val="00091F53"/>
    <w:rsid w:val="00092A70"/>
    <w:rsid w:val="0009355F"/>
    <w:rsid w:val="00093CA4"/>
    <w:rsid w:val="0009406E"/>
    <w:rsid w:val="00094ADA"/>
    <w:rsid w:val="00095716"/>
    <w:rsid w:val="000960A0"/>
    <w:rsid w:val="0009622F"/>
    <w:rsid w:val="0009682B"/>
    <w:rsid w:val="00096C9E"/>
    <w:rsid w:val="000970A8"/>
    <w:rsid w:val="00097230"/>
    <w:rsid w:val="000A184A"/>
    <w:rsid w:val="000A1A78"/>
    <w:rsid w:val="000A1DAE"/>
    <w:rsid w:val="000A39D2"/>
    <w:rsid w:val="000A3AB8"/>
    <w:rsid w:val="000A3D87"/>
    <w:rsid w:val="000A49B8"/>
    <w:rsid w:val="000A6FBD"/>
    <w:rsid w:val="000A7A94"/>
    <w:rsid w:val="000B0125"/>
    <w:rsid w:val="000B0F5A"/>
    <w:rsid w:val="000B187F"/>
    <w:rsid w:val="000B24D1"/>
    <w:rsid w:val="000B2587"/>
    <w:rsid w:val="000B3FED"/>
    <w:rsid w:val="000B4B05"/>
    <w:rsid w:val="000B5107"/>
    <w:rsid w:val="000B5723"/>
    <w:rsid w:val="000B6E53"/>
    <w:rsid w:val="000B77A0"/>
    <w:rsid w:val="000B7838"/>
    <w:rsid w:val="000B79DF"/>
    <w:rsid w:val="000C0736"/>
    <w:rsid w:val="000C07A6"/>
    <w:rsid w:val="000C09C7"/>
    <w:rsid w:val="000C0C08"/>
    <w:rsid w:val="000C15DE"/>
    <w:rsid w:val="000C1EA4"/>
    <w:rsid w:val="000C2BF9"/>
    <w:rsid w:val="000C2EE3"/>
    <w:rsid w:val="000C30BF"/>
    <w:rsid w:val="000C347B"/>
    <w:rsid w:val="000C37EE"/>
    <w:rsid w:val="000C446C"/>
    <w:rsid w:val="000C4501"/>
    <w:rsid w:val="000C450B"/>
    <w:rsid w:val="000C4758"/>
    <w:rsid w:val="000C495B"/>
    <w:rsid w:val="000C498E"/>
    <w:rsid w:val="000C5235"/>
    <w:rsid w:val="000C52AB"/>
    <w:rsid w:val="000C5CA4"/>
    <w:rsid w:val="000C6286"/>
    <w:rsid w:val="000C7228"/>
    <w:rsid w:val="000C7801"/>
    <w:rsid w:val="000C7958"/>
    <w:rsid w:val="000C7B78"/>
    <w:rsid w:val="000D0372"/>
    <w:rsid w:val="000D0B43"/>
    <w:rsid w:val="000D2317"/>
    <w:rsid w:val="000D26C6"/>
    <w:rsid w:val="000D2B74"/>
    <w:rsid w:val="000D3914"/>
    <w:rsid w:val="000D3FB8"/>
    <w:rsid w:val="000D4361"/>
    <w:rsid w:val="000D43D8"/>
    <w:rsid w:val="000D4E29"/>
    <w:rsid w:val="000D5043"/>
    <w:rsid w:val="000D6C78"/>
    <w:rsid w:val="000D7220"/>
    <w:rsid w:val="000D785C"/>
    <w:rsid w:val="000D7A07"/>
    <w:rsid w:val="000D7DAA"/>
    <w:rsid w:val="000E0B31"/>
    <w:rsid w:val="000E128A"/>
    <w:rsid w:val="000E14C7"/>
    <w:rsid w:val="000E281F"/>
    <w:rsid w:val="000E4A33"/>
    <w:rsid w:val="000E5104"/>
    <w:rsid w:val="000E5FD6"/>
    <w:rsid w:val="000E6573"/>
    <w:rsid w:val="000E6EA3"/>
    <w:rsid w:val="000E7B39"/>
    <w:rsid w:val="000E7DD3"/>
    <w:rsid w:val="000F08FC"/>
    <w:rsid w:val="000F09F6"/>
    <w:rsid w:val="000F1047"/>
    <w:rsid w:val="000F1A50"/>
    <w:rsid w:val="000F2648"/>
    <w:rsid w:val="000F27B1"/>
    <w:rsid w:val="000F2993"/>
    <w:rsid w:val="000F2FAC"/>
    <w:rsid w:val="000F3793"/>
    <w:rsid w:val="000F3909"/>
    <w:rsid w:val="000F3F9A"/>
    <w:rsid w:val="000F4C9C"/>
    <w:rsid w:val="000F4FC9"/>
    <w:rsid w:val="000F56C6"/>
    <w:rsid w:val="000F5B25"/>
    <w:rsid w:val="000F5C73"/>
    <w:rsid w:val="000F6A85"/>
    <w:rsid w:val="000F6F41"/>
    <w:rsid w:val="000F7061"/>
    <w:rsid w:val="000F73F9"/>
    <w:rsid w:val="000F77E2"/>
    <w:rsid w:val="000F7813"/>
    <w:rsid w:val="001005FA"/>
    <w:rsid w:val="001006CD"/>
    <w:rsid w:val="00100A27"/>
    <w:rsid w:val="00102272"/>
    <w:rsid w:val="0010284A"/>
    <w:rsid w:val="00102D96"/>
    <w:rsid w:val="00103247"/>
    <w:rsid w:val="00103F25"/>
    <w:rsid w:val="00103FF8"/>
    <w:rsid w:val="001059A0"/>
    <w:rsid w:val="00105D49"/>
    <w:rsid w:val="001061D2"/>
    <w:rsid w:val="00107052"/>
    <w:rsid w:val="001077C5"/>
    <w:rsid w:val="00107B36"/>
    <w:rsid w:val="00107E9C"/>
    <w:rsid w:val="00107F1D"/>
    <w:rsid w:val="00110069"/>
    <w:rsid w:val="00110527"/>
    <w:rsid w:val="00110A1D"/>
    <w:rsid w:val="0011193D"/>
    <w:rsid w:val="00113662"/>
    <w:rsid w:val="00113B84"/>
    <w:rsid w:val="001143CC"/>
    <w:rsid w:val="00114B8B"/>
    <w:rsid w:val="00116363"/>
    <w:rsid w:val="00116974"/>
    <w:rsid w:val="00116D06"/>
    <w:rsid w:val="00116F33"/>
    <w:rsid w:val="00117930"/>
    <w:rsid w:val="00120C00"/>
    <w:rsid w:val="00121744"/>
    <w:rsid w:val="001221CF"/>
    <w:rsid w:val="001227DA"/>
    <w:rsid w:val="00122AC2"/>
    <w:rsid w:val="00122E8B"/>
    <w:rsid w:val="00123413"/>
    <w:rsid w:val="00124D91"/>
    <w:rsid w:val="00125514"/>
    <w:rsid w:val="00126048"/>
    <w:rsid w:val="00126A25"/>
    <w:rsid w:val="00126B30"/>
    <w:rsid w:val="001270AC"/>
    <w:rsid w:val="00127208"/>
    <w:rsid w:val="00127617"/>
    <w:rsid w:val="00127745"/>
    <w:rsid w:val="00130685"/>
    <w:rsid w:val="00130E42"/>
    <w:rsid w:val="0013170C"/>
    <w:rsid w:val="00131D90"/>
    <w:rsid w:val="00132B3B"/>
    <w:rsid w:val="00133040"/>
    <w:rsid w:val="00133504"/>
    <w:rsid w:val="00133A67"/>
    <w:rsid w:val="001340F7"/>
    <w:rsid w:val="001343AA"/>
    <w:rsid w:val="001352CC"/>
    <w:rsid w:val="0013579A"/>
    <w:rsid w:val="00135AE7"/>
    <w:rsid w:val="001362C8"/>
    <w:rsid w:val="0013650B"/>
    <w:rsid w:val="00136DD5"/>
    <w:rsid w:val="001378AD"/>
    <w:rsid w:val="00137FF8"/>
    <w:rsid w:val="00140133"/>
    <w:rsid w:val="0014049E"/>
    <w:rsid w:val="0014117D"/>
    <w:rsid w:val="00141452"/>
    <w:rsid w:val="001415F5"/>
    <w:rsid w:val="00141C74"/>
    <w:rsid w:val="00141CBA"/>
    <w:rsid w:val="00141F98"/>
    <w:rsid w:val="00142887"/>
    <w:rsid w:val="00144053"/>
    <w:rsid w:val="0014413C"/>
    <w:rsid w:val="001447ED"/>
    <w:rsid w:val="00145405"/>
    <w:rsid w:val="00145C80"/>
    <w:rsid w:val="00145EB8"/>
    <w:rsid w:val="00146777"/>
    <w:rsid w:val="00146952"/>
    <w:rsid w:val="00146CB8"/>
    <w:rsid w:val="00147B86"/>
    <w:rsid w:val="00150405"/>
    <w:rsid w:val="00150425"/>
    <w:rsid w:val="001508E0"/>
    <w:rsid w:val="0015168E"/>
    <w:rsid w:val="001521DA"/>
    <w:rsid w:val="001541E6"/>
    <w:rsid w:val="0015426A"/>
    <w:rsid w:val="001545A6"/>
    <w:rsid w:val="0015488A"/>
    <w:rsid w:val="00154D3C"/>
    <w:rsid w:val="001563DE"/>
    <w:rsid w:val="00156B2C"/>
    <w:rsid w:val="00157A99"/>
    <w:rsid w:val="0016002A"/>
    <w:rsid w:val="00160246"/>
    <w:rsid w:val="00160289"/>
    <w:rsid w:val="00160F2F"/>
    <w:rsid w:val="00162828"/>
    <w:rsid w:val="0016300E"/>
    <w:rsid w:val="00163D21"/>
    <w:rsid w:val="00164472"/>
    <w:rsid w:val="00164724"/>
    <w:rsid w:val="00165714"/>
    <w:rsid w:val="00165F1F"/>
    <w:rsid w:val="00166191"/>
    <w:rsid w:val="001663E8"/>
    <w:rsid w:val="00166758"/>
    <w:rsid w:val="0016690E"/>
    <w:rsid w:val="00166D51"/>
    <w:rsid w:val="001671F5"/>
    <w:rsid w:val="00172382"/>
    <w:rsid w:val="00172C48"/>
    <w:rsid w:val="00174DA9"/>
    <w:rsid w:val="00174EFD"/>
    <w:rsid w:val="0017535C"/>
    <w:rsid w:val="00175B89"/>
    <w:rsid w:val="00175E32"/>
    <w:rsid w:val="00176043"/>
    <w:rsid w:val="001767E5"/>
    <w:rsid w:val="001772A3"/>
    <w:rsid w:val="00177500"/>
    <w:rsid w:val="00177832"/>
    <w:rsid w:val="00177966"/>
    <w:rsid w:val="00177C1A"/>
    <w:rsid w:val="0018047D"/>
    <w:rsid w:val="00180CE9"/>
    <w:rsid w:val="00181268"/>
    <w:rsid w:val="001812D6"/>
    <w:rsid w:val="001820C0"/>
    <w:rsid w:val="0018286A"/>
    <w:rsid w:val="001836B2"/>
    <w:rsid w:val="00183B91"/>
    <w:rsid w:val="00183E93"/>
    <w:rsid w:val="00184051"/>
    <w:rsid w:val="00184220"/>
    <w:rsid w:val="00184B82"/>
    <w:rsid w:val="00184EF8"/>
    <w:rsid w:val="001851EA"/>
    <w:rsid w:val="001852B5"/>
    <w:rsid w:val="001853A2"/>
    <w:rsid w:val="00185819"/>
    <w:rsid w:val="00185B1A"/>
    <w:rsid w:val="00186678"/>
    <w:rsid w:val="0018670B"/>
    <w:rsid w:val="00186AE0"/>
    <w:rsid w:val="00187342"/>
    <w:rsid w:val="0019100E"/>
    <w:rsid w:val="00191183"/>
    <w:rsid w:val="00191915"/>
    <w:rsid w:val="001926A2"/>
    <w:rsid w:val="00192A69"/>
    <w:rsid w:val="00192C6E"/>
    <w:rsid w:val="00193591"/>
    <w:rsid w:val="00194323"/>
    <w:rsid w:val="00195682"/>
    <w:rsid w:val="001966AA"/>
    <w:rsid w:val="00197345"/>
    <w:rsid w:val="00197F91"/>
    <w:rsid w:val="001A098A"/>
    <w:rsid w:val="001A0E3A"/>
    <w:rsid w:val="001A0F53"/>
    <w:rsid w:val="001A1ACD"/>
    <w:rsid w:val="001A206E"/>
    <w:rsid w:val="001A27B5"/>
    <w:rsid w:val="001A393F"/>
    <w:rsid w:val="001A5BA9"/>
    <w:rsid w:val="001A5CBC"/>
    <w:rsid w:val="001A60F2"/>
    <w:rsid w:val="001A780C"/>
    <w:rsid w:val="001A7CD7"/>
    <w:rsid w:val="001B082E"/>
    <w:rsid w:val="001B0F71"/>
    <w:rsid w:val="001B111B"/>
    <w:rsid w:val="001B2931"/>
    <w:rsid w:val="001B3431"/>
    <w:rsid w:val="001B34FC"/>
    <w:rsid w:val="001B39D9"/>
    <w:rsid w:val="001B42F0"/>
    <w:rsid w:val="001B4437"/>
    <w:rsid w:val="001B4D13"/>
    <w:rsid w:val="001B50A8"/>
    <w:rsid w:val="001B58FD"/>
    <w:rsid w:val="001B5A71"/>
    <w:rsid w:val="001B5F96"/>
    <w:rsid w:val="001B60D4"/>
    <w:rsid w:val="001B6A60"/>
    <w:rsid w:val="001B6CA9"/>
    <w:rsid w:val="001B7A9C"/>
    <w:rsid w:val="001B7FD8"/>
    <w:rsid w:val="001C022E"/>
    <w:rsid w:val="001C0373"/>
    <w:rsid w:val="001C0864"/>
    <w:rsid w:val="001C197D"/>
    <w:rsid w:val="001C1DA4"/>
    <w:rsid w:val="001C1EF4"/>
    <w:rsid w:val="001C22B7"/>
    <w:rsid w:val="001C320B"/>
    <w:rsid w:val="001C3457"/>
    <w:rsid w:val="001C347D"/>
    <w:rsid w:val="001C4A7C"/>
    <w:rsid w:val="001C4F7A"/>
    <w:rsid w:val="001C575B"/>
    <w:rsid w:val="001C5C45"/>
    <w:rsid w:val="001C6881"/>
    <w:rsid w:val="001C68C5"/>
    <w:rsid w:val="001C7B11"/>
    <w:rsid w:val="001D02BF"/>
    <w:rsid w:val="001D05C9"/>
    <w:rsid w:val="001D0AB3"/>
    <w:rsid w:val="001D0BA1"/>
    <w:rsid w:val="001D1D2D"/>
    <w:rsid w:val="001D2045"/>
    <w:rsid w:val="001D4D82"/>
    <w:rsid w:val="001D505C"/>
    <w:rsid w:val="001D6091"/>
    <w:rsid w:val="001D75F1"/>
    <w:rsid w:val="001D786C"/>
    <w:rsid w:val="001E0F2B"/>
    <w:rsid w:val="001E1A65"/>
    <w:rsid w:val="001E1BBD"/>
    <w:rsid w:val="001E29CA"/>
    <w:rsid w:val="001E3A5B"/>
    <w:rsid w:val="001E45B5"/>
    <w:rsid w:val="001E4682"/>
    <w:rsid w:val="001E4D60"/>
    <w:rsid w:val="001E4E90"/>
    <w:rsid w:val="001E57E4"/>
    <w:rsid w:val="001E5B2A"/>
    <w:rsid w:val="001E61ED"/>
    <w:rsid w:val="001E61F6"/>
    <w:rsid w:val="001E6D23"/>
    <w:rsid w:val="001E6F87"/>
    <w:rsid w:val="001F03FC"/>
    <w:rsid w:val="001F08BF"/>
    <w:rsid w:val="001F08C9"/>
    <w:rsid w:val="001F0BF9"/>
    <w:rsid w:val="001F1B16"/>
    <w:rsid w:val="001F1B85"/>
    <w:rsid w:val="001F305A"/>
    <w:rsid w:val="001F5BE6"/>
    <w:rsid w:val="001F5FC9"/>
    <w:rsid w:val="00200091"/>
    <w:rsid w:val="00200768"/>
    <w:rsid w:val="00200C28"/>
    <w:rsid w:val="002012BF"/>
    <w:rsid w:val="00201752"/>
    <w:rsid w:val="00201A45"/>
    <w:rsid w:val="0020201E"/>
    <w:rsid w:val="00202A40"/>
    <w:rsid w:val="00202DF9"/>
    <w:rsid w:val="00202F66"/>
    <w:rsid w:val="0020321E"/>
    <w:rsid w:val="002034D4"/>
    <w:rsid w:val="002039ED"/>
    <w:rsid w:val="00203FCE"/>
    <w:rsid w:val="002049B8"/>
    <w:rsid w:val="00204B65"/>
    <w:rsid w:val="00205BE3"/>
    <w:rsid w:val="00206002"/>
    <w:rsid w:val="002066A3"/>
    <w:rsid w:val="002076E6"/>
    <w:rsid w:val="00207B0E"/>
    <w:rsid w:val="00210102"/>
    <w:rsid w:val="002102C9"/>
    <w:rsid w:val="0021035C"/>
    <w:rsid w:val="00210708"/>
    <w:rsid w:val="00210DFB"/>
    <w:rsid w:val="00210E23"/>
    <w:rsid w:val="002119D9"/>
    <w:rsid w:val="00211A89"/>
    <w:rsid w:val="00212012"/>
    <w:rsid w:val="002121A0"/>
    <w:rsid w:val="00212A4C"/>
    <w:rsid w:val="0021327B"/>
    <w:rsid w:val="0021353D"/>
    <w:rsid w:val="0021439E"/>
    <w:rsid w:val="002148BC"/>
    <w:rsid w:val="00214DD2"/>
    <w:rsid w:val="00215248"/>
    <w:rsid w:val="00215DD0"/>
    <w:rsid w:val="00216786"/>
    <w:rsid w:val="002177A7"/>
    <w:rsid w:val="0022034E"/>
    <w:rsid w:val="00220700"/>
    <w:rsid w:val="00220E96"/>
    <w:rsid w:val="00221377"/>
    <w:rsid w:val="002227FE"/>
    <w:rsid w:val="00223508"/>
    <w:rsid w:val="0022432A"/>
    <w:rsid w:val="002243DE"/>
    <w:rsid w:val="00225330"/>
    <w:rsid w:val="002255D1"/>
    <w:rsid w:val="002256A5"/>
    <w:rsid w:val="00226276"/>
    <w:rsid w:val="0022644F"/>
    <w:rsid w:val="002264E0"/>
    <w:rsid w:val="00226EC4"/>
    <w:rsid w:val="00230097"/>
    <w:rsid w:val="00231EBF"/>
    <w:rsid w:val="00231FDD"/>
    <w:rsid w:val="002323B8"/>
    <w:rsid w:val="00232426"/>
    <w:rsid w:val="00234A34"/>
    <w:rsid w:val="0023516D"/>
    <w:rsid w:val="0023537D"/>
    <w:rsid w:val="002356DA"/>
    <w:rsid w:val="00235A4D"/>
    <w:rsid w:val="0023651B"/>
    <w:rsid w:val="002368DF"/>
    <w:rsid w:val="00236922"/>
    <w:rsid w:val="00240BB7"/>
    <w:rsid w:val="00241119"/>
    <w:rsid w:val="00241249"/>
    <w:rsid w:val="00241C99"/>
    <w:rsid w:val="00241D9B"/>
    <w:rsid w:val="002425E7"/>
    <w:rsid w:val="0024283F"/>
    <w:rsid w:val="00243A1B"/>
    <w:rsid w:val="0024428C"/>
    <w:rsid w:val="00244A7B"/>
    <w:rsid w:val="00244FB2"/>
    <w:rsid w:val="00246722"/>
    <w:rsid w:val="002467FE"/>
    <w:rsid w:val="00246D62"/>
    <w:rsid w:val="00246DCE"/>
    <w:rsid w:val="00247D7A"/>
    <w:rsid w:val="00247F39"/>
    <w:rsid w:val="00250226"/>
    <w:rsid w:val="002508DF"/>
    <w:rsid w:val="00250BA4"/>
    <w:rsid w:val="00251000"/>
    <w:rsid w:val="00251D15"/>
    <w:rsid w:val="00251E5E"/>
    <w:rsid w:val="0025233A"/>
    <w:rsid w:val="002529F4"/>
    <w:rsid w:val="00252B4F"/>
    <w:rsid w:val="00252F75"/>
    <w:rsid w:val="00253610"/>
    <w:rsid w:val="002541C9"/>
    <w:rsid w:val="002546BC"/>
    <w:rsid w:val="00254707"/>
    <w:rsid w:val="0025499E"/>
    <w:rsid w:val="00255500"/>
    <w:rsid w:val="002556D1"/>
    <w:rsid w:val="00256C47"/>
    <w:rsid w:val="0025716B"/>
    <w:rsid w:val="002578AA"/>
    <w:rsid w:val="00257CFE"/>
    <w:rsid w:val="002600C8"/>
    <w:rsid w:val="00260418"/>
    <w:rsid w:val="0026166C"/>
    <w:rsid w:val="002617E8"/>
    <w:rsid w:val="00261D76"/>
    <w:rsid w:val="00263485"/>
    <w:rsid w:val="002635BF"/>
    <w:rsid w:val="002637F2"/>
    <w:rsid w:val="002638C2"/>
    <w:rsid w:val="0026396D"/>
    <w:rsid w:val="00263D24"/>
    <w:rsid w:val="00264852"/>
    <w:rsid w:val="00264A06"/>
    <w:rsid w:val="00264A9F"/>
    <w:rsid w:val="00265365"/>
    <w:rsid w:val="002654C4"/>
    <w:rsid w:val="0026652F"/>
    <w:rsid w:val="00266677"/>
    <w:rsid w:val="0026740D"/>
    <w:rsid w:val="00267C1C"/>
    <w:rsid w:val="00267F0C"/>
    <w:rsid w:val="00270410"/>
    <w:rsid w:val="00271672"/>
    <w:rsid w:val="002727B7"/>
    <w:rsid w:val="002728A9"/>
    <w:rsid w:val="00272E72"/>
    <w:rsid w:val="00273817"/>
    <w:rsid w:val="00273F95"/>
    <w:rsid w:val="00274911"/>
    <w:rsid w:val="00274E46"/>
    <w:rsid w:val="002752B3"/>
    <w:rsid w:val="00276179"/>
    <w:rsid w:val="0027625D"/>
    <w:rsid w:val="00276A74"/>
    <w:rsid w:val="00276F6D"/>
    <w:rsid w:val="002776AE"/>
    <w:rsid w:val="00277E43"/>
    <w:rsid w:val="0028007D"/>
    <w:rsid w:val="0028036C"/>
    <w:rsid w:val="002814A6"/>
    <w:rsid w:val="002816A8"/>
    <w:rsid w:val="00281DBA"/>
    <w:rsid w:val="00282970"/>
    <w:rsid w:val="00282A92"/>
    <w:rsid w:val="00283479"/>
    <w:rsid w:val="002835A5"/>
    <w:rsid w:val="00283E1D"/>
    <w:rsid w:val="002845F1"/>
    <w:rsid w:val="00284A25"/>
    <w:rsid w:val="0028551B"/>
    <w:rsid w:val="002855D4"/>
    <w:rsid w:val="0028564A"/>
    <w:rsid w:val="00285EBE"/>
    <w:rsid w:val="00286A5F"/>
    <w:rsid w:val="00287303"/>
    <w:rsid w:val="00287683"/>
    <w:rsid w:val="00290165"/>
    <w:rsid w:val="0029076B"/>
    <w:rsid w:val="002909C7"/>
    <w:rsid w:val="0029160E"/>
    <w:rsid w:val="00291BB0"/>
    <w:rsid w:val="002923FD"/>
    <w:rsid w:val="002930A4"/>
    <w:rsid w:val="002945CE"/>
    <w:rsid w:val="00294665"/>
    <w:rsid w:val="002946CB"/>
    <w:rsid w:val="00294BB3"/>
    <w:rsid w:val="002955B3"/>
    <w:rsid w:val="0029566C"/>
    <w:rsid w:val="00295D6A"/>
    <w:rsid w:val="00296371"/>
    <w:rsid w:val="00296504"/>
    <w:rsid w:val="00296EFE"/>
    <w:rsid w:val="00297927"/>
    <w:rsid w:val="002A16E1"/>
    <w:rsid w:val="002A1CDB"/>
    <w:rsid w:val="002A28C1"/>
    <w:rsid w:val="002A3E7F"/>
    <w:rsid w:val="002A526C"/>
    <w:rsid w:val="002A6DAB"/>
    <w:rsid w:val="002A7143"/>
    <w:rsid w:val="002A7653"/>
    <w:rsid w:val="002A7AC0"/>
    <w:rsid w:val="002A7D6B"/>
    <w:rsid w:val="002B0092"/>
    <w:rsid w:val="002B0BB3"/>
    <w:rsid w:val="002B109C"/>
    <w:rsid w:val="002B1352"/>
    <w:rsid w:val="002B1572"/>
    <w:rsid w:val="002B268D"/>
    <w:rsid w:val="002B26DD"/>
    <w:rsid w:val="002B275E"/>
    <w:rsid w:val="002B2AAB"/>
    <w:rsid w:val="002B3047"/>
    <w:rsid w:val="002B3BDA"/>
    <w:rsid w:val="002B4E5C"/>
    <w:rsid w:val="002B4FBD"/>
    <w:rsid w:val="002B5B78"/>
    <w:rsid w:val="002B5F93"/>
    <w:rsid w:val="002B6390"/>
    <w:rsid w:val="002B6E60"/>
    <w:rsid w:val="002B7379"/>
    <w:rsid w:val="002B76B0"/>
    <w:rsid w:val="002B7C10"/>
    <w:rsid w:val="002C03E0"/>
    <w:rsid w:val="002C1B1A"/>
    <w:rsid w:val="002C383B"/>
    <w:rsid w:val="002C3BAD"/>
    <w:rsid w:val="002C428C"/>
    <w:rsid w:val="002C4999"/>
    <w:rsid w:val="002C49F4"/>
    <w:rsid w:val="002C4B38"/>
    <w:rsid w:val="002C4D31"/>
    <w:rsid w:val="002C5799"/>
    <w:rsid w:val="002C5C15"/>
    <w:rsid w:val="002C6E82"/>
    <w:rsid w:val="002D1C2B"/>
    <w:rsid w:val="002D1F13"/>
    <w:rsid w:val="002D371D"/>
    <w:rsid w:val="002D4F4A"/>
    <w:rsid w:val="002D512E"/>
    <w:rsid w:val="002D5733"/>
    <w:rsid w:val="002D6097"/>
    <w:rsid w:val="002D6305"/>
    <w:rsid w:val="002D6BF3"/>
    <w:rsid w:val="002D6D77"/>
    <w:rsid w:val="002D7086"/>
    <w:rsid w:val="002D73FB"/>
    <w:rsid w:val="002D78C3"/>
    <w:rsid w:val="002E0860"/>
    <w:rsid w:val="002E1156"/>
    <w:rsid w:val="002E1972"/>
    <w:rsid w:val="002E1DF5"/>
    <w:rsid w:val="002E1FDF"/>
    <w:rsid w:val="002E2127"/>
    <w:rsid w:val="002E23B5"/>
    <w:rsid w:val="002E24CC"/>
    <w:rsid w:val="002E2960"/>
    <w:rsid w:val="002E3448"/>
    <w:rsid w:val="002E3996"/>
    <w:rsid w:val="002E3E79"/>
    <w:rsid w:val="002E5328"/>
    <w:rsid w:val="002E5E1D"/>
    <w:rsid w:val="002E6CE9"/>
    <w:rsid w:val="002E75C9"/>
    <w:rsid w:val="002F00CA"/>
    <w:rsid w:val="002F1CA0"/>
    <w:rsid w:val="002F3F99"/>
    <w:rsid w:val="002F463F"/>
    <w:rsid w:val="002F4B80"/>
    <w:rsid w:val="002F54AD"/>
    <w:rsid w:val="002F56C7"/>
    <w:rsid w:val="002F5B4D"/>
    <w:rsid w:val="002F6164"/>
    <w:rsid w:val="002F61CB"/>
    <w:rsid w:val="002F65E9"/>
    <w:rsid w:val="002F6839"/>
    <w:rsid w:val="002F6DD2"/>
    <w:rsid w:val="002F721F"/>
    <w:rsid w:val="002F75E9"/>
    <w:rsid w:val="002F7C70"/>
    <w:rsid w:val="002F7FD3"/>
    <w:rsid w:val="0030045E"/>
    <w:rsid w:val="00300BB1"/>
    <w:rsid w:val="00300E48"/>
    <w:rsid w:val="0030122D"/>
    <w:rsid w:val="00301304"/>
    <w:rsid w:val="0030712D"/>
    <w:rsid w:val="003101CF"/>
    <w:rsid w:val="00310615"/>
    <w:rsid w:val="00310917"/>
    <w:rsid w:val="00310A13"/>
    <w:rsid w:val="00310CCE"/>
    <w:rsid w:val="00312E22"/>
    <w:rsid w:val="00312FDA"/>
    <w:rsid w:val="00314A70"/>
    <w:rsid w:val="00314B21"/>
    <w:rsid w:val="00315FFB"/>
    <w:rsid w:val="0031761A"/>
    <w:rsid w:val="00320716"/>
    <w:rsid w:val="00320785"/>
    <w:rsid w:val="00321864"/>
    <w:rsid w:val="00322683"/>
    <w:rsid w:val="00322A22"/>
    <w:rsid w:val="00322B29"/>
    <w:rsid w:val="00322E1C"/>
    <w:rsid w:val="0032422F"/>
    <w:rsid w:val="00324E5F"/>
    <w:rsid w:val="003252AC"/>
    <w:rsid w:val="00325742"/>
    <w:rsid w:val="00325AAB"/>
    <w:rsid w:val="00325B7A"/>
    <w:rsid w:val="00326C1C"/>
    <w:rsid w:val="003272E0"/>
    <w:rsid w:val="0033035C"/>
    <w:rsid w:val="00330F64"/>
    <w:rsid w:val="00331B8B"/>
    <w:rsid w:val="00331E2E"/>
    <w:rsid w:val="0033273C"/>
    <w:rsid w:val="0033388B"/>
    <w:rsid w:val="003345A2"/>
    <w:rsid w:val="003345C8"/>
    <w:rsid w:val="00335115"/>
    <w:rsid w:val="00336D90"/>
    <w:rsid w:val="00340089"/>
    <w:rsid w:val="00340477"/>
    <w:rsid w:val="00340C66"/>
    <w:rsid w:val="00342370"/>
    <w:rsid w:val="00342DEE"/>
    <w:rsid w:val="003439F7"/>
    <w:rsid w:val="003448B8"/>
    <w:rsid w:val="00344EEB"/>
    <w:rsid w:val="003458BA"/>
    <w:rsid w:val="003465E5"/>
    <w:rsid w:val="00346A8F"/>
    <w:rsid w:val="00347277"/>
    <w:rsid w:val="003476DE"/>
    <w:rsid w:val="0035070F"/>
    <w:rsid w:val="00350D9D"/>
    <w:rsid w:val="00352009"/>
    <w:rsid w:val="00352848"/>
    <w:rsid w:val="0035378A"/>
    <w:rsid w:val="00353BE6"/>
    <w:rsid w:val="00353DAB"/>
    <w:rsid w:val="0035537B"/>
    <w:rsid w:val="00355815"/>
    <w:rsid w:val="00355CCB"/>
    <w:rsid w:val="00356340"/>
    <w:rsid w:val="00356763"/>
    <w:rsid w:val="00357685"/>
    <w:rsid w:val="00357838"/>
    <w:rsid w:val="003579F2"/>
    <w:rsid w:val="003614B3"/>
    <w:rsid w:val="00361768"/>
    <w:rsid w:val="00361A1F"/>
    <w:rsid w:val="0036256E"/>
    <w:rsid w:val="00362C25"/>
    <w:rsid w:val="00362D74"/>
    <w:rsid w:val="00363987"/>
    <w:rsid w:val="0036416E"/>
    <w:rsid w:val="003647C5"/>
    <w:rsid w:val="00364D6E"/>
    <w:rsid w:val="003667D5"/>
    <w:rsid w:val="003669E6"/>
    <w:rsid w:val="00366BEF"/>
    <w:rsid w:val="003674E3"/>
    <w:rsid w:val="00367820"/>
    <w:rsid w:val="00367B05"/>
    <w:rsid w:val="00367CAE"/>
    <w:rsid w:val="003704A6"/>
    <w:rsid w:val="00370A94"/>
    <w:rsid w:val="003713C0"/>
    <w:rsid w:val="003731A7"/>
    <w:rsid w:val="0037409C"/>
    <w:rsid w:val="00374350"/>
    <w:rsid w:val="00374422"/>
    <w:rsid w:val="00374953"/>
    <w:rsid w:val="003758B8"/>
    <w:rsid w:val="00375A1B"/>
    <w:rsid w:val="003761B3"/>
    <w:rsid w:val="0037740E"/>
    <w:rsid w:val="003777DB"/>
    <w:rsid w:val="00383EBD"/>
    <w:rsid w:val="00383ED9"/>
    <w:rsid w:val="00384222"/>
    <w:rsid w:val="003852DA"/>
    <w:rsid w:val="00385B0C"/>
    <w:rsid w:val="00385BB2"/>
    <w:rsid w:val="00385E5F"/>
    <w:rsid w:val="00386BB4"/>
    <w:rsid w:val="00387147"/>
    <w:rsid w:val="003879FC"/>
    <w:rsid w:val="00387FF0"/>
    <w:rsid w:val="003911D0"/>
    <w:rsid w:val="00391E97"/>
    <w:rsid w:val="00391FEA"/>
    <w:rsid w:val="00392C35"/>
    <w:rsid w:val="003931A3"/>
    <w:rsid w:val="00394CEB"/>
    <w:rsid w:val="0039535E"/>
    <w:rsid w:val="00395A0A"/>
    <w:rsid w:val="00395D25"/>
    <w:rsid w:val="00395F6E"/>
    <w:rsid w:val="003960BF"/>
    <w:rsid w:val="00396192"/>
    <w:rsid w:val="0039635D"/>
    <w:rsid w:val="00396B7A"/>
    <w:rsid w:val="00396D79"/>
    <w:rsid w:val="00397796"/>
    <w:rsid w:val="003A00C0"/>
    <w:rsid w:val="003A0169"/>
    <w:rsid w:val="003A0B69"/>
    <w:rsid w:val="003A0BB8"/>
    <w:rsid w:val="003A185C"/>
    <w:rsid w:val="003A1B8B"/>
    <w:rsid w:val="003A1F72"/>
    <w:rsid w:val="003A2FCA"/>
    <w:rsid w:val="003A42A4"/>
    <w:rsid w:val="003A4C76"/>
    <w:rsid w:val="003A53B4"/>
    <w:rsid w:val="003A5AF9"/>
    <w:rsid w:val="003A5F7F"/>
    <w:rsid w:val="003A6500"/>
    <w:rsid w:val="003A6E21"/>
    <w:rsid w:val="003A6EA7"/>
    <w:rsid w:val="003A715A"/>
    <w:rsid w:val="003B00F3"/>
    <w:rsid w:val="003B12B8"/>
    <w:rsid w:val="003B196A"/>
    <w:rsid w:val="003B1A8A"/>
    <w:rsid w:val="003B2056"/>
    <w:rsid w:val="003B2E73"/>
    <w:rsid w:val="003B4D93"/>
    <w:rsid w:val="003B4EC6"/>
    <w:rsid w:val="003B56A2"/>
    <w:rsid w:val="003B5E76"/>
    <w:rsid w:val="003B6992"/>
    <w:rsid w:val="003B7C82"/>
    <w:rsid w:val="003C0333"/>
    <w:rsid w:val="003C04E8"/>
    <w:rsid w:val="003C11BB"/>
    <w:rsid w:val="003C12AE"/>
    <w:rsid w:val="003C19FE"/>
    <w:rsid w:val="003C220A"/>
    <w:rsid w:val="003C242F"/>
    <w:rsid w:val="003C2514"/>
    <w:rsid w:val="003C4B39"/>
    <w:rsid w:val="003C665D"/>
    <w:rsid w:val="003C7261"/>
    <w:rsid w:val="003D047C"/>
    <w:rsid w:val="003D04A9"/>
    <w:rsid w:val="003D117D"/>
    <w:rsid w:val="003D13FD"/>
    <w:rsid w:val="003D15FA"/>
    <w:rsid w:val="003D1EF8"/>
    <w:rsid w:val="003D1FB5"/>
    <w:rsid w:val="003D29D0"/>
    <w:rsid w:val="003D31BC"/>
    <w:rsid w:val="003D4DB4"/>
    <w:rsid w:val="003D4F15"/>
    <w:rsid w:val="003D60D7"/>
    <w:rsid w:val="003D66B7"/>
    <w:rsid w:val="003D6BF7"/>
    <w:rsid w:val="003D6FFD"/>
    <w:rsid w:val="003D724D"/>
    <w:rsid w:val="003D7900"/>
    <w:rsid w:val="003E0168"/>
    <w:rsid w:val="003E0974"/>
    <w:rsid w:val="003E0BF7"/>
    <w:rsid w:val="003E1050"/>
    <w:rsid w:val="003E334A"/>
    <w:rsid w:val="003E37C1"/>
    <w:rsid w:val="003E39C3"/>
    <w:rsid w:val="003E3A84"/>
    <w:rsid w:val="003E3DA2"/>
    <w:rsid w:val="003E3EB1"/>
    <w:rsid w:val="003E484F"/>
    <w:rsid w:val="003E5222"/>
    <w:rsid w:val="003E558D"/>
    <w:rsid w:val="003E55B8"/>
    <w:rsid w:val="003E5AD0"/>
    <w:rsid w:val="003E5D05"/>
    <w:rsid w:val="003E5E51"/>
    <w:rsid w:val="003E6F5F"/>
    <w:rsid w:val="003E7637"/>
    <w:rsid w:val="003F068A"/>
    <w:rsid w:val="003F139F"/>
    <w:rsid w:val="003F16F4"/>
    <w:rsid w:val="003F246E"/>
    <w:rsid w:val="003F25D5"/>
    <w:rsid w:val="003F321D"/>
    <w:rsid w:val="003F35D8"/>
    <w:rsid w:val="003F37E0"/>
    <w:rsid w:val="003F407D"/>
    <w:rsid w:val="003F43C3"/>
    <w:rsid w:val="003F5165"/>
    <w:rsid w:val="003F561E"/>
    <w:rsid w:val="003F5665"/>
    <w:rsid w:val="003F586E"/>
    <w:rsid w:val="003F6036"/>
    <w:rsid w:val="003F6E9C"/>
    <w:rsid w:val="003F7CD2"/>
    <w:rsid w:val="003F7CF1"/>
    <w:rsid w:val="003F7E6C"/>
    <w:rsid w:val="004017C4"/>
    <w:rsid w:val="00402659"/>
    <w:rsid w:val="00402A81"/>
    <w:rsid w:val="00403D9F"/>
    <w:rsid w:val="00404177"/>
    <w:rsid w:val="004043E1"/>
    <w:rsid w:val="0040445A"/>
    <w:rsid w:val="0040502C"/>
    <w:rsid w:val="00406168"/>
    <w:rsid w:val="004064FB"/>
    <w:rsid w:val="00406F31"/>
    <w:rsid w:val="00407C80"/>
    <w:rsid w:val="004115F6"/>
    <w:rsid w:val="004116C7"/>
    <w:rsid w:val="00413533"/>
    <w:rsid w:val="00413D8C"/>
    <w:rsid w:val="004140B7"/>
    <w:rsid w:val="0041525E"/>
    <w:rsid w:val="0041570F"/>
    <w:rsid w:val="00415BEE"/>
    <w:rsid w:val="004174AB"/>
    <w:rsid w:val="004175F1"/>
    <w:rsid w:val="004178D0"/>
    <w:rsid w:val="00417EC8"/>
    <w:rsid w:val="00420A17"/>
    <w:rsid w:val="00421867"/>
    <w:rsid w:val="00422E25"/>
    <w:rsid w:val="0042324F"/>
    <w:rsid w:val="00423BA8"/>
    <w:rsid w:val="00424697"/>
    <w:rsid w:val="00424D8A"/>
    <w:rsid w:val="0042532D"/>
    <w:rsid w:val="004255F1"/>
    <w:rsid w:val="00425BEF"/>
    <w:rsid w:val="00426341"/>
    <w:rsid w:val="0042682B"/>
    <w:rsid w:val="0042758A"/>
    <w:rsid w:val="0042759A"/>
    <w:rsid w:val="00427DE0"/>
    <w:rsid w:val="0043058B"/>
    <w:rsid w:val="00430BED"/>
    <w:rsid w:val="00430E3E"/>
    <w:rsid w:val="00430F11"/>
    <w:rsid w:val="00431C25"/>
    <w:rsid w:val="00431EB4"/>
    <w:rsid w:val="00431FEF"/>
    <w:rsid w:val="0043263F"/>
    <w:rsid w:val="00432754"/>
    <w:rsid w:val="004337BD"/>
    <w:rsid w:val="004343E0"/>
    <w:rsid w:val="0043560A"/>
    <w:rsid w:val="00436315"/>
    <w:rsid w:val="004363AA"/>
    <w:rsid w:val="004364AF"/>
    <w:rsid w:val="00436DAD"/>
    <w:rsid w:val="00436E1D"/>
    <w:rsid w:val="0043708E"/>
    <w:rsid w:val="00437ABF"/>
    <w:rsid w:val="004407F8"/>
    <w:rsid w:val="00441333"/>
    <w:rsid w:val="00441421"/>
    <w:rsid w:val="00441591"/>
    <w:rsid w:val="00441AB5"/>
    <w:rsid w:val="004420C3"/>
    <w:rsid w:val="00442F47"/>
    <w:rsid w:val="00443EF4"/>
    <w:rsid w:val="00445153"/>
    <w:rsid w:val="00445A0F"/>
    <w:rsid w:val="00445BC2"/>
    <w:rsid w:val="0044661E"/>
    <w:rsid w:val="0044692D"/>
    <w:rsid w:val="00447761"/>
    <w:rsid w:val="004478B9"/>
    <w:rsid w:val="0045082B"/>
    <w:rsid w:val="00450878"/>
    <w:rsid w:val="00451809"/>
    <w:rsid w:val="0045187F"/>
    <w:rsid w:val="00452F0F"/>
    <w:rsid w:val="004541E7"/>
    <w:rsid w:val="00454FE0"/>
    <w:rsid w:val="004550EA"/>
    <w:rsid w:val="004557D3"/>
    <w:rsid w:val="00457A2C"/>
    <w:rsid w:val="00460EDC"/>
    <w:rsid w:val="004614D4"/>
    <w:rsid w:val="00461C0A"/>
    <w:rsid w:val="00461EE0"/>
    <w:rsid w:val="00462139"/>
    <w:rsid w:val="004621B7"/>
    <w:rsid w:val="00462AA7"/>
    <w:rsid w:val="00462FA5"/>
    <w:rsid w:val="004637A0"/>
    <w:rsid w:val="004643E2"/>
    <w:rsid w:val="0046494A"/>
    <w:rsid w:val="00464B85"/>
    <w:rsid w:val="00465553"/>
    <w:rsid w:val="00466675"/>
    <w:rsid w:val="00470B0B"/>
    <w:rsid w:val="004718A4"/>
    <w:rsid w:val="00471F30"/>
    <w:rsid w:val="00471FC0"/>
    <w:rsid w:val="00472483"/>
    <w:rsid w:val="004731D2"/>
    <w:rsid w:val="00473EF0"/>
    <w:rsid w:val="00474D54"/>
    <w:rsid w:val="00474F8E"/>
    <w:rsid w:val="00476404"/>
    <w:rsid w:val="00477650"/>
    <w:rsid w:val="00477803"/>
    <w:rsid w:val="00480703"/>
    <w:rsid w:val="004807F1"/>
    <w:rsid w:val="0048162C"/>
    <w:rsid w:val="004823E2"/>
    <w:rsid w:val="00482B41"/>
    <w:rsid w:val="00482C9E"/>
    <w:rsid w:val="00483597"/>
    <w:rsid w:val="00483A83"/>
    <w:rsid w:val="004844D0"/>
    <w:rsid w:val="00485012"/>
    <w:rsid w:val="004855C3"/>
    <w:rsid w:val="00485A13"/>
    <w:rsid w:val="00485CEF"/>
    <w:rsid w:val="004860F3"/>
    <w:rsid w:val="004862A6"/>
    <w:rsid w:val="00486785"/>
    <w:rsid w:val="004879BE"/>
    <w:rsid w:val="00490028"/>
    <w:rsid w:val="0049007F"/>
    <w:rsid w:val="00490B9D"/>
    <w:rsid w:val="00492ECF"/>
    <w:rsid w:val="00493B2D"/>
    <w:rsid w:val="00494EA6"/>
    <w:rsid w:val="00495656"/>
    <w:rsid w:val="00495DE6"/>
    <w:rsid w:val="00495EAE"/>
    <w:rsid w:val="004968A3"/>
    <w:rsid w:val="00496957"/>
    <w:rsid w:val="0049731C"/>
    <w:rsid w:val="0049738F"/>
    <w:rsid w:val="004973B5"/>
    <w:rsid w:val="0049750F"/>
    <w:rsid w:val="0049756E"/>
    <w:rsid w:val="004A1BE1"/>
    <w:rsid w:val="004A1DFF"/>
    <w:rsid w:val="004A22DD"/>
    <w:rsid w:val="004A2651"/>
    <w:rsid w:val="004A2F27"/>
    <w:rsid w:val="004A2FFA"/>
    <w:rsid w:val="004A3A1E"/>
    <w:rsid w:val="004A3BBB"/>
    <w:rsid w:val="004A3FEE"/>
    <w:rsid w:val="004A465C"/>
    <w:rsid w:val="004A4B3C"/>
    <w:rsid w:val="004A4EAF"/>
    <w:rsid w:val="004A4F35"/>
    <w:rsid w:val="004A5238"/>
    <w:rsid w:val="004A5449"/>
    <w:rsid w:val="004A60A3"/>
    <w:rsid w:val="004A6E4F"/>
    <w:rsid w:val="004A6E67"/>
    <w:rsid w:val="004A78EE"/>
    <w:rsid w:val="004A7C34"/>
    <w:rsid w:val="004B09B0"/>
    <w:rsid w:val="004B0ACE"/>
    <w:rsid w:val="004B0EC3"/>
    <w:rsid w:val="004B1269"/>
    <w:rsid w:val="004B1DA2"/>
    <w:rsid w:val="004B263C"/>
    <w:rsid w:val="004B2A5C"/>
    <w:rsid w:val="004B2C76"/>
    <w:rsid w:val="004B3B70"/>
    <w:rsid w:val="004B3FC3"/>
    <w:rsid w:val="004B41FC"/>
    <w:rsid w:val="004B466E"/>
    <w:rsid w:val="004B4AFD"/>
    <w:rsid w:val="004B5C35"/>
    <w:rsid w:val="004B5F44"/>
    <w:rsid w:val="004B5FED"/>
    <w:rsid w:val="004B600B"/>
    <w:rsid w:val="004B66EF"/>
    <w:rsid w:val="004B7456"/>
    <w:rsid w:val="004B75CD"/>
    <w:rsid w:val="004B76CB"/>
    <w:rsid w:val="004B7E10"/>
    <w:rsid w:val="004C09B5"/>
    <w:rsid w:val="004C0B09"/>
    <w:rsid w:val="004C1A0F"/>
    <w:rsid w:val="004C1C4E"/>
    <w:rsid w:val="004C3FF4"/>
    <w:rsid w:val="004C4C67"/>
    <w:rsid w:val="004C666F"/>
    <w:rsid w:val="004C67C2"/>
    <w:rsid w:val="004C6DF6"/>
    <w:rsid w:val="004C711E"/>
    <w:rsid w:val="004C76E8"/>
    <w:rsid w:val="004D0306"/>
    <w:rsid w:val="004D096B"/>
    <w:rsid w:val="004D0CB3"/>
    <w:rsid w:val="004D0EA4"/>
    <w:rsid w:val="004D129C"/>
    <w:rsid w:val="004D1399"/>
    <w:rsid w:val="004D1752"/>
    <w:rsid w:val="004D1822"/>
    <w:rsid w:val="004D1B45"/>
    <w:rsid w:val="004D2627"/>
    <w:rsid w:val="004D2928"/>
    <w:rsid w:val="004D2D63"/>
    <w:rsid w:val="004D3833"/>
    <w:rsid w:val="004D3D08"/>
    <w:rsid w:val="004D3E5E"/>
    <w:rsid w:val="004D4448"/>
    <w:rsid w:val="004D6A26"/>
    <w:rsid w:val="004D7B26"/>
    <w:rsid w:val="004E0756"/>
    <w:rsid w:val="004E0813"/>
    <w:rsid w:val="004E0FF1"/>
    <w:rsid w:val="004E1BF9"/>
    <w:rsid w:val="004E231B"/>
    <w:rsid w:val="004E248A"/>
    <w:rsid w:val="004E3E56"/>
    <w:rsid w:val="004E4242"/>
    <w:rsid w:val="004E43D4"/>
    <w:rsid w:val="004E4586"/>
    <w:rsid w:val="004F055A"/>
    <w:rsid w:val="004F0694"/>
    <w:rsid w:val="004F0794"/>
    <w:rsid w:val="004F0AEE"/>
    <w:rsid w:val="004F11E7"/>
    <w:rsid w:val="004F16B7"/>
    <w:rsid w:val="004F2FBC"/>
    <w:rsid w:val="004F35CB"/>
    <w:rsid w:val="004F3784"/>
    <w:rsid w:val="004F623B"/>
    <w:rsid w:val="004F6716"/>
    <w:rsid w:val="004F7A10"/>
    <w:rsid w:val="0050054B"/>
    <w:rsid w:val="0050069C"/>
    <w:rsid w:val="00500D7F"/>
    <w:rsid w:val="005012EB"/>
    <w:rsid w:val="005016BF"/>
    <w:rsid w:val="0050195C"/>
    <w:rsid w:val="005035C1"/>
    <w:rsid w:val="00503986"/>
    <w:rsid w:val="00503D13"/>
    <w:rsid w:val="00503D85"/>
    <w:rsid w:val="0050496F"/>
    <w:rsid w:val="00506587"/>
    <w:rsid w:val="005067F1"/>
    <w:rsid w:val="00506B58"/>
    <w:rsid w:val="005109F6"/>
    <w:rsid w:val="00511A6E"/>
    <w:rsid w:val="00511D02"/>
    <w:rsid w:val="005124DC"/>
    <w:rsid w:val="00512C1E"/>
    <w:rsid w:val="00512C8F"/>
    <w:rsid w:val="00513887"/>
    <w:rsid w:val="00513C9B"/>
    <w:rsid w:val="00514D06"/>
    <w:rsid w:val="005154C0"/>
    <w:rsid w:val="00515A89"/>
    <w:rsid w:val="00515F6D"/>
    <w:rsid w:val="0051633A"/>
    <w:rsid w:val="00516498"/>
    <w:rsid w:val="00517B65"/>
    <w:rsid w:val="00520124"/>
    <w:rsid w:val="00520472"/>
    <w:rsid w:val="00520616"/>
    <w:rsid w:val="00520E28"/>
    <w:rsid w:val="00521BBA"/>
    <w:rsid w:val="00521E2F"/>
    <w:rsid w:val="00523012"/>
    <w:rsid w:val="00523774"/>
    <w:rsid w:val="00524083"/>
    <w:rsid w:val="0052434F"/>
    <w:rsid w:val="005243C9"/>
    <w:rsid w:val="0052540F"/>
    <w:rsid w:val="00525A8E"/>
    <w:rsid w:val="0052651C"/>
    <w:rsid w:val="00527440"/>
    <w:rsid w:val="005300A0"/>
    <w:rsid w:val="00530896"/>
    <w:rsid w:val="00530B5B"/>
    <w:rsid w:val="005311AA"/>
    <w:rsid w:val="00532501"/>
    <w:rsid w:val="0053317F"/>
    <w:rsid w:val="005334EB"/>
    <w:rsid w:val="00533C39"/>
    <w:rsid w:val="005344E4"/>
    <w:rsid w:val="00534ED4"/>
    <w:rsid w:val="0053533B"/>
    <w:rsid w:val="0053586F"/>
    <w:rsid w:val="00535891"/>
    <w:rsid w:val="00535AAB"/>
    <w:rsid w:val="0053751C"/>
    <w:rsid w:val="00537797"/>
    <w:rsid w:val="00537E9E"/>
    <w:rsid w:val="00540D79"/>
    <w:rsid w:val="00541650"/>
    <w:rsid w:val="00542470"/>
    <w:rsid w:val="00542879"/>
    <w:rsid w:val="005430DA"/>
    <w:rsid w:val="00543BF1"/>
    <w:rsid w:val="005452BF"/>
    <w:rsid w:val="00545EDA"/>
    <w:rsid w:val="00546296"/>
    <w:rsid w:val="005466BC"/>
    <w:rsid w:val="00546A13"/>
    <w:rsid w:val="0055103E"/>
    <w:rsid w:val="00552CC6"/>
    <w:rsid w:val="005531D7"/>
    <w:rsid w:val="0055392F"/>
    <w:rsid w:val="00553AAD"/>
    <w:rsid w:val="00554C2E"/>
    <w:rsid w:val="00554C91"/>
    <w:rsid w:val="0055570C"/>
    <w:rsid w:val="00555755"/>
    <w:rsid w:val="00555CB0"/>
    <w:rsid w:val="00556387"/>
    <w:rsid w:val="005563BE"/>
    <w:rsid w:val="005569DD"/>
    <w:rsid w:val="0055736F"/>
    <w:rsid w:val="00557722"/>
    <w:rsid w:val="00557976"/>
    <w:rsid w:val="0056016E"/>
    <w:rsid w:val="00560F1E"/>
    <w:rsid w:val="0056139F"/>
    <w:rsid w:val="00563788"/>
    <w:rsid w:val="005640F3"/>
    <w:rsid w:val="00564131"/>
    <w:rsid w:val="00564514"/>
    <w:rsid w:val="005652F2"/>
    <w:rsid w:val="00565357"/>
    <w:rsid w:val="00565372"/>
    <w:rsid w:val="00566520"/>
    <w:rsid w:val="00566AD7"/>
    <w:rsid w:val="0056708F"/>
    <w:rsid w:val="0056719B"/>
    <w:rsid w:val="00567890"/>
    <w:rsid w:val="005727BD"/>
    <w:rsid w:val="00572C5B"/>
    <w:rsid w:val="00572FDA"/>
    <w:rsid w:val="0057365F"/>
    <w:rsid w:val="00573C36"/>
    <w:rsid w:val="0057531F"/>
    <w:rsid w:val="00575A60"/>
    <w:rsid w:val="00575C42"/>
    <w:rsid w:val="00577275"/>
    <w:rsid w:val="00580F58"/>
    <w:rsid w:val="00581F62"/>
    <w:rsid w:val="005823ED"/>
    <w:rsid w:val="005827FF"/>
    <w:rsid w:val="00583F92"/>
    <w:rsid w:val="005856A5"/>
    <w:rsid w:val="0058592B"/>
    <w:rsid w:val="00585B6C"/>
    <w:rsid w:val="00586659"/>
    <w:rsid w:val="0058761F"/>
    <w:rsid w:val="005877F9"/>
    <w:rsid w:val="00587891"/>
    <w:rsid w:val="00590752"/>
    <w:rsid w:val="00590A00"/>
    <w:rsid w:val="0059120E"/>
    <w:rsid w:val="00591DAF"/>
    <w:rsid w:val="00592252"/>
    <w:rsid w:val="005925A2"/>
    <w:rsid w:val="00592C24"/>
    <w:rsid w:val="00592D59"/>
    <w:rsid w:val="0059439B"/>
    <w:rsid w:val="005950C6"/>
    <w:rsid w:val="00595550"/>
    <w:rsid w:val="0059577A"/>
    <w:rsid w:val="00595E09"/>
    <w:rsid w:val="005962F9"/>
    <w:rsid w:val="005969DF"/>
    <w:rsid w:val="00596FED"/>
    <w:rsid w:val="00597793"/>
    <w:rsid w:val="00597D94"/>
    <w:rsid w:val="005A0147"/>
    <w:rsid w:val="005A02EC"/>
    <w:rsid w:val="005A1838"/>
    <w:rsid w:val="005A18FD"/>
    <w:rsid w:val="005A19D2"/>
    <w:rsid w:val="005A1F21"/>
    <w:rsid w:val="005A21BD"/>
    <w:rsid w:val="005A3FB9"/>
    <w:rsid w:val="005A4373"/>
    <w:rsid w:val="005A4AB5"/>
    <w:rsid w:val="005A52E2"/>
    <w:rsid w:val="005A57E7"/>
    <w:rsid w:val="005A586E"/>
    <w:rsid w:val="005A5D23"/>
    <w:rsid w:val="005A5DDB"/>
    <w:rsid w:val="005A633C"/>
    <w:rsid w:val="005A6957"/>
    <w:rsid w:val="005A6D4D"/>
    <w:rsid w:val="005A713F"/>
    <w:rsid w:val="005A7C7D"/>
    <w:rsid w:val="005B07D8"/>
    <w:rsid w:val="005B09BC"/>
    <w:rsid w:val="005B106A"/>
    <w:rsid w:val="005B1071"/>
    <w:rsid w:val="005B1AA5"/>
    <w:rsid w:val="005B2D27"/>
    <w:rsid w:val="005B2E04"/>
    <w:rsid w:val="005B414C"/>
    <w:rsid w:val="005B5F39"/>
    <w:rsid w:val="005B6313"/>
    <w:rsid w:val="005B6356"/>
    <w:rsid w:val="005C0326"/>
    <w:rsid w:val="005C19C8"/>
    <w:rsid w:val="005C243B"/>
    <w:rsid w:val="005C36A2"/>
    <w:rsid w:val="005C3B0B"/>
    <w:rsid w:val="005C3BB4"/>
    <w:rsid w:val="005C3E09"/>
    <w:rsid w:val="005C3E30"/>
    <w:rsid w:val="005C42F1"/>
    <w:rsid w:val="005C4499"/>
    <w:rsid w:val="005C48AB"/>
    <w:rsid w:val="005C4C06"/>
    <w:rsid w:val="005C7D3A"/>
    <w:rsid w:val="005C7EF5"/>
    <w:rsid w:val="005D0902"/>
    <w:rsid w:val="005D0DBF"/>
    <w:rsid w:val="005D16E6"/>
    <w:rsid w:val="005D2159"/>
    <w:rsid w:val="005D2A28"/>
    <w:rsid w:val="005D35C4"/>
    <w:rsid w:val="005D43EA"/>
    <w:rsid w:val="005D4AB5"/>
    <w:rsid w:val="005D57AF"/>
    <w:rsid w:val="005D5E15"/>
    <w:rsid w:val="005D67DE"/>
    <w:rsid w:val="005D791E"/>
    <w:rsid w:val="005D7CFA"/>
    <w:rsid w:val="005E0DF0"/>
    <w:rsid w:val="005E1471"/>
    <w:rsid w:val="005E1DDA"/>
    <w:rsid w:val="005E2134"/>
    <w:rsid w:val="005E2312"/>
    <w:rsid w:val="005E249F"/>
    <w:rsid w:val="005E27EA"/>
    <w:rsid w:val="005E2A52"/>
    <w:rsid w:val="005E40EE"/>
    <w:rsid w:val="005E4161"/>
    <w:rsid w:val="005E547A"/>
    <w:rsid w:val="005E59C5"/>
    <w:rsid w:val="005E5F28"/>
    <w:rsid w:val="005E6326"/>
    <w:rsid w:val="005E6F46"/>
    <w:rsid w:val="005E780E"/>
    <w:rsid w:val="005E7F02"/>
    <w:rsid w:val="005F0562"/>
    <w:rsid w:val="005F14BD"/>
    <w:rsid w:val="005F1993"/>
    <w:rsid w:val="005F31A1"/>
    <w:rsid w:val="005F3373"/>
    <w:rsid w:val="005F40CE"/>
    <w:rsid w:val="005F4303"/>
    <w:rsid w:val="005F4445"/>
    <w:rsid w:val="005F50F6"/>
    <w:rsid w:val="005F5721"/>
    <w:rsid w:val="005F6144"/>
    <w:rsid w:val="005F6721"/>
    <w:rsid w:val="005F6A98"/>
    <w:rsid w:val="005F6E39"/>
    <w:rsid w:val="005F7872"/>
    <w:rsid w:val="005F7895"/>
    <w:rsid w:val="006005C6"/>
    <w:rsid w:val="00600C04"/>
    <w:rsid w:val="0060293B"/>
    <w:rsid w:val="00603BB4"/>
    <w:rsid w:val="00603CF6"/>
    <w:rsid w:val="00604560"/>
    <w:rsid w:val="00604A34"/>
    <w:rsid w:val="00604CCA"/>
    <w:rsid w:val="00606AEC"/>
    <w:rsid w:val="00606D06"/>
    <w:rsid w:val="00606F5B"/>
    <w:rsid w:val="00607402"/>
    <w:rsid w:val="0061003F"/>
    <w:rsid w:val="0061131E"/>
    <w:rsid w:val="006117B2"/>
    <w:rsid w:val="0061230A"/>
    <w:rsid w:val="006124C1"/>
    <w:rsid w:val="00612E06"/>
    <w:rsid w:val="006136F5"/>
    <w:rsid w:val="00614320"/>
    <w:rsid w:val="00614CE6"/>
    <w:rsid w:val="0061663F"/>
    <w:rsid w:val="00616E8F"/>
    <w:rsid w:val="00617550"/>
    <w:rsid w:val="00617CA0"/>
    <w:rsid w:val="00620114"/>
    <w:rsid w:val="00620634"/>
    <w:rsid w:val="0062178F"/>
    <w:rsid w:val="00621DF4"/>
    <w:rsid w:val="00621EB6"/>
    <w:rsid w:val="0062373A"/>
    <w:rsid w:val="00623FA0"/>
    <w:rsid w:val="00624681"/>
    <w:rsid w:val="006250AD"/>
    <w:rsid w:val="006251D4"/>
    <w:rsid w:val="006256F3"/>
    <w:rsid w:val="006262DB"/>
    <w:rsid w:val="00626CF3"/>
    <w:rsid w:val="00626D7C"/>
    <w:rsid w:val="00627CA5"/>
    <w:rsid w:val="00630144"/>
    <w:rsid w:val="006313B1"/>
    <w:rsid w:val="00631479"/>
    <w:rsid w:val="0063151F"/>
    <w:rsid w:val="0063220A"/>
    <w:rsid w:val="006323EB"/>
    <w:rsid w:val="006325AE"/>
    <w:rsid w:val="00632E22"/>
    <w:rsid w:val="00633245"/>
    <w:rsid w:val="00633A48"/>
    <w:rsid w:val="00633FDF"/>
    <w:rsid w:val="00634211"/>
    <w:rsid w:val="006345CE"/>
    <w:rsid w:val="006347CD"/>
    <w:rsid w:val="00635676"/>
    <w:rsid w:val="006360C1"/>
    <w:rsid w:val="00636867"/>
    <w:rsid w:val="00636AB8"/>
    <w:rsid w:val="006370F0"/>
    <w:rsid w:val="00637F03"/>
    <w:rsid w:val="00640881"/>
    <w:rsid w:val="00640B26"/>
    <w:rsid w:val="00640DF9"/>
    <w:rsid w:val="00640F7A"/>
    <w:rsid w:val="0064127E"/>
    <w:rsid w:val="006422A8"/>
    <w:rsid w:val="00642F10"/>
    <w:rsid w:val="0064447D"/>
    <w:rsid w:val="00644682"/>
    <w:rsid w:val="00644E25"/>
    <w:rsid w:val="00644E49"/>
    <w:rsid w:val="00644FF5"/>
    <w:rsid w:val="00645B8E"/>
    <w:rsid w:val="006467D8"/>
    <w:rsid w:val="00646998"/>
    <w:rsid w:val="00646B6F"/>
    <w:rsid w:val="00646D44"/>
    <w:rsid w:val="00646FF2"/>
    <w:rsid w:val="006470B6"/>
    <w:rsid w:val="0065006B"/>
    <w:rsid w:val="006508A8"/>
    <w:rsid w:val="00650A45"/>
    <w:rsid w:val="00650F26"/>
    <w:rsid w:val="006513E6"/>
    <w:rsid w:val="0065189B"/>
    <w:rsid w:val="00651D0E"/>
    <w:rsid w:val="006524BB"/>
    <w:rsid w:val="00653619"/>
    <w:rsid w:val="00653AE5"/>
    <w:rsid w:val="0065406F"/>
    <w:rsid w:val="00654479"/>
    <w:rsid w:val="006545A9"/>
    <w:rsid w:val="00655110"/>
    <w:rsid w:val="006560C6"/>
    <w:rsid w:val="0065615C"/>
    <w:rsid w:val="00656927"/>
    <w:rsid w:val="006572C6"/>
    <w:rsid w:val="0066060D"/>
    <w:rsid w:val="00660712"/>
    <w:rsid w:val="0066144A"/>
    <w:rsid w:val="0066284C"/>
    <w:rsid w:val="0066345E"/>
    <w:rsid w:val="00663592"/>
    <w:rsid w:val="00664793"/>
    <w:rsid w:val="006647F6"/>
    <w:rsid w:val="00666018"/>
    <w:rsid w:val="00666069"/>
    <w:rsid w:val="00666209"/>
    <w:rsid w:val="00666517"/>
    <w:rsid w:val="00666830"/>
    <w:rsid w:val="00666BE1"/>
    <w:rsid w:val="006671C7"/>
    <w:rsid w:val="00667C67"/>
    <w:rsid w:val="00667E14"/>
    <w:rsid w:val="0067026A"/>
    <w:rsid w:val="00670D64"/>
    <w:rsid w:val="00670DCC"/>
    <w:rsid w:val="006712E0"/>
    <w:rsid w:val="00672485"/>
    <w:rsid w:val="00672569"/>
    <w:rsid w:val="00673CF9"/>
    <w:rsid w:val="0067438A"/>
    <w:rsid w:val="00674933"/>
    <w:rsid w:val="006749A1"/>
    <w:rsid w:val="00675758"/>
    <w:rsid w:val="00676188"/>
    <w:rsid w:val="0067628E"/>
    <w:rsid w:val="0067669E"/>
    <w:rsid w:val="00676838"/>
    <w:rsid w:val="00677389"/>
    <w:rsid w:val="00677458"/>
    <w:rsid w:val="006774CA"/>
    <w:rsid w:val="00677CE3"/>
    <w:rsid w:val="006802E3"/>
    <w:rsid w:val="006814F3"/>
    <w:rsid w:val="00681985"/>
    <w:rsid w:val="00683E42"/>
    <w:rsid w:val="00683FF1"/>
    <w:rsid w:val="006853C5"/>
    <w:rsid w:val="00685792"/>
    <w:rsid w:val="00685EA7"/>
    <w:rsid w:val="00686B01"/>
    <w:rsid w:val="00686EE1"/>
    <w:rsid w:val="006870EF"/>
    <w:rsid w:val="0068734D"/>
    <w:rsid w:val="00687D5B"/>
    <w:rsid w:val="00690601"/>
    <w:rsid w:val="00690E91"/>
    <w:rsid w:val="00691665"/>
    <w:rsid w:val="00691C22"/>
    <w:rsid w:val="00691EC5"/>
    <w:rsid w:val="00692DA5"/>
    <w:rsid w:val="0069487A"/>
    <w:rsid w:val="00694A84"/>
    <w:rsid w:val="00694DD7"/>
    <w:rsid w:val="006953F2"/>
    <w:rsid w:val="00695B22"/>
    <w:rsid w:val="00695F78"/>
    <w:rsid w:val="00696106"/>
    <w:rsid w:val="00696E3D"/>
    <w:rsid w:val="00697565"/>
    <w:rsid w:val="00697D96"/>
    <w:rsid w:val="006A0DB9"/>
    <w:rsid w:val="006A0EC7"/>
    <w:rsid w:val="006A16A4"/>
    <w:rsid w:val="006A2726"/>
    <w:rsid w:val="006A338F"/>
    <w:rsid w:val="006A3C46"/>
    <w:rsid w:val="006A5E26"/>
    <w:rsid w:val="006A62FF"/>
    <w:rsid w:val="006A67A0"/>
    <w:rsid w:val="006A67A5"/>
    <w:rsid w:val="006A6E19"/>
    <w:rsid w:val="006A7666"/>
    <w:rsid w:val="006A7CA6"/>
    <w:rsid w:val="006B025A"/>
    <w:rsid w:val="006B05FF"/>
    <w:rsid w:val="006B0DA6"/>
    <w:rsid w:val="006B0DCC"/>
    <w:rsid w:val="006B2397"/>
    <w:rsid w:val="006B2EB2"/>
    <w:rsid w:val="006B36BB"/>
    <w:rsid w:val="006B3908"/>
    <w:rsid w:val="006B4E9A"/>
    <w:rsid w:val="006B54B3"/>
    <w:rsid w:val="006B5677"/>
    <w:rsid w:val="006B7A27"/>
    <w:rsid w:val="006C0640"/>
    <w:rsid w:val="006C0C47"/>
    <w:rsid w:val="006C12EA"/>
    <w:rsid w:val="006C1364"/>
    <w:rsid w:val="006C1F9E"/>
    <w:rsid w:val="006C3B16"/>
    <w:rsid w:val="006C3D14"/>
    <w:rsid w:val="006C52B6"/>
    <w:rsid w:val="006C6DA1"/>
    <w:rsid w:val="006C7CD7"/>
    <w:rsid w:val="006D1418"/>
    <w:rsid w:val="006D2CFC"/>
    <w:rsid w:val="006D2E84"/>
    <w:rsid w:val="006D35EC"/>
    <w:rsid w:val="006D4038"/>
    <w:rsid w:val="006D4765"/>
    <w:rsid w:val="006D48A0"/>
    <w:rsid w:val="006D507B"/>
    <w:rsid w:val="006D5272"/>
    <w:rsid w:val="006D56DB"/>
    <w:rsid w:val="006D5822"/>
    <w:rsid w:val="006D6069"/>
    <w:rsid w:val="006D6098"/>
    <w:rsid w:val="006D6464"/>
    <w:rsid w:val="006D6A40"/>
    <w:rsid w:val="006E14E4"/>
    <w:rsid w:val="006E15F0"/>
    <w:rsid w:val="006E219D"/>
    <w:rsid w:val="006E2E40"/>
    <w:rsid w:val="006E2FB8"/>
    <w:rsid w:val="006E3067"/>
    <w:rsid w:val="006E3990"/>
    <w:rsid w:val="006E469F"/>
    <w:rsid w:val="006E4729"/>
    <w:rsid w:val="006E4F03"/>
    <w:rsid w:val="006E5291"/>
    <w:rsid w:val="006E53AF"/>
    <w:rsid w:val="006E584E"/>
    <w:rsid w:val="006E6FBC"/>
    <w:rsid w:val="006E7058"/>
    <w:rsid w:val="006E7322"/>
    <w:rsid w:val="006E7561"/>
    <w:rsid w:val="006E798D"/>
    <w:rsid w:val="006F05B1"/>
    <w:rsid w:val="006F10D6"/>
    <w:rsid w:val="006F1629"/>
    <w:rsid w:val="006F261F"/>
    <w:rsid w:val="006F2860"/>
    <w:rsid w:val="006F3193"/>
    <w:rsid w:val="006F345C"/>
    <w:rsid w:val="006F395E"/>
    <w:rsid w:val="006F4725"/>
    <w:rsid w:val="006F47D8"/>
    <w:rsid w:val="006F4C34"/>
    <w:rsid w:val="006F601D"/>
    <w:rsid w:val="006F651E"/>
    <w:rsid w:val="006F6F04"/>
    <w:rsid w:val="006F745A"/>
    <w:rsid w:val="006F7685"/>
    <w:rsid w:val="006F7D2B"/>
    <w:rsid w:val="006F7FA9"/>
    <w:rsid w:val="007004F3"/>
    <w:rsid w:val="00700ACE"/>
    <w:rsid w:val="00700ED7"/>
    <w:rsid w:val="00701FB7"/>
    <w:rsid w:val="0070210F"/>
    <w:rsid w:val="00702D53"/>
    <w:rsid w:val="007039CB"/>
    <w:rsid w:val="00703D36"/>
    <w:rsid w:val="00704755"/>
    <w:rsid w:val="00704E3A"/>
    <w:rsid w:val="0070515A"/>
    <w:rsid w:val="00705BC2"/>
    <w:rsid w:val="00705C7D"/>
    <w:rsid w:val="00705DA4"/>
    <w:rsid w:val="00705DDB"/>
    <w:rsid w:val="00705F40"/>
    <w:rsid w:val="007063F8"/>
    <w:rsid w:val="007065CA"/>
    <w:rsid w:val="00706C4B"/>
    <w:rsid w:val="00706F99"/>
    <w:rsid w:val="00707B46"/>
    <w:rsid w:val="00710162"/>
    <w:rsid w:val="00710D6A"/>
    <w:rsid w:val="007111D1"/>
    <w:rsid w:val="00711CA3"/>
    <w:rsid w:val="00711FA1"/>
    <w:rsid w:val="00712495"/>
    <w:rsid w:val="00712D9C"/>
    <w:rsid w:val="00713134"/>
    <w:rsid w:val="00713145"/>
    <w:rsid w:val="0071338B"/>
    <w:rsid w:val="0071455F"/>
    <w:rsid w:val="00714AF3"/>
    <w:rsid w:val="0071525F"/>
    <w:rsid w:val="00715F90"/>
    <w:rsid w:val="007161C4"/>
    <w:rsid w:val="00716263"/>
    <w:rsid w:val="00716288"/>
    <w:rsid w:val="00720A18"/>
    <w:rsid w:val="00720AFF"/>
    <w:rsid w:val="00720CC1"/>
    <w:rsid w:val="007219D9"/>
    <w:rsid w:val="00721AE6"/>
    <w:rsid w:val="007221C0"/>
    <w:rsid w:val="00723AE1"/>
    <w:rsid w:val="00724356"/>
    <w:rsid w:val="007255B3"/>
    <w:rsid w:val="00726235"/>
    <w:rsid w:val="00726648"/>
    <w:rsid w:val="00726CF7"/>
    <w:rsid w:val="007271AD"/>
    <w:rsid w:val="007277B4"/>
    <w:rsid w:val="007279B8"/>
    <w:rsid w:val="00727D2C"/>
    <w:rsid w:val="00727E29"/>
    <w:rsid w:val="00730B6A"/>
    <w:rsid w:val="00731258"/>
    <w:rsid w:val="007314F2"/>
    <w:rsid w:val="007315DF"/>
    <w:rsid w:val="007325A4"/>
    <w:rsid w:val="007335E9"/>
    <w:rsid w:val="00733DAC"/>
    <w:rsid w:val="007340F8"/>
    <w:rsid w:val="007342A4"/>
    <w:rsid w:val="0073511A"/>
    <w:rsid w:val="007360F4"/>
    <w:rsid w:val="00736A7A"/>
    <w:rsid w:val="00737B1F"/>
    <w:rsid w:val="007403B3"/>
    <w:rsid w:val="00740DFA"/>
    <w:rsid w:val="00741451"/>
    <w:rsid w:val="00742185"/>
    <w:rsid w:val="007431A8"/>
    <w:rsid w:val="007442A6"/>
    <w:rsid w:val="00744569"/>
    <w:rsid w:val="00744844"/>
    <w:rsid w:val="0074517E"/>
    <w:rsid w:val="00745188"/>
    <w:rsid w:val="00745512"/>
    <w:rsid w:val="0075059F"/>
    <w:rsid w:val="0075118F"/>
    <w:rsid w:val="007511B4"/>
    <w:rsid w:val="00751237"/>
    <w:rsid w:val="00751CBC"/>
    <w:rsid w:val="0075215D"/>
    <w:rsid w:val="007526E4"/>
    <w:rsid w:val="00752F1A"/>
    <w:rsid w:val="007533A0"/>
    <w:rsid w:val="007537FD"/>
    <w:rsid w:val="007538CD"/>
    <w:rsid w:val="00753E03"/>
    <w:rsid w:val="00755887"/>
    <w:rsid w:val="00755C7E"/>
    <w:rsid w:val="00757350"/>
    <w:rsid w:val="00760911"/>
    <w:rsid w:val="00760A08"/>
    <w:rsid w:val="007611A6"/>
    <w:rsid w:val="007616F6"/>
    <w:rsid w:val="00761767"/>
    <w:rsid w:val="00761D31"/>
    <w:rsid w:val="00763975"/>
    <w:rsid w:val="00763A26"/>
    <w:rsid w:val="00763B0E"/>
    <w:rsid w:val="00765003"/>
    <w:rsid w:val="00765AF0"/>
    <w:rsid w:val="00765D7B"/>
    <w:rsid w:val="00765D89"/>
    <w:rsid w:val="007660BB"/>
    <w:rsid w:val="00766765"/>
    <w:rsid w:val="00766B11"/>
    <w:rsid w:val="007672B7"/>
    <w:rsid w:val="007676E9"/>
    <w:rsid w:val="007679D9"/>
    <w:rsid w:val="00770198"/>
    <w:rsid w:val="00770F10"/>
    <w:rsid w:val="00771405"/>
    <w:rsid w:val="0077157D"/>
    <w:rsid w:val="007728D0"/>
    <w:rsid w:val="00772DE9"/>
    <w:rsid w:val="00773718"/>
    <w:rsid w:val="007740C8"/>
    <w:rsid w:val="00774303"/>
    <w:rsid w:val="0077491D"/>
    <w:rsid w:val="00774970"/>
    <w:rsid w:val="00774C77"/>
    <w:rsid w:val="007752C1"/>
    <w:rsid w:val="00775334"/>
    <w:rsid w:val="007753B8"/>
    <w:rsid w:val="00775D4F"/>
    <w:rsid w:val="0077683C"/>
    <w:rsid w:val="007768D1"/>
    <w:rsid w:val="0077797D"/>
    <w:rsid w:val="00777ED9"/>
    <w:rsid w:val="00780C16"/>
    <w:rsid w:val="007814F6"/>
    <w:rsid w:val="00781CFF"/>
    <w:rsid w:val="00782806"/>
    <w:rsid w:val="007829AA"/>
    <w:rsid w:val="007831D0"/>
    <w:rsid w:val="00786035"/>
    <w:rsid w:val="00786D11"/>
    <w:rsid w:val="0078783E"/>
    <w:rsid w:val="007879D8"/>
    <w:rsid w:val="00791147"/>
    <w:rsid w:val="0079179F"/>
    <w:rsid w:val="00791DA6"/>
    <w:rsid w:val="00791F2D"/>
    <w:rsid w:val="00791FE1"/>
    <w:rsid w:val="0079207E"/>
    <w:rsid w:val="00792C21"/>
    <w:rsid w:val="0079364D"/>
    <w:rsid w:val="007939A8"/>
    <w:rsid w:val="00793F08"/>
    <w:rsid w:val="007941E1"/>
    <w:rsid w:val="007965F9"/>
    <w:rsid w:val="00797668"/>
    <w:rsid w:val="0079796E"/>
    <w:rsid w:val="00797D40"/>
    <w:rsid w:val="007A03E1"/>
    <w:rsid w:val="007A060C"/>
    <w:rsid w:val="007A079D"/>
    <w:rsid w:val="007A0C46"/>
    <w:rsid w:val="007A2857"/>
    <w:rsid w:val="007A2A68"/>
    <w:rsid w:val="007A37A3"/>
    <w:rsid w:val="007A37C1"/>
    <w:rsid w:val="007A410A"/>
    <w:rsid w:val="007A4A09"/>
    <w:rsid w:val="007A6504"/>
    <w:rsid w:val="007A6C13"/>
    <w:rsid w:val="007A6F36"/>
    <w:rsid w:val="007A7D85"/>
    <w:rsid w:val="007B0805"/>
    <w:rsid w:val="007B1982"/>
    <w:rsid w:val="007B1C6E"/>
    <w:rsid w:val="007B1C8C"/>
    <w:rsid w:val="007B2344"/>
    <w:rsid w:val="007B2630"/>
    <w:rsid w:val="007B2C92"/>
    <w:rsid w:val="007B378E"/>
    <w:rsid w:val="007B3CEB"/>
    <w:rsid w:val="007B469D"/>
    <w:rsid w:val="007B4D10"/>
    <w:rsid w:val="007B5297"/>
    <w:rsid w:val="007B55D3"/>
    <w:rsid w:val="007B5F2D"/>
    <w:rsid w:val="007B69A7"/>
    <w:rsid w:val="007B6E58"/>
    <w:rsid w:val="007B7345"/>
    <w:rsid w:val="007B7AE7"/>
    <w:rsid w:val="007B7B04"/>
    <w:rsid w:val="007C00C1"/>
    <w:rsid w:val="007C03A3"/>
    <w:rsid w:val="007C12B5"/>
    <w:rsid w:val="007C20DD"/>
    <w:rsid w:val="007C2221"/>
    <w:rsid w:val="007C4093"/>
    <w:rsid w:val="007C5074"/>
    <w:rsid w:val="007C5D57"/>
    <w:rsid w:val="007C7561"/>
    <w:rsid w:val="007C79C4"/>
    <w:rsid w:val="007C79D6"/>
    <w:rsid w:val="007D009A"/>
    <w:rsid w:val="007D02CE"/>
    <w:rsid w:val="007D04A0"/>
    <w:rsid w:val="007D1597"/>
    <w:rsid w:val="007D1DAB"/>
    <w:rsid w:val="007D1E99"/>
    <w:rsid w:val="007D219D"/>
    <w:rsid w:val="007D3044"/>
    <w:rsid w:val="007D35D0"/>
    <w:rsid w:val="007D3DD4"/>
    <w:rsid w:val="007D4388"/>
    <w:rsid w:val="007D4433"/>
    <w:rsid w:val="007D4BAE"/>
    <w:rsid w:val="007D4FD8"/>
    <w:rsid w:val="007D530E"/>
    <w:rsid w:val="007D567B"/>
    <w:rsid w:val="007D6007"/>
    <w:rsid w:val="007D75DB"/>
    <w:rsid w:val="007D7B1E"/>
    <w:rsid w:val="007D7B9D"/>
    <w:rsid w:val="007E0FD6"/>
    <w:rsid w:val="007E11BF"/>
    <w:rsid w:val="007E147E"/>
    <w:rsid w:val="007E1F06"/>
    <w:rsid w:val="007E2811"/>
    <w:rsid w:val="007E4558"/>
    <w:rsid w:val="007E4DE8"/>
    <w:rsid w:val="007E4E83"/>
    <w:rsid w:val="007E563D"/>
    <w:rsid w:val="007E5D75"/>
    <w:rsid w:val="007E6F0C"/>
    <w:rsid w:val="007E760D"/>
    <w:rsid w:val="007E7AAA"/>
    <w:rsid w:val="007F0DDD"/>
    <w:rsid w:val="007F12CC"/>
    <w:rsid w:val="007F1967"/>
    <w:rsid w:val="007F1B62"/>
    <w:rsid w:val="007F1D03"/>
    <w:rsid w:val="007F1D09"/>
    <w:rsid w:val="007F273E"/>
    <w:rsid w:val="007F29BF"/>
    <w:rsid w:val="007F3C86"/>
    <w:rsid w:val="007F4082"/>
    <w:rsid w:val="007F4308"/>
    <w:rsid w:val="007F4BAA"/>
    <w:rsid w:val="007F57E7"/>
    <w:rsid w:val="007F5A5A"/>
    <w:rsid w:val="007F5BEB"/>
    <w:rsid w:val="007F5C55"/>
    <w:rsid w:val="007F5CD9"/>
    <w:rsid w:val="007F753F"/>
    <w:rsid w:val="007F7CCC"/>
    <w:rsid w:val="00801264"/>
    <w:rsid w:val="00801854"/>
    <w:rsid w:val="00801A59"/>
    <w:rsid w:val="00801ED5"/>
    <w:rsid w:val="00802879"/>
    <w:rsid w:val="008044B8"/>
    <w:rsid w:val="00805A2E"/>
    <w:rsid w:val="00805C1F"/>
    <w:rsid w:val="00805FD6"/>
    <w:rsid w:val="00805FD9"/>
    <w:rsid w:val="00806436"/>
    <w:rsid w:val="008078CE"/>
    <w:rsid w:val="0081067B"/>
    <w:rsid w:val="00810832"/>
    <w:rsid w:val="008108FA"/>
    <w:rsid w:val="00811178"/>
    <w:rsid w:val="00811827"/>
    <w:rsid w:val="008120ED"/>
    <w:rsid w:val="008122A0"/>
    <w:rsid w:val="00812914"/>
    <w:rsid w:val="00812C27"/>
    <w:rsid w:val="008138B0"/>
    <w:rsid w:val="00813929"/>
    <w:rsid w:val="00814AA9"/>
    <w:rsid w:val="00814C40"/>
    <w:rsid w:val="00814F7D"/>
    <w:rsid w:val="008162AB"/>
    <w:rsid w:val="00816E4D"/>
    <w:rsid w:val="00816F0A"/>
    <w:rsid w:val="008203FE"/>
    <w:rsid w:val="008205F3"/>
    <w:rsid w:val="0082094B"/>
    <w:rsid w:val="00820D3C"/>
    <w:rsid w:val="0082179E"/>
    <w:rsid w:val="008218D2"/>
    <w:rsid w:val="00822487"/>
    <w:rsid w:val="00822AAC"/>
    <w:rsid w:val="00822C72"/>
    <w:rsid w:val="008235AF"/>
    <w:rsid w:val="00823CEA"/>
    <w:rsid w:val="00824C8B"/>
    <w:rsid w:val="008252C2"/>
    <w:rsid w:val="008263D3"/>
    <w:rsid w:val="00826DA7"/>
    <w:rsid w:val="00827BDF"/>
    <w:rsid w:val="00830ED2"/>
    <w:rsid w:val="008311C4"/>
    <w:rsid w:val="00831326"/>
    <w:rsid w:val="008313B4"/>
    <w:rsid w:val="00831422"/>
    <w:rsid w:val="00831A1A"/>
    <w:rsid w:val="00832303"/>
    <w:rsid w:val="008327D9"/>
    <w:rsid w:val="008328BF"/>
    <w:rsid w:val="008333A0"/>
    <w:rsid w:val="008341DA"/>
    <w:rsid w:val="008350B3"/>
    <w:rsid w:val="008355E7"/>
    <w:rsid w:val="00835FF5"/>
    <w:rsid w:val="00837050"/>
    <w:rsid w:val="00840734"/>
    <w:rsid w:val="008407E6"/>
    <w:rsid w:val="0084084B"/>
    <w:rsid w:val="00840CED"/>
    <w:rsid w:val="00842939"/>
    <w:rsid w:val="00842F25"/>
    <w:rsid w:val="00843B50"/>
    <w:rsid w:val="00844200"/>
    <w:rsid w:val="00844341"/>
    <w:rsid w:val="008446C3"/>
    <w:rsid w:val="00844841"/>
    <w:rsid w:val="0084534B"/>
    <w:rsid w:val="0084633D"/>
    <w:rsid w:val="00846BAB"/>
    <w:rsid w:val="00850530"/>
    <w:rsid w:val="00850A10"/>
    <w:rsid w:val="008521C6"/>
    <w:rsid w:val="008525E1"/>
    <w:rsid w:val="00852740"/>
    <w:rsid w:val="00852D82"/>
    <w:rsid w:val="00852F23"/>
    <w:rsid w:val="0085332B"/>
    <w:rsid w:val="00853499"/>
    <w:rsid w:val="008537D9"/>
    <w:rsid w:val="008547B7"/>
    <w:rsid w:val="00854DDF"/>
    <w:rsid w:val="00855BB3"/>
    <w:rsid w:val="00856128"/>
    <w:rsid w:val="00856659"/>
    <w:rsid w:val="008566EC"/>
    <w:rsid w:val="008568A3"/>
    <w:rsid w:val="00856B77"/>
    <w:rsid w:val="00856C4B"/>
    <w:rsid w:val="008576CF"/>
    <w:rsid w:val="00860F99"/>
    <w:rsid w:val="008610C4"/>
    <w:rsid w:val="0086143F"/>
    <w:rsid w:val="00861ABE"/>
    <w:rsid w:val="00862E92"/>
    <w:rsid w:val="008631CC"/>
    <w:rsid w:val="008633BD"/>
    <w:rsid w:val="00863B51"/>
    <w:rsid w:val="00863D62"/>
    <w:rsid w:val="00863EE1"/>
    <w:rsid w:val="00865E71"/>
    <w:rsid w:val="00866760"/>
    <w:rsid w:val="00867D65"/>
    <w:rsid w:val="00867E50"/>
    <w:rsid w:val="0087074C"/>
    <w:rsid w:val="00870AB0"/>
    <w:rsid w:val="0087124B"/>
    <w:rsid w:val="00871539"/>
    <w:rsid w:val="00871937"/>
    <w:rsid w:val="00871D04"/>
    <w:rsid w:val="00871D51"/>
    <w:rsid w:val="00872A03"/>
    <w:rsid w:val="0087300E"/>
    <w:rsid w:val="0087371C"/>
    <w:rsid w:val="00873D9D"/>
    <w:rsid w:val="00874538"/>
    <w:rsid w:val="00874BC3"/>
    <w:rsid w:val="00874E6E"/>
    <w:rsid w:val="00875500"/>
    <w:rsid w:val="00875889"/>
    <w:rsid w:val="0087693E"/>
    <w:rsid w:val="00877604"/>
    <w:rsid w:val="00877884"/>
    <w:rsid w:val="008779B9"/>
    <w:rsid w:val="008802A1"/>
    <w:rsid w:val="00880C9C"/>
    <w:rsid w:val="00881293"/>
    <w:rsid w:val="00881401"/>
    <w:rsid w:val="00882AA6"/>
    <w:rsid w:val="00882AF1"/>
    <w:rsid w:val="008834D2"/>
    <w:rsid w:val="0088421A"/>
    <w:rsid w:val="00885A6C"/>
    <w:rsid w:val="00885E03"/>
    <w:rsid w:val="008879A1"/>
    <w:rsid w:val="00887B61"/>
    <w:rsid w:val="00887DFE"/>
    <w:rsid w:val="008904A8"/>
    <w:rsid w:val="00890C33"/>
    <w:rsid w:val="00890F49"/>
    <w:rsid w:val="0089215B"/>
    <w:rsid w:val="008923B1"/>
    <w:rsid w:val="00892B59"/>
    <w:rsid w:val="00892E69"/>
    <w:rsid w:val="008939D2"/>
    <w:rsid w:val="00893DF3"/>
    <w:rsid w:val="0089464D"/>
    <w:rsid w:val="00894C30"/>
    <w:rsid w:val="008957A3"/>
    <w:rsid w:val="00896127"/>
    <w:rsid w:val="00896531"/>
    <w:rsid w:val="008967E1"/>
    <w:rsid w:val="00896CF5"/>
    <w:rsid w:val="0089776D"/>
    <w:rsid w:val="008A1776"/>
    <w:rsid w:val="008A18E6"/>
    <w:rsid w:val="008A192E"/>
    <w:rsid w:val="008A23F1"/>
    <w:rsid w:val="008A283A"/>
    <w:rsid w:val="008A2887"/>
    <w:rsid w:val="008A2EF2"/>
    <w:rsid w:val="008A3237"/>
    <w:rsid w:val="008A32D9"/>
    <w:rsid w:val="008A4A23"/>
    <w:rsid w:val="008A5573"/>
    <w:rsid w:val="008A5C5C"/>
    <w:rsid w:val="008A610B"/>
    <w:rsid w:val="008A62EA"/>
    <w:rsid w:val="008A6582"/>
    <w:rsid w:val="008A6FB3"/>
    <w:rsid w:val="008A7190"/>
    <w:rsid w:val="008A7495"/>
    <w:rsid w:val="008A76AD"/>
    <w:rsid w:val="008B0093"/>
    <w:rsid w:val="008B017F"/>
    <w:rsid w:val="008B0937"/>
    <w:rsid w:val="008B1143"/>
    <w:rsid w:val="008B1B8E"/>
    <w:rsid w:val="008B2874"/>
    <w:rsid w:val="008B3E2C"/>
    <w:rsid w:val="008B3F66"/>
    <w:rsid w:val="008B449A"/>
    <w:rsid w:val="008B47CB"/>
    <w:rsid w:val="008B4F64"/>
    <w:rsid w:val="008B57E9"/>
    <w:rsid w:val="008B5937"/>
    <w:rsid w:val="008B5A00"/>
    <w:rsid w:val="008B67B8"/>
    <w:rsid w:val="008B6FAF"/>
    <w:rsid w:val="008B7668"/>
    <w:rsid w:val="008B76D7"/>
    <w:rsid w:val="008C0405"/>
    <w:rsid w:val="008C056B"/>
    <w:rsid w:val="008C0C7D"/>
    <w:rsid w:val="008C0F77"/>
    <w:rsid w:val="008C1271"/>
    <w:rsid w:val="008C1612"/>
    <w:rsid w:val="008C1BF1"/>
    <w:rsid w:val="008C1F41"/>
    <w:rsid w:val="008C2720"/>
    <w:rsid w:val="008C2A27"/>
    <w:rsid w:val="008C3224"/>
    <w:rsid w:val="008C711F"/>
    <w:rsid w:val="008C79EB"/>
    <w:rsid w:val="008C7FFB"/>
    <w:rsid w:val="008D0089"/>
    <w:rsid w:val="008D2049"/>
    <w:rsid w:val="008D2C9F"/>
    <w:rsid w:val="008D3357"/>
    <w:rsid w:val="008D386E"/>
    <w:rsid w:val="008D3F31"/>
    <w:rsid w:val="008D4F56"/>
    <w:rsid w:val="008D50F4"/>
    <w:rsid w:val="008D525E"/>
    <w:rsid w:val="008D5781"/>
    <w:rsid w:val="008D58B3"/>
    <w:rsid w:val="008E0582"/>
    <w:rsid w:val="008E1931"/>
    <w:rsid w:val="008E1F13"/>
    <w:rsid w:val="008E2E3E"/>
    <w:rsid w:val="008E2E83"/>
    <w:rsid w:val="008E3425"/>
    <w:rsid w:val="008E3554"/>
    <w:rsid w:val="008E3816"/>
    <w:rsid w:val="008E3936"/>
    <w:rsid w:val="008E3A12"/>
    <w:rsid w:val="008E418E"/>
    <w:rsid w:val="008E4969"/>
    <w:rsid w:val="008E53C7"/>
    <w:rsid w:val="008E5DAD"/>
    <w:rsid w:val="008E6045"/>
    <w:rsid w:val="008E6060"/>
    <w:rsid w:val="008E6D3C"/>
    <w:rsid w:val="008E74D5"/>
    <w:rsid w:val="008F01F8"/>
    <w:rsid w:val="008F0C15"/>
    <w:rsid w:val="008F0D91"/>
    <w:rsid w:val="008F1021"/>
    <w:rsid w:val="008F169A"/>
    <w:rsid w:val="008F17EC"/>
    <w:rsid w:val="008F28A9"/>
    <w:rsid w:val="008F36A6"/>
    <w:rsid w:val="008F4E0B"/>
    <w:rsid w:val="008F5865"/>
    <w:rsid w:val="008F5DDB"/>
    <w:rsid w:val="008F6BB6"/>
    <w:rsid w:val="008F6E80"/>
    <w:rsid w:val="008F7910"/>
    <w:rsid w:val="008F7AB3"/>
    <w:rsid w:val="008F7B14"/>
    <w:rsid w:val="0090175C"/>
    <w:rsid w:val="00901818"/>
    <w:rsid w:val="009019D3"/>
    <w:rsid w:val="00902702"/>
    <w:rsid w:val="0090356C"/>
    <w:rsid w:val="0090422B"/>
    <w:rsid w:val="0090522E"/>
    <w:rsid w:val="009059FD"/>
    <w:rsid w:val="009073C1"/>
    <w:rsid w:val="00907D88"/>
    <w:rsid w:val="00911D9B"/>
    <w:rsid w:val="00912B93"/>
    <w:rsid w:val="00912BEA"/>
    <w:rsid w:val="009144B9"/>
    <w:rsid w:val="00915720"/>
    <w:rsid w:val="00915BCE"/>
    <w:rsid w:val="00915DA3"/>
    <w:rsid w:val="009161DC"/>
    <w:rsid w:val="00916390"/>
    <w:rsid w:val="009166B2"/>
    <w:rsid w:val="00916E0A"/>
    <w:rsid w:val="009170D3"/>
    <w:rsid w:val="0091725F"/>
    <w:rsid w:val="00917665"/>
    <w:rsid w:val="0091776D"/>
    <w:rsid w:val="00920E1F"/>
    <w:rsid w:val="00921AA6"/>
    <w:rsid w:val="00922155"/>
    <w:rsid w:val="0092432D"/>
    <w:rsid w:val="009243EA"/>
    <w:rsid w:val="0092440D"/>
    <w:rsid w:val="00925AC6"/>
    <w:rsid w:val="00926796"/>
    <w:rsid w:val="00926AA5"/>
    <w:rsid w:val="00927517"/>
    <w:rsid w:val="00927CC2"/>
    <w:rsid w:val="00931EBF"/>
    <w:rsid w:val="00932F42"/>
    <w:rsid w:val="00933255"/>
    <w:rsid w:val="00933B68"/>
    <w:rsid w:val="0093412D"/>
    <w:rsid w:val="009355F8"/>
    <w:rsid w:val="0093574B"/>
    <w:rsid w:val="009358E0"/>
    <w:rsid w:val="00940410"/>
    <w:rsid w:val="0094041E"/>
    <w:rsid w:val="0094081B"/>
    <w:rsid w:val="00940C16"/>
    <w:rsid w:val="00940EFC"/>
    <w:rsid w:val="009412C5"/>
    <w:rsid w:val="00941527"/>
    <w:rsid w:val="009419A8"/>
    <w:rsid w:val="00941F50"/>
    <w:rsid w:val="00942AE1"/>
    <w:rsid w:val="0094340D"/>
    <w:rsid w:val="009434E3"/>
    <w:rsid w:val="0094351D"/>
    <w:rsid w:val="00944F80"/>
    <w:rsid w:val="0094525A"/>
    <w:rsid w:val="00945CBF"/>
    <w:rsid w:val="00946DAE"/>
    <w:rsid w:val="00947303"/>
    <w:rsid w:val="009507C6"/>
    <w:rsid w:val="009518DD"/>
    <w:rsid w:val="00951A05"/>
    <w:rsid w:val="009523DD"/>
    <w:rsid w:val="00952526"/>
    <w:rsid w:val="00953BF0"/>
    <w:rsid w:val="00954A14"/>
    <w:rsid w:val="00954F3E"/>
    <w:rsid w:val="00955464"/>
    <w:rsid w:val="00956231"/>
    <w:rsid w:val="009564AE"/>
    <w:rsid w:val="0095652D"/>
    <w:rsid w:val="00957487"/>
    <w:rsid w:val="00957C1A"/>
    <w:rsid w:val="00957CF0"/>
    <w:rsid w:val="00960563"/>
    <w:rsid w:val="009606F0"/>
    <w:rsid w:val="00960A4F"/>
    <w:rsid w:val="00960E09"/>
    <w:rsid w:val="00961DE0"/>
    <w:rsid w:val="00962293"/>
    <w:rsid w:val="00962BA4"/>
    <w:rsid w:val="00963411"/>
    <w:rsid w:val="00964AF3"/>
    <w:rsid w:val="009651CD"/>
    <w:rsid w:val="009655B1"/>
    <w:rsid w:val="00965656"/>
    <w:rsid w:val="009659E3"/>
    <w:rsid w:val="00965F3F"/>
    <w:rsid w:val="0096688F"/>
    <w:rsid w:val="00966BE6"/>
    <w:rsid w:val="0097008C"/>
    <w:rsid w:val="00970601"/>
    <w:rsid w:val="0097069A"/>
    <w:rsid w:val="00970A42"/>
    <w:rsid w:val="00970C3F"/>
    <w:rsid w:val="00970C57"/>
    <w:rsid w:val="00972A63"/>
    <w:rsid w:val="00972F3B"/>
    <w:rsid w:val="00973212"/>
    <w:rsid w:val="009736F8"/>
    <w:rsid w:val="0097397A"/>
    <w:rsid w:val="00974F46"/>
    <w:rsid w:val="0097588E"/>
    <w:rsid w:val="00976142"/>
    <w:rsid w:val="00976331"/>
    <w:rsid w:val="00976802"/>
    <w:rsid w:val="009769AA"/>
    <w:rsid w:val="0098033C"/>
    <w:rsid w:val="00980702"/>
    <w:rsid w:val="00980991"/>
    <w:rsid w:val="009812F4"/>
    <w:rsid w:val="009838BD"/>
    <w:rsid w:val="00984927"/>
    <w:rsid w:val="00984A7F"/>
    <w:rsid w:val="00984E86"/>
    <w:rsid w:val="009851E2"/>
    <w:rsid w:val="0098537A"/>
    <w:rsid w:val="00985894"/>
    <w:rsid w:val="00985CD9"/>
    <w:rsid w:val="009862D1"/>
    <w:rsid w:val="009875A4"/>
    <w:rsid w:val="009875ED"/>
    <w:rsid w:val="00987E2B"/>
    <w:rsid w:val="0099028E"/>
    <w:rsid w:val="00990F5F"/>
    <w:rsid w:val="0099113F"/>
    <w:rsid w:val="0099155B"/>
    <w:rsid w:val="00991B5D"/>
    <w:rsid w:val="009929D7"/>
    <w:rsid w:val="00992E2A"/>
    <w:rsid w:val="0099393B"/>
    <w:rsid w:val="00994283"/>
    <w:rsid w:val="009945E0"/>
    <w:rsid w:val="00994BB4"/>
    <w:rsid w:val="00994DA2"/>
    <w:rsid w:val="00994EDC"/>
    <w:rsid w:val="0099568E"/>
    <w:rsid w:val="00995B36"/>
    <w:rsid w:val="00997B77"/>
    <w:rsid w:val="009A05E1"/>
    <w:rsid w:val="009A1EFA"/>
    <w:rsid w:val="009A2182"/>
    <w:rsid w:val="009A28C3"/>
    <w:rsid w:val="009A2FDF"/>
    <w:rsid w:val="009A39BB"/>
    <w:rsid w:val="009A65B9"/>
    <w:rsid w:val="009A664B"/>
    <w:rsid w:val="009A72C4"/>
    <w:rsid w:val="009A73E5"/>
    <w:rsid w:val="009A7965"/>
    <w:rsid w:val="009B0817"/>
    <w:rsid w:val="009B083B"/>
    <w:rsid w:val="009B0900"/>
    <w:rsid w:val="009B0C8C"/>
    <w:rsid w:val="009B1377"/>
    <w:rsid w:val="009B153D"/>
    <w:rsid w:val="009B1D30"/>
    <w:rsid w:val="009B220D"/>
    <w:rsid w:val="009B271D"/>
    <w:rsid w:val="009B3257"/>
    <w:rsid w:val="009B3AEC"/>
    <w:rsid w:val="009B3D27"/>
    <w:rsid w:val="009B4AB0"/>
    <w:rsid w:val="009B5506"/>
    <w:rsid w:val="009B56D0"/>
    <w:rsid w:val="009B7293"/>
    <w:rsid w:val="009B74E9"/>
    <w:rsid w:val="009B7A9E"/>
    <w:rsid w:val="009C0118"/>
    <w:rsid w:val="009C078F"/>
    <w:rsid w:val="009C0DBC"/>
    <w:rsid w:val="009C1F8A"/>
    <w:rsid w:val="009C2695"/>
    <w:rsid w:val="009C3907"/>
    <w:rsid w:val="009C3A0F"/>
    <w:rsid w:val="009C3FD2"/>
    <w:rsid w:val="009C4019"/>
    <w:rsid w:val="009C4186"/>
    <w:rsid w:val="009C4F7C"/>
    <w:rsid w:val="009C524D"/>
    <w:rsid w:val="009C5969"/>
    <w:rsid w:val="009C59CD"/>
    <w:rsid w:val="009C5A32"/>
    <w:rsid w:val="009C6989"/>
    <w:rsid w:val="009D0045"/>
    <w:rsid w:val="009D0B12"/>
    <w:rsid w:val="009D0B3F"/>
    <w:rsid w:val="009D0C03"/>
    <w:rsid w:val="009D0C10"/>
    <w:rsid w:val="009D137A"/>
    <w:rsid w:val="009D180C"/>
    <w:rsid w:val="009D2CEC"/>
    <w:rsid w:val="009D2D91"/>
    <w:rsid w:val="009D2EB4"/>
    <w:rsid w:val="009D335B"/>
    <w:rsid w:val="009D344B"/>
    <w:rsid w:val="009D3481"/>
    <w:rsid w:val="009D3776"/>
    <w:rsid w:val="009D37F5"/>
    <w:rsid w:val="009D383B"/>
    <w:rsid w:val="009D39AE"/>
    <w:rsid w:val="009D454D"/>
    <w:rsid w:val="009D5C3A"/>
    <w:rsid w:val="009D635E"/>
    <w:rsid w:val="009D6675"/>
    <w:rsid w:val="009D696B"/>
    <w:rsid w:val="009D707A"/>
    <w:rsid w:val="009D7382"/>
    <w:rsid w:val="009D77DC"/>
    <w:rsid w:val="009D7953"/>
    <w:rsid w:val="009E1817"/>
    <w:rsid w:val="009E2D76"/>
    <w:rsid w:val="009E3909"/>
    <w:rsid w:val="009E3B56"/>
    <w:rsid w:val="009E3DEB"/>
    <w:rsid w:val="009E40B6"/>
    <w:rsid w:val="009E4283"/>
    <w:rsid w:val="009E4EEC"/>
    <w:rsid w:val="009E4FC8"/>
    <w:rsid w:val="009E573B"/>
    <w:rsid w:val="009E5B2C"/>
    <w:rsid w:val="009E609E"/>
    <w:rsid w:val="009E64EA"/>
    <w:rsid w:val="009E6FB2"/>
    <w:rsid w:val="009E71DE"/>
    <w:rsid w:val="009E7471"/>
    <w:rsid w:val="009E7B51"/>
    <w:rsid w:val="009F0065"/>
    <w:rsid w:val="009F0361"/>
    <w:rsid w:val="009F0541"/>
    <w:rsid w:val="009F08C6"/>
    <w:rsid w:val="009F0C94"/>
    <w:rsid w:val="009F15A5"/>
    <w:rsid w:val="009F1FF0"/>
    <w:rsid w:val="009F1FFF"/>
    <w:rsid w:val="009F2AC3"/>
    <w:rsid w:val="009F2BDA"/>
    <w:rsid w:val="009F3154"/>
    <w:rsid w:val="009F31B0"/>
    <w:rsid w:val="009F3F3B"/>
    <w:rsid w:val="009F4664"/>
    <w:rsid w:val="009F5398"/>
    <w:rsid w:val="009F5999"/>
    <w:rsid w:val="009F5EF9"/>
    <w:rsid w:val="009F662A"/>
    <w:rsid w:val="009F6A3B"/>
    <w:rsid w:val="009F6D5D"/>
    <w:rsid w:val="009F6E13"/>
    <w:rsid w:val="009F7C89"/>
    <w:rsid w:val="009F7DC4"/>
    <w:rsid w:val="00A000DD"/>
    <w:rsid w:val="00A01852"/>
    <w:rsid w:val="00A01938"/>
    <w:rsid w:val="00A02EC7"/>
    <w:rsid w:val="00A033A0"/>
    <w:rsid w:val="00A0494B"/>
    <w:rsid w:val="00A050F1"/>
    <w:rsid w:val="00A05220"/>
    <w:rsid w:val="00A05C8F"/>
    <w:rsid w:val="00A063CF"/>
    <w:rsid w:val="00A06D50"/>
    <w:rsid w:val="00A076C9"/>
    <w:rsid w:val="00A07992"/>
    <w:rsid w:val="00A079CE"/>
    <w:rsid w:val="00A1007B"/>
    <w:rsid w:val="00A109B7"/>
    <w:rsid w:val="00A11106"/>
    <w:rsid w:val="00A11D88"/>
    <w:rsid w:val="00A11DAC"/>
    <w:rsid w:val="00A1218E"/>
    <w:rsid w:val="00A13177"/>
    <w:rsid w:val="00A13501"/>
    <w:rsid w:val="00A135D9"/>
    <w:rsid w:val="00A13ABD"/>
    <w:rsid w:val="00A1470C"/>
    <w:rsid w:val="00A14736"/>
    <w:rsid w:val="00A1482A"/>
    <w:rsid w:val="00A20123"/>
    <w:rsid w:val="00A20389"/>
    <w:rsid w:val="00A20EFE"/>
    <w:rsid w:val="00A214B8"/>
    <w:rsid w:val="00A217F8"/>
    <w:rsid w:val="00A237DD"/>
    <w:rsid w:val="00A239C8"/>
    <w:rsid w:val="00A239CB"/>
    <w:rsid w:val="00A24A39"/>
    <w:rsid w:val="00A25699"/>
    <w:rsid w:val="00A25737"/>
    <w:rsid w:val="00A25F7B"/>
    <w:rsid w:val="00A27691"/>
    <w:rsid w:val="00A30004"/>
    <w:rsid w:val="00A3219B"/>
    <w:rsid w:val="00A32209"/>
    <w:rsid w:val="00A3243C"/>
    <w:rsid w:val="00A324DA"/>
    <w:rsid w:val="00A3394A"/>
    <w:rsid w:val="00A339B4"/>
    <w:rsid w:val="00A33E79"/>
    <w:rsid w:val="00A351A1"/>
    <w:rsid w:val="00A35540"/>
    <w:rsid w:val="00A3559A"/>
    <w:rsid w:val="00A3570C"/>
    <w:rsid w:val="00A3582C"/>
    <w:rsid w:val="00A35CAD"/>
    <w:rsid w:val="00A36038"/>
    <w:rsid w:val="00A36939"/>
    <w:rsid w:val="00A370B6"/>
    <w:rsid w:val="00A373A6"/>
    <w:rsid w:val="00A374AE"/>
    <w:rsid w:val="00A3783D"/>
    <w:rsid w:val="00A3792B"/>
    <w:rsid w:val="00A3797A"/>
    <w:rsid w:val="00A414D2"/>
    <w:rsid w:val="00A41562"/>
    <w:rsid w:val="00A4194D"/>
    <w:rsid w:val="00A41B9B"/>
    <w:rsid w:val="00A421B3"/>
    <w:rsid w:val="00A4257B"/>
    <w:rsid w:val="00A42D66"/>
    <w:rsid w:val="00A430A2"/>
    <w:rsid w:val="00A430A9"/>
    <w:rsid w:val="00A43485"/>
    <w:rsid w:val="00A43E3D"/>
    <w:rsid w:val="00A44516"/>
    <w:rsid w:val="00A449B4"/>
    <w:rsid w:val="00A4528F"/>
    <w:rsid w:val="00A45ADC"/>
    <w:rsid w:val="00A470F5"/>
    <w:rsid w:val="00A47209"/>
    <w:rsid w:val="00A479A3"/>
    <w:rsid w:val="00A509E8"/>
    <w:rsid w:val="00A51814"/>
    <w:rsid w:val="00A51ABB"/>
    <w:rsid w:val="00A5273F"/>
    <w:rsid w:val="00A52FDC"/>
    <w:rsid w:val="00A53469"/>
    <w:rsid w:val="00A545FA"/>
    <w:rsid w:val="00A557EA"/>
    <w:rsid w:val="00A5710A"/>
    <w:rsid w:val="00A57C81"/>
    <w:rsid w:val="00A600E6"/>
    <w:rsid w:val="00A603C7"/>
    <w:rsid w:val="00A609B8"/>
    <w:rsid w:val="00A61396"/>
    <w:rsid w:val="00A62450"/>
    <w:rsid w:val="00A63191"/>
    <w:rsid w:val="00A63429"/>
    <w:rsid w:val="00A63477"/>
    <w:rsid w:val="00A634D8"/>
    <w:rsid w:val="00A6486C"/>
    <w:rsid w:val="00A64874"/>
    <w:rsid w:val="00A648F6"/>
    <w:rsid w:val="00A64FB0"/>
    <w:rsid w:val="00A65298"/>
    <w:rsid w:val="00A6532A"/>
    <w:rsid w:val="00A65734"/>
    <w:rsid w:val="00A6707F"/>
    <w:rsid w:val="00A6734A"/>
    <w:rsid w:val="00A673BD"/>
    <w:rsid w:val="00A676E6"/>
    <w:rsid w:val="00A67CBD"/>
    <w:rsid w:val="00A70E70"/>
    <w:rsid w:val="00A71BC5"/>
    <w:rsid w:val="00A72562"/>
    <w:rsid w:val="00A7275B"/>
    <w:rsid w:val="00A72917"/>
    <w:rsid w:val="00A72C68"/>
    <w:rsid w:val="00A739DC"/>
    <w:rsid w:val="00A73A45"/>
    <w:rsid w:val="00A748EA"/>
    <w:rsid w:val="00A74E4F"/>
    <w:rsid w:val="00A76BA1"/>
    <w:rsid w:val="00A77006"/>
    <w:rsid w:val="00A77830"/>
    <w:rsid w:val="00A77DDD"/>
    <w:rsid w:val="00A80135"/>
    <w:rsid w:val="00A80429"/>
    <w:rsid w:val="00A806A8"/>
    <w:rsid w:val="00A81C4C"/>
    <w:rsid w:val="00A81D0F"/>
    <w:rsid w:val="00A8208B"/>
    <w:rsid w:val="00A82222"/>
    <w:rsid w:val="00A82A45"/>
    <w:rsid w:val="00A82B2A"/>
    <w:rsid w:val="00A836CD"/>
    <w:rsid w:val="00A83ACA"/>
    <w:rsid w:val="00A83E40"/>
    <w:rsid w:val="00A83EAE"/>
    <w:rsid w:val="00A83F75"/>
    <w:rsid w:val="00A844D4"/>
    <w:rsid w:val="00A8490D"/>
    <w:rsid w:val="00A84D01"/>
    <w:rsid w:val="00A84D95"/>
    <w:rsid w:val="00A8528D"/>
    <w:rsid w:val="00A858EB"/>
    <w:rsid w:val="00A85B6E"/>
    <w:rsid w:val="00A85C1D"/>
    <w:rsid w:val="00A8610E"/>
    <w:rsid w:val="00A862EE"/>
    <w:rsid w:val="00A87B3A"/>
    <w:rsid w:val="00A87B6F"/>
    <w:rsid w:val="00A87E42"/>
    <w:rsid w:val="00A90445"/>
    <w:rsid w:val="00A91F3D"/>
    <w:rsid w:val="00A93171"/>
    <w:rsid w:val="00A9345C"/>
    <w:rsid w:val="00A93DEF"/>
    <w:rsid w:val="00A93E15"/>
    <w:rsid w:val="00A95629"/>
    <w:rsid w:val="00A95685"/>
    <w:rsid w:val="00A957C8"/>
    <w:rsid w:val="00A96055"/>
    <w:rsid w:val="00A96322"/>
    <w:rsid w:val="00A9730D"/>
    <w:rsid w:val="00AA04C1"/>
    <w:rsid w:val="00AA0F83"/>
    <w:rsid w:val="00AA21C3"/>
    <w:rsid w:val="00AA25D7"/>
    <w:rsid w:val="00AA28DC"/>
    <w:rsid w:val="00AA34BB"/>
    <w:rsid w:val="00AA3A41"/>
    <w:rsid w:val="00AA3EFE"/>
    <w:rsid w:val="00AA4091"/>
    <w:rsid w:val="00AA46D4"/>
    <w:rsid w:val="00AA5769"/>
    <w:rsid w:val="00AA587C"/>
    <w:rsid w:val="00AA5B76"/>
    <w:rsid w:val="00AA6D5B"/>
    <w:rsid w:val="00AA6FFE"/>
    <w:rsid w:val="00AA7986"/>
    <w:rsid w:val="00AB08FB"/>
    <w:rsid w:val="00AB0A65"/>
    <w:rsid w:val="00AB0EF2"/>
    <w:rsid w:val="00AB1645"/>
    <w:rsid w:val="00AB192B"/>
    <w:rsid w:val="00AB2105"/>
    <w:rsid w:val="00AB282C"/>
    <w:rsid w:val="00AB3E39"/>
    <w:rsid w:val="00AB465C"/>
    <w:rsid w:val="00AB481D"/>
    <w:rsid w:val="00AB4DBA"/>
    <w:rsid w:val="00AB558F"/>
    <w:rsid w:val="00AB62BF"/>
    <w:rsid w:val="00AB6737"/>
    <w:rsid w:val="00AB6816"/>
    <w:rsid w:val="00AB6960"/>
    <w:rsid w:val="00AB6A0E"/>
    <w:rsid w:val="00AB6C15"/>
    <w:rsid w:val="00AC0A11"/>
    <w:rsid w:val="00AC1D66"/>
    <w:rsid w:val="00AC2803"/>
    <w:rsid w:val="00AC4764"/>
    <w:rsid w:val="00AC4EC7"/>
    <w:rsid w:val="00AC501C"/>
    <w:rsid w:val="00AC51E4"/>
    <w:rsid w:val="00AC59E9"/>
    <w:rsid w:val="00AC62B2"/>
    <w:rsid w:val="00AC64A3"/>
    <w:rsid w:val="00AC6A23"/>
    <w:rsid w:val="00AC6BA7"/>
    <w:rsid w:val="00AD166D"/>
    <w:rsid w:val="00AD192B"/>
    <w:rsid w:val="00AD1DD3"/>
    <w:rsid w:val="00AD1F65"/>
    <w:rsid w:val="00AD2A9E"/>
    <w:rsid w:val="00AD36B8"/>
    <w:rsid w:val="00AD372A"/>
    <w:rsid w:val="00AD3986"/>
    <w:rsid w:val="00AD43AD"/>
    <w:rsid w:val="00AD46C6"/>
    <w:rsid w:val="00AD583B"/>
    <w:rsid w:val="00AD5A3D"/>
    <w:rsid w:val="00AD5BDD"/>
    <w:rsid w:val="00AD5C72"/>
    <w:rsid w:val="00AD5DED"/>
    <w:rsid w:val="00AD5EDA"/>
    <w:rsid w:val="00AD5F0C"/>
    <w:rsid w:val="00AD682D"/>
    <w:rsid w:val="00AD74BB"/>
    <w:rsid w:val="00AE09BE"/>
    <w:rsid w:val="00AE0CCC"/>
    <w:rsid w:val="00AE1455"/>
    <w:rsid w:val="00AE2142"/>
    <w:rsid w:val="00AE2C27"/>
    <w:rsid w:val="00AE2CEE"/>
    <w:rsid w:val="00AE34FD"/>
    <w:rsid w:val="00AE399B"/>
    <w:rsid w:val="00AE3BBD"/>
    <w:rsid w:val="00AE3D2F"/>
    <w:rsid w:val="00AE3F63"/>
    <w:rsid w:val="00AE42EA"/>
    <w:rsid w:val="00AE4D19"/>
    <w:rsid w:val="00AE4F1C"/>
    <w:rsid w:val="00AE51F9"/>
    <w:rsid w:val="00AE5D47"/>
    <w:rsid w:val="00AE6132"/>
    <w:rsid w:val="00AE6581"/>
    <w:rsid w:val="00AE67BA"/>
    <w:rsid w:val="00AF05D5"/>
    <w:rsid w:val="00AF0E90"/>
    <w:rsid w:val="00AF119A"/>
    <w:rsid w:val="00AF182F"/>
    <w:rsid w:val="00AF1906"/>
    <w:rsid w:val="00AF1976"/>
    <w:rsid w:val="00AF1C82"/>
    <w:rsid w:val="00AF252C"/>
    <w:rsid w:val="00AF2B00"/>
    <w:rsid w:val="00AF405B"/>
    <w:rsid w:val="00AF40BC"/>
    <w:rsid w:val="00AF4C4B"/>
    <w:rsid w:val="00AF5042"/>
    <w:rsid w:val="00AF5345"/>
    <w:rsid w:val="00AF645A"/>
    <w:rsid w:val="00AF6473"/>
    <w:rsid w:val="00AF6B2F"/>
    <w:rsid w:val="00AF6CB0"/>
    <w:rsid w:val="00AF6DB4"/>
    <w:rsid w:val="00AF7054"/>
    <w:rsid w:val="00AF76CF"/>
    <w:rsid w:val="00AF7AD4"/>
    <w:rsid w:val="00B0018A"/>
    <w:rsid w:val="00B0036A"/>
    <w:rsid w:val="00B01ACC"/>
    <w:rsid w:val="00B026B3"/>
    <w:rsid w:val="00B02E26"/>
    <w:rsid w:val="00B0300F"/>
    <w:rsid w:val="00B034E1"/>
    <w:rsid w:val="00B03A8B"/>
    <w:rsid w:val="00B03CB4"/>
    <w:rsid w:val="00B05EA4"/>
    <w:rsid w:val="00B06963"/>
    <w:rsid w:val="00B06DB0"/>
    <w:rsid w:val="00B06DE1"/>
    <w:rsid w:val="00B06F02"/>
    <w:rsid w:val="00B072ED"/>
    <w:rsid w:val="00B07A38"/>
    <w:rsid w:val="00B104E3"/>
    <w:rsid w:val="00B10D9C"/>
    <w:rsid w:val="00B11314"/>
    <w:rsid w:val="00B11A31"/>
    <w:rsid w:val="00B13392"/>
    <w:rsid w:val="00B1392B"/>
    <w:rsid w:val="00B14240"/>
    <w:rsid w:val="00B144DE"/>
    <w:rsid w:val="00B14B28"/>
    <w:rsid w:val="00B14CC6"/>
    <w:rsid w:val="00B14D5C"/>
    <w:rsid w:val="00B152F3"/>
    <w:rsid w:val="00B15CA8"/>
    <w:rsid w:val="00B15FE3"/>
    <w:rsid w:val="00B16A89"/>
    <w:rsid w:val="00B1745F"/>
    <w:rsid w:val="00B17AED"/>
    <w:rsid w:val="00B17C37"/>
    <w:rsid w:val="00B17E48"/>
    <w:rsid w:val="00B2031D"/>
    <w:rsid w:val="00B207F1"/>
    <w:rsid w:val="00B20AD1"/>
    <w:rsid w:val="00B220CB"/>
    <w:rsid w:val="00B22F1B"/>
    <w:rsid w:val="00B234EA"/>
    <w:rsid w:val="00B2392E"/>
    <w:rsid w:val="00B23B05"/>
    <w:rsid w:val="00B24965"/>
    <w:rsid w:val="00B24C7E"/>
    <w:rsid w:val="00B24EE6"/>
    <w:rsid w:val="00B2533B"/>
    <w:rsid w:val="00B26C7D"/>
    <w:rsid w:val="00B27BF9"/>
    <w:rsid w:val="00B27E25"/>
    <w:rsid w:val="00B30881"/>
    <w:rsid w:val="00B308FB"/>
    <w:rsid w:val="00B30DD5"/>
    <w:rsid w:val="00B31010"/>
    <w:rsid w:val="00B316B7"/>
    <w:rsid w:val="00B31E2F"/>
    <w:rsid w:val="00B3347A"/>
    <w:rsid w:val="00B33915"/>
    <w:rsid w:val="00B343EC"/>
    <w:rsid w:val="00B35BFB"/>
    <w:rsid w:val="00B3682B"/>
    <w:rsid w:val="00B36955"/>
    <w:rsid w:val="00B36DD5"/>
    <w:rsid w:val="00B41668"/>
    <w:rsid w:val="00B41A49"/>
    <w:rsid w:val="00B41D59"/>
    <w:rsid w:val="00B42490"/>
    <w:rsid w:val="00B42850"/>
    <w:rsid w:val="00B43910"/>
    <w:rsid w:val="00B4712E"/>
    <w:rsid w:val="00B47725"/>
    <w:rsid w:val="00B50100"/>
    <w:rsid w:val="00B50148"/>
    <w:rsid w:val="00B51269"/>
    <w:rsid w:val="00B51933"/>
    <w:rsid w:val="00B51EF0"/>
    <w:rsid w:val="00B5261B"/>
    <w:rsid w:val="00B53C15"/>
    <w:rsid w:val="00B54BBA"/>
    <w:rsid w:val="00B556AF"/>
    <w:rsid w:val="00B563E1"/>
    <w:rsid w:val="00B564A7"/>
    <w:rsid w:val="00B56544"/>
    <w:rsid w:val="00B570C7"/>
    <w:rsid w:val="00B57B05"/>
    <w:rsid w:val="00B6004A"/>
    <w:rsid w:val="00B60DC7"/>
    <w:rsid w:val="00B60EA8"/>
    <w:rsid w:val="00B619E4"/>
    <w:rsid w:val="00B61A24"/>
    <w:rsid w:val="00B61CD1"/>
    <w:rsid w:val="00B62431"/>
    <w:rsid w:val="00B626E0"/>
    <w:rsid w:val="00B62742"/>
    <w:rsid w:val="00B62C8F"/>
    <w:rsid w:val="00B63279"/>
    <w:rsid w:val="00B639B8"/>
    <w:rsid w:val="00B64695"/>
    <w:rsid w:val="00B64E2D"/>
    <w:rsid w:val="00B65B0A"/>
    <w:rsid w:val="00B6766B"/>
    <w:rsid w:val="00B708BC"/>
    <w:rsid w:val="00B71850"/>
    <w:rsid w:val="00B72089"/>
    <w:rsid w:val="00B72A6F"/>
    <w:rsid w:val="00B735B0"/>
    <w:rsid w:val="00B73864"/>
    <w:rsid w:val="00B73CD4"/>
    <w:rsid w:val="00B7437F"/>
    <w:rsid w:val="00B75103"/>
    <w:rsid w:val="00B75246"/>
    <w:rsid w:val="00B75D49"/>
    <w:rsid w:val="00B75FF5"/>
    <w:rsid w:val="00B765A4"/>
    <w:rsid w:val="00B7676D"/>
    <w:rsid w:val="00B769A4"/>
    <w:rsid w:val="00B76C2D"/>
    <w:rsid w:val="00B77066"/>
    <w:rsid w:val="00B8022F"/>
    <w:rsid w:val="00B8064F"/>
    <w:rsid w:val="00B8114C"/>
    <w:rsid w:val="00B8118F"/>
    <w:rsid w:val="00B81A72"/>
    <w:rsid w:val="00B82698"/>
    <w:rsid w:val="00B838F8"/>
    <w:rsid w:val="00B83EDA"/>
    <w:rsid w:val="00B846A5"/>
    <w:rsid w:val="00B84853"/>
    <w:rsid w:val="00B85444"/>
    <w:rsid w:val="00B85C00"/>
    <w:rsid w:val="00B85CF9"/>
    <w:rsid w:val="00B8606A"/>
    <w:rsid w:val="00B863E3"/>
    <w:rsid w:val="00B87DEA"/>
    <w:rsid w:val="00B87E40"/>
    <w:rsid w:val="00B9031F"/>
    <w:rsid w:val="00B904E2"/>
    <w:rsid w:val="00B9050B"/>
    <w:rsid w:val="00B90768"/>
    <w:rsid w:val="00B91821"/>
    <w:rsid w:val="00B91FB4"/>
    <w:rsid w:val="00B91FFB"/>
    <w:rsid w:val="00B92FF2"/>
    <w:rsid w:val="00B935AA"/>
    <w:rsid w:val="00B94998"/>
    <w:rsid w:val="00B9558D"/>
    <w:rsid w:val="00B9586E"/>
    <w:rsid w:val="00B958B1"/>
    <w:rsid w:val="00B959EB"/>
    <w:rsid w:val="00B9638A"/>
    <w:rsid w:val="00B96B03"/>
    <w:rsid w:val="00B97B46"/>
    <w:rsid w:val="00B97C42"/>
    <w:rsid w:val="00BA0326"/>
    <w:rsid w:val="00BA06DE"/>
    <w:rsid w:val="00BA07D1"/>
    <w:rsid w:val="00BA17E9"/>
    <w:rsid w:val="00BA1BBF"/>
    <w:rsid w:val="00BA33B6"/>
    <w:rsid w:val="00BA35C8"/>
    <w:rsid w:val="00BA3645"/>
    <w:rsid w:val="00BA372E"/>
    <w:rsid w:val="00BA3A52"/>
    <w:rsid w:val="00BA42EF"/>
    <w:rsid w:val="00BA4445"/>
    <w:rsid w:val="00BA52C2"/>
    <w:rsid w:val="00BA578C"/>
    <w:rsid w:val="00BA5F87"/>
    <w:rsid w:val="00BA6036"/>
    <w:rsid w:val="00BA613E"/>
    <w:rsid w:val="00BA63C6"/>
    <w:rsid w:val="00BA69D0"/>
    <w:rsid w:val="00BA7B5F"/>
    <w:rsid w:val="00BB13F3"/>
    <w:rsid w:val="00BB1B10"/>
    <w:rsid w:val="00BB1B48"/>
    <w:rsid w:val="00BB1BD1"/>
    <w:rsid w:val="00BB2447"/>
    <w:rsid w:val="00BB28A4"/>
    <w:rsid w:val="00BB2E53"/>
    <w:rsid w:val="00BB34EE"/>
    <w:rsid w:val="00BB3739"/>
    <w:rsid w:val="00BB380A"/>
    <w:rsid w:val="00BB6424"/>
    <w:rsid w:val="00BB6554"/>
    <w:rsid w:val="00BB671E"/>
    <w:rsid w:val="00BB6D9D"/>
    <w:rsid w:val="00BB6F1E"/>
    <w:rsid w:val="00BB79DE"/>
    <w:rsid w:val="00BC0069"/>
    <w:rsid w:val="00BC0A3E"/>
    <w:rsid w:val="00BC0CAC"/>
    <w:rsid w:val="00BC153D"/>
    <w:rsid w:val="00BC18AE"/>
    <w:rsid w:val="00BC1906"/>
    <w:rsid w:val="00BC1C75"/>
    <w:rsid w:val="00BC1E8B"/>
    <w:rsid w:val="00BC1F40"/>
    <w:rsid w:val="00BC2D75"/>
    <w:rsid w:val="00BC361B"/>
    <w:rsid w:val="00BC379C"/>
    <w:rsid w:val="00BC37FC"/>
    <w:rsid w:val="00BC3A22"/>
    <w:rsid w:val="00BC4344"/>
    <w:rsid w:val="00BC439E"/>
    <w:rsid w:val="00BC4E8F"/>
    <w:rsid w:val="00BC53A9"/>
    <w:rsid w:val="00BC55FD"/>
    <w:rsid w:val="00BC5A95"/>
    <w:rsid w:val="00BC5F0C"/>
    <w:rsid w:val="00BC65A4"/>
    <w:rsid w:val="00BC6C94"/>
    <w:rsid w:val="00BC6FED"/>
    <w:rsid w:val="00BD0AF9"/>
    <w:rsid w:val="00BD0D24"/>
    <w:rsid w:val="00BD0FEA"/>
    <w:rsid w:val="00BD1434"/>
    <w:rsid w:val="00BD1A94"/>
    <w:rsid w:val="00BD1E8E"/>
    <w:rsid w:val="00BD2D34"/>
    <w:rsid w:val="00BD34DE"/>
    <w:rsid w:val="00BD3757"/>
    <w:rsid w:val="00BD42AE"/>
    <w:rsid w:val="00BD4775"/>
    <w:rsid w:val="00BD4CEA"/>
    <w:rsid w:val="00BD61EE"/>
    <w:rsid w:val="00BD6755"/>
    <w:rsid w:val="00BD6C73"/>
    <w:rsid w:val="00BD6E6A"/>
    <w:rsid w:val="00BD713E"/>
    <w:rsid w:val="00BD7289"/>
    <w:rsid w:val="00BE02C6"/>
    <w:rsid w:val="00BE1AAC"/>
    <w:rsid w:val="00BE2F5A"/>
    <w:rsid w:val="00BE368B"/>
    <w:rsid w:val="00BE3CC8"/>
    <w:rsid w:val="00BE4066"/>
    <w:rsid w:val="00BE462F"/>
    <w:rsid w:val="00BE5029"/>
    <w:rsid w:val="00BE5895"/>
    <w:rsid w:val="00BE61BE"/>
    <w:rsid w:val="00BE69EC"/>
    <w:rsid w:val="00BE6D8B"/>
    <w:rsid w:val="00BF0081"/>
    <w:rsid w:val="00BF0590"/>
    <w:rsid w:val="00BF1017"/>
    <w:rsid w:val="00BF12ED"/>
    <w:rsid w:val="00BF169B"/>
    <w:rsid w:val="00BF23B1"/>
    <w:rsid w:val="00BF2BB7"/>
    <w:rsid w:val="00BF2C19"/>
    <w:rsid w:val="00BF2FA0"/>
    <w:rsid w:val="00BF32DB"/>
    <w:rsid w:val="00BF336A"/>
    <w:rsid w:val="00BF3A18"/>
    <w:rsid w:val="00BF3B94"/>
    <w:rsid w:val="00BF51DA"/>
    <w:rsid w:val="00BF5B29"/>
    <w:rsid w:val="00BF6DFE"/>
    <w:rsid w:val="00BF7806"/>
    <w:rsid w:val="00C00064"/>
    <w:rsid w:val="00C00123"/>
    <w:rsid w:val="00C013CC"/>
    <w:rsid w:val="00C01422"/>
    <w:rsid w:val="00C01F29"/>
    <w:rsid w:val="00C02152"/>
    <w:rsid w:val="00C044FD"/>
    <w:rsid w:val="00C04ED4"/>
    <w:rsid w:val="00C05996"/>
    <w:rsid w:val="00C05D50"/>
    <w:rsid w:val="00C05E2F"/>
    <w:rsid w:val="00C05EAE"/>
    <w:rsid w:val="00C10694"/>
    <w:rsid w:val="00C10B77"/>
    <w:rsid w:val="00C11110"/>
    <w:rsid w:val="00C118C2"/>
    <w:rsid w:val="00C12763"/>
    <w:rsid w:val="00C131D3"/>
    <w:rsid w:val="00C13AC4"/>
    <w:rsid w:val="00C13E05"/>
    <w:rsid w:val="00C14175"/>
    <w:rsid w:val="00C14872"/>
    <w:rsid w:val="00C16C6C"/>
    <w:rsid w:val="00C173F3"/>
    <w:rsid w:val="00C17AED"/>
    <w:rsid w:val="00C20BBD"/>
    <w:rsid w:val="00C21138"/>
    <w:rsid w:val="00C21330"/>
    <w:rsid w:val="00C21473"/>
    <w:rsid w:val="00C21798"/>
    <w:rsid w:val="00C22875"/>
    <w:rsid w:val="00C239F6"/>
    <w:rsid w:val="00C23DBA"/>
    <w:rsid w:val="00C24318"/>
    <w:rsid w:val="00C24A84"/>
    <w:rsid w:val="00C260F6"/>
    <w:rsid w:val="00C26307"/>
    <w:rsid w:val="00C2638E"/>
    <w:rsid w:val="00C31856"/>
    <w:rsid w:val="00C32155"/>
    <w:rsid w:val="00C321FE"/>
    <w:rsid w:val="00C34504"/>
    <w:rsid w:val="00C34EC7"/>
    <w:rsid w:val="00C358D0"/>
    <w:rsid w:val="00C35B74"/>
    <w:rsid w:val="00C35BC9"/>
    <w:rsid w:val="00C36F96"/>
    <w:rsid w:val="00C371E0"/>
    <w:rsid w:val="00C3738D"/>
    <w:rsid w:val="00C37762"/>
    <w:rsid w:val="00C37BB0"/>
    <w:rsid w:val="00C37D4A"/>
    <w:rsid w:val="00C40182"/>
    <w:rsid w:val="00C40762"/>
    <w:rsid w:val="00C41440"/>
    <w:rsid w:val="00C41AFF"/>
    <w:rsid w:val="00C41F7A"/>
    <w:rsid w:val="00C424DC"/>
    <w:rsid w:val="00C42BEB"/>
    <w:rsid w:val="00C439BE"/>
    <w:rsid w:val="00C44354"/>
    <w:rsid w:val="00C45718"/>
    <w:rsid w:val="00C45C04"/>
    <w:rsid w:val="00C46967"/>
    <w:rsid w:val="00C478E4"/>
    <w:rsid w:val="00C50433"/>
    <w:rsid w:val="00C5081A"/>
    <w:rsid w:val="00C50EA3"/>
    <w:rsid w:val="00C515D7"/>
    <w:rsid w:val="00C529F5"/>
    <w:rsid w:val="00C52C29"/>
    <w:rsid w:val="00C53BB3"/>
    <w:rsid w:val="00C546F3"/>
    <w:rsid w:val="00C54A57"/>
    <w:rsid w:val="00C5551F"/>
    <w:rsid w:val="00C55994"/>
    <w:rsid w:val="00C55A28"/>
    <w:rsid w:val="00C55EB1"/>
    <w:rsid w:val="00C55F89"/>
    <w:rsid w:val="00C56D74"/>
    <w:rsid w:val="00C56EB6"/>
    <w:rsid w:val="00C56FE3"/>
    <w:rsid w:val="00C5725C"/>
    <w:rsid w:val="00C57289"/>
    <w:rsid w:val="00C57782"/>
    <w:rsid w:val="00C60CCA"/>
    <w:rsid w:val="00C610AD"/>
    <w:rsid w:val="00C61835"/>
    <w:rsid w:val="00C61FA0"/>
    <w:rsid w:val="00C62B27"/>
    <w:rsid w:val="00C62ED9"/>
    <w:rsid w:val="00C6328A"/>
    <w:rsid w:val="00C64C03"/>
    <w:rsid w:val="00C64E49"/>
    <w:rsid w:val="00C6513F"/>
    <w:rsid w:val="00C65292"/>
    <w:rsid w:val="00C676EE"/>
    <w:rsid w:val="00C70709"/>
    <w:rsid w:val="00C70853"/>
    <w:rsid w:val="00C710CE"/>
    <w:rsid w:val="00C7219C"/>
    <w:rsid w:val="00C721A2"/>
    <w:rsid w:val="00C73100"/>
    <w:rsid w:val="00C73BF2"/>
    <w:rsid w:val="00C748BF"/>
    <w:rsid w:val="00C75773"/>
    <w:rsid w:val="00C75BFD"/>
    <w:rsid w:val="00C77EA5"/>
    <w:rsid w:val="00C80960"/>
    <w:rsid w:val="00C809DB"/>
    <w:rsid w:val="00C812D0"/>
    <w:rsid w:val="00C816A6"/>
    <w:rsid w:val="00C816E0"/>
    <w:rsid w:val="00C81BF3"/>
    <w:rsid w:val="00C81EF7"/>
    <w:rsid w:val="00C82D2F"/>
    <w:rsid w:val="00C8381F"/>
    <w:rsid w:val="00C84379"/>
    <w:rsid w:val="00C85EAA"/>
    <w:rsid w:val="00C85EB1"/>
    <w:rsid w:val="00C8695D"/>
    <w:rsid w:val="00C86EC8"/>
    <w:rsid w:val="00C86EDF"/>
    <w:rsid w:val="00C87124"/>
    <w:rsid w:val="00C87645"/>
    <w:rsid w:val="00C8788E"/>
    <w:rsid w:val="00C90257"/>
    <w:rsid w:val="00C90FE5"/>
    <w:rsid w:val="00C9192D"/>
    <w:rsid w:val="00C91DC2"/>
    <w:rsid w:val="00C91E70"/>
    <w:rsid w:val="00C92473"/>
    <w:rsid w:val="00C93172"/>
    <w:rsid w:val="00C93D21"/>
    <w:rsid w:val="00C94317"/>
    <w:rsid w:val="00C94CE3"/>
    <w:rsid w:val="00C9547A"/>
    <w:rsid w:val="00C971A9"/>
    <w:rsid w:val="00C97CA4"/>
    <w:rsid w:val="00CA0370"/>
    <w:rsid w:val="00CA068B"/>
    <w:rsid w:val="00CA0EA4"/>
    <w:rsid w:val="00CA226C"/>
    <w:rsid w:val="00CA2944"/>
    <w:rsid w:val="00CA3296"/>
    <w:rsid w:val="00CA36ED"/>
    <w:rsid w:val="00CA3716"/>
    <w:rsid w:val="00CA3DE7"/>
    <w:rsid w:val="00CA4C1A"/>
    <w:rsid w:val="00CA5680"/>
    <w:rsid w:val="00CA6078"/>
    <w:rsid w:val="00CA6890"/>
    <w:rsid w:val="00CA7C74"/>
    <w:rsid w:val="00CB0DBA"/>
    <w:rsid w:val="00CB1194"/>
    <w:rsid w:val="00CB137B"/>
    <w:rsid w:val="00CB14CC"/>
    <w:rsid w:val="00CB15F7"/>
    <w:rsid w:val="00CB1DE4"/>
    <w:rsid w:val="00CB4163"/>
    <w:rsid w:val="00CB427C"/>
    <w:rsid w:val="00CB4FF9"/>
    <w:rsid w:val="00CB56B0"/>
    <w:rsid w:val="00CB6F1F"/>
    <w:rsid w:val="00CC12D3"/>
    <w:rsid w:val="00CC2C37"/>
    <w:rsid w:val="00CC2D6C"/>
    <w:rsid w:val="00CC3EFA"/>
    <w:rsid w:val="00CC41AA"/>
    <w:rsid w:val="00CC4A53"/>
    <w:rsid w:val="00CC5420"/>
    <w:rsid w:val="00CC7481"/>
    <w:rsid w:val="00CD00B0"/>
    <w:rsid w:val="00CD042D"/>
    <w:rsid w:val="00CD0E41"/>
    <w:rsid w:val="00CD1321"/>
    <w:rsid w:val="00CD1515"/>
    <w:rsid w:val="00CD17CD"/>
    <w:rsid w:val="00CD1C15"/>
    <w:rsid w:val="00CD2030"/>
    <w:rsid w:val="00CD2780"/>
    <w:rsid w:val="00CD2E61"/>
    <w:rsid w:val="00CD381C"/>
    <w:rsid w:val="00CD3B44"/>
    <w:rsid w:val="00CD3C22"/>
    <w:rsid w:val="00CD3C84"/>
    <w:rsid w:val="00CD3E35"/>
    <w:rsid w:val="00CD4107"/>
    <w:rsid w:val="00CD42F5"/>
    <w:rsid w:val="00CD42FD"/>
    <w:rsid w:val="00CD48A0"/>
    <w:rsid w:val="00CD4D49"/>
    <w:rsid w:val="00CD51E7"/>
    <w:rsid w:val="00CD69A6"/>
    <w:rsid w:val="00CD714A"/>
    <w:rsid w:val="00CD7965"/>
    <w:rsid w:val="00CD7C1A"/>
    <w:rsid w:val="00CE0EA8"/>
    <w:rsid w:val="00CE111D"/>
    <w:rsid w:val="00CE1D44"/>
    <w:rsid w:val="00CE208C"/>
    <w:rsid w:val="00CE2F0B"/>
    <w:rsid w:val="00CE32B6"/>
    <w:rsid w:val="00CE351F"/>
    <w:rsid w:val="00CE353C"/>
    <w:rsid w:val="00CE3D47"/>
    <w:rsid w:val="00CE4924"/>
    <w:rsid w:val="00CE5B66"/>
    <w:rsid w:val="00CE5F5D"/>
    <w:rsid w:val="00CE60EC"/>
    <w:rsid w:val="00CE64C8"/>
    <w:rsid w:val="00CE67EF"/>
    <w:rsid w:val="00CE748A"/>
    <w:rsid w:val="00CF0C6A"/>
    <w:rsid w:val="00CF14F6"/>
    <w:rsid w:val="00CF252C"/>
    <w:rsid w:val="00CF2DAA"/>
    <w:rsid w:val="00CF58FD"/>
    <w:rsid w:val="00CF59EE"/>
    <w:rsid w:val="00CF5BBA"/>
    <w:rsid w:val="00CF63B5"/>
    <w:rsid w:val="00CF6F70"/>
    <w:rsid w:val="00D00879"/>
    <w:rsid w:val="00D014CF"/>
    <w:rsid w:val="00D01DCA"/>
    <w:rsid w:val="00D02183"/>
    <w:rsid w:val="00D025F5"/>
    <w:rsid w:val="00D02DE7"/>
    <w:rsid w:val="00D0560E"/>
    <w:rsid w:val="00D0623C"/>
    <w:rsid w:val="00D06A9C"/>
    <w:rsid w:val="00D06AE3"/>
    <w:rsid w:val="00D10709"/>
    <w:rsid w:val="00D11094"/>
    <w:rsid w:val="00D1149B"/>
    <w:rsid w:val="00D11D7F"/>
    <w:rsid w:val="00D1209E"/>
    <w:rsid w:val="00D122A0"/>
    <w:rsid w:val="00D13197"/>
    <w:rsid w:val="00D133A0"/>
    <w:rsid w:val="00D13A7D"/>
    <w:rsid w:val="00D13F0E"/>
    <w:rsid w:val="00D13FD2"/>
    <w:rsid w:val="00D15B0D"/>
    <w:rsid w:val="00D15FE1"/>
    <w:rsid w:val="00D16257"/>
    <w:rsid w:val="00D16561"/>
    <w:rsid w:val="00D16762"/>
    <w:rsid w:val="00D17C94"/>
    <w:rsid w:val="00D20DDE"/>
    <w:rsid w:val="00D20FCC"/>
    <w:rsid w:val="00D21878"/>
    <w:rsid w:val="00D2259D"/>
    <w:rsid w:val="00D2374E"/>
    <w:rsid w:val="00D2386A"/>
    <w:rsid w:val="00D2445B"/>
    <w:rsid w:val="00D251CB"/>
    <w:rsid w:val="00D25F74"/>
    <w:rsid w:val="00D26344"/>
    <w:rsid w:val="00D26A01"/>
    <w:rsid w:val="00D26B18"/>
    <w:rsid w:val="00D26C18"/>
    <w:rsid w:val="00D26CC3"/>
    <w:rsid w:val="00D270BC"/>
    <w:rsid w:val="00D27729"/>
    <w:rsid w:val="00D301BF"/>
    <w:rsid w:val="00D30459"/>
    <w:rsid w:val="00D30871"/>
    <w:rsid w:val="00D30A49"/>
    <w:rsid w:val="00D30B87"/>
    <w:rsid w:val="00D30EB7"/>
    <w:rsid w:val="00D314F1"/>
    <w:rsid w:val="00D31C8B"/>
    <w:rsid w:val="00D32725"/>
    <w:rsid w:val="00D32858"/>
    <w:rsid w:val="00D32F60"/>
    <w:rsid w:val="00D33FD3"/>
    <w:rsid w:val="00D34462"/>
    <w:rsid w:val="00D34888"/>
    <w:rsid w:val="00D34937"/>
    <w:rsid w:val="00D35411"/>
    <w:rsid w:val="00D355EC"/>
    <w:rsid w:val="00D36048"/>
    <w:rsid w:val="00D36ABA"/>
    <w:rsid w:val="00D37F75"/>
    <w:rsid w:val="00D40498"/>
    <w:rsid w:val="00D42A48"/>
    <w:rsid w:val="00D43088"/>
    <w:rsid w:val="00D430DD"/>
    <w:rsid w:val="00D43482"/>
    <w:rsid w:val="00D434A5"/>
    <w:rsid w:val="00D439C5"/>
    <w:rsid w:val="00D43DA7"/>
    <w:rsid w:val="00D44CBD"/>
    <w:rsid w:val="00D44E79"/>
    <w:rsid w:val="00D44FCF"/>
    <w:rsid w:val="00D45124"/>
    <w:rsid w:val="00D45DC9"/>
    <w:rsid w:val="00D45F90"/>
    <w:rsid w:val="00D4647E"/>
    <w:rsid w:val="00D4675E"/>
    <w:rsid w:val="00D46BD7"/>
    <w:rsid w:val="00D47457"/>
    <w:rsid w:val="00D475A8"/>
    <w:rsid w:val="00D47CDE"/>
    <w:rsid w:val="00D50DF5"/>
    <w:rsid w:val="00D51940"/>
    <w:rsid w:val="00D522CA"/>
    <w:rsid w:val="00D54337"/>
    <w:rsid w:val="00D5478F"/>
    <w:rsid w:val="00D54B7B"/>
    <w:rsid w:val="00D54DB5"/>
    <w:rsid w:val="00D5561A"/>
    <w:rsid w:val="00D56375"/>
    <w:rsid w:val="00D56396"/>
    <w:rsid w:val="00D566F1"/>
    <w:rsid w:val="00D56D5E"/>
    <w:rsid w:val="00D5721B"/>
    <w:rsid w:val="00D57284"/>
    <w:rsid w:val="00D57AE4"/>
    <w:rsid w:val="00D60AC1"/>
    <w:rsid w:val="00D60B61"/>
    <w:rsid w:val="00D615CF"/>
    <w:rsid w:val="00D619D3"/>
    <w:rsid w:val="00D61E2D"/>
    <w:rsid w:val="00D62C4B"/>
    <w:rsid w:val="00D639E5"/>
    <w:rsid w:val="00D641B4"/>
    <w:rsid w:val="00D64672"/>
    <w:rsid w:val="00D647BD"/>
    <w:rsid w:val="00D64B47"/>
    <w:rsid w:val="00D64D45"/>
    <w:rsid w:val="00D66910"/>
    <w:rsid w:val="00D66E6D"/>
    <w:rsid w:val="00D66E80"/>
    <w:rsid w:val="00D7061F"/>
    <w:rsid w:val="00D7122C"/>
    <w:rsid w:val="00D7133F"/>
    <w:rsid w:val="00D71FE6"/>
    <w:rsid w:val="00D7215E"/>
    <w:rsid w:val="00D7335D"/>
    <w:rsid w:val="00D73CD3"/>
    <w:rsid w:val="00D74094"/>
    <w:rsid w:val="00D75000"/>
    <w:rsid w:val="00D751BB"/>
    <w:rsid w:val="00D759C2"/>
    <w:rsid w:val="00D75EB4"/>
    <w:rsid w:val="00D76371"/>
    <w:rsid w:val="00D765FE"/>
    <w:rsid w:val="00D7688C"/>
    <w:rsid w:val="00D77015"/>
    <w:rsid w:val="00D77A83"/>
    <w:rsid w:val="00D80259"/>
    <w:rsid w:val="00D80420"/>
    <w:rsid w:val="00D80A95"/>
    <w:rsid w:val="00D81D88"/>
    <w:rsid w:val="00D820C6"/>
    <w:rsid w:val="00D8210A"/>
    <w:rsid w:val="00D83652"/>
    <w:rsid w:val="00D83978"/>
    <w:rsid w:val="00D83BA0"/>
    <w:rsid w:val="00D844D9"/>
    <w:rsid w:val="00D85640"/>
    <w:rsid w:val="00D85ADA"/>
    <w:rsid w:val="00D85FD4"/>
    <w:rsid w:val="00D86F2A"/>
    <w:rsid w:val="00D87E55"/>
    <w:rsid w:val="00D904D7"/>
    <w:rsid w:val="00D90943"/>
    <w:rsid w:val="00D90AB2"/>
    <w:rsid w:val="00D91621"/>
    <w:rsid w:val="00D918CB"/>
    <w:rsid w:val="00D92AF8"/>
    <w:rsid w:val="00D92FA4"/>
    <w:rsid w:val="00D94200"/>
    <w:rsid w:val="00D96077"/>
    <w:rsid w:val="00D97407"/>
    <w:rsid w:val="00D976E9"/>
    <w:rsid w:val="00D97B38"/>
    <w:rsid w:val="00DA1602"/>
    <w:rsid w:val="00DA2315"/>
    <w:rsid w:val="00DA32EA"/>
    <w:rsid w:val="00DA36A9"/>
    <w:rsid w:val="00DA427E"/>
    <w:rsid w:val="00DA4999"/>
    <w:rsid w:val="00DA4F09"/>
    <w:rsid w:val="00DA5E85"/>
    <w:rsid w:val="00DA630F"/>
    <w:rsid w:val="00DA6535"/>
    <w:rsid w:val="00DA702A"/>
    <w:rsid w:val="00DB04E8"/>
    <w:rsid w:val="00DB07B1"/>
    <w:rsid w:val="00DB0B5E"/>
    <w:rsid w:val="00DB1AFC"/>
    <w:rsid w:val="00DB1F0B"/>
    <w:rsid w:val="00DB1F85"/>
    <w:rsid w:val="00DB29E3"/>
    <w:rsid w:val="00DB2D59"/>
    <w:rsid w:val="00DB416F"/>
    <w:rsid w:val="00DB42F0"/>
    <w:rsid w:val="00DB4A13"/>
    <w:rsid w:val="00DB5441"/>
    <w:rsid w:val="00DB55A8"/>
    <w:rsid w:val="00DB5DFA"/>
    <w:rsid w:val="00DB66F9"/>
    <w:rsid w:val="00DB68BB"/>
    <w:rsid w:val="00DB70B1"/>
    <w:rsid w:val="00DB74D7"/>
    <w:rsid w:val="00DB7B79"/>
    <w:rsid w:val="00DB7DB5"/>
    <w:rsid w:val="00DC02EE"/>
    <w:rsid w:val="00DC0BBE"/>
    <w:rsid w:val="00DC0C63"/>
    <w:rsid w:val="00DC0DB4"/>
    <w:rsid w:val="00DC1045"/>
    <w:rsid w:val="00DC1C83"/>
    <w:rsid w:val="00DC3EE5"/>
    <w:rsid w:val="00DC4670"/>
    <w:rsid w:val="00DC49D3"/>
    <w:rsid w:val="00DC5161"/>
    <w:rsid w:val="00DC58CE"/>
    <w:rsid w:val="00DC5C74"/>
    <w:rsid w:val="00DC62F6"/>
    <w:rsid w:val="00DC7F7C"/>
    <w:rsid w:val="00DD0449"/>
    <w:rsid w:val="00DD049F"/>
    <w:rsid w:val="00DD0B14"/>
    <w:rsid w:val="00DD1150"/>
    <w:rsid w:val="00DD142D"/>
    <w:rsid w:val="00DD183D"/>
    <w:rsid w:val="00DD1DA3"/>
    <w:rsid w:val="00DD2311"/>
    <w:rsid w:val="00DD2732"/>
    <w:rsid w:val="00DD29E3"/>
    <w:rsid w:val="00DD2EDE"/>
    <w:rsid w:val="00DD3381"/>
    <w:rsid w:val="00DD4BAE"/>
    <w:rsid w:val="00DD528A"/>
    <w:rsid w:val="00DD6073"/>
    <w:rsid w:val="00DD6E5C"/>
    <w:rsid w:val="00DD7CBE"/>
    <w:rsid w:val="00DE001F"/>
    <w:rsid w:val="00DE076B"/>
    <w:rsid w:val="00DE0C33"/>
    <w:rsid w:val="00DE12FF"/>
    <w:rsid w:val="00DE2131"/>
    <w:rsid w:val="00DE25E8"/>
    <w:rsid w:val="00DE26D6"/>
    <w:rsid w:val="00DE2BC1"/>
    <w:rsid w:val="00DE2C9A"/>
    <w:rsid w:val="00DE2FA9"/>
    <w:rsid w:val="00DE329D"/>
    <w:rsid w:val="00DE33FA"/>
    <w:rsid w:val="00DE4158"/>
    <w:rsid w:val="00DE4230"/>
    <w:rsid w:val="00DE467C"/>
    <w:rsid w:val="00DE4834"/>
    <w:rsid w:val="00DE5B8D"/>
    <w:rsid w:val="00DE5EF3"/>
    <w:rsid w:val="00DE65F3"/>
    <w:rsid w:val="00DE66D3"/>
    <w:rsid w:val="00DE6BEB"/>
    <w:rsid w:val="00DE71B8"/>
    <w:rsid w:val="00DE7486"/>
    <w:rsid w:val="00DF03E9"/>
    <w:rsid w:val="00DF0A11"/>
    <w:rsid w:val="00DF19A3"/>
    <w:rsid w:val="00DF2785"/>
    <w:rsid w:val="00DF2DC1"/>
    <w:rsid w:val="00DF31EA"/>
    <w:rsid w:val="00DF3260"/>
    <w:rsid w:val="00DF4905"/>
    <w:rsid w:val="00DF4A83"/>
    <w:rsid w:val="00DF4F78"/>
    <w:rsid w:val="00DF504F"/>
    <w:rsid w:val="00DF533A"/>
    <w:rsid w:val="00DF54D0"/>
    <w:rsid w:val="00DF6173"/>
    <w:rsid w:val="00DF6227"/>
    <w:rsid w:val="00DF6869"/>
    <w:rsid w:val="00DF6940"/>
    <w:rsid w:val="00DF6A42"/>
    <w:rsid w:val="00DF72F3"/>
    <w:rsid w:val="00DF744A"/>
    <w:rsid w:val="00DF74EB"/>
    <w:rsid w:val="00DF7F8F"/>
    <w:rsid w:val="00DF7F90"/>
    <w:rsid w:val="00E0050B"/>
    <w:rsid w:val="00E0142B"/>
    <w:rsid w:val="00E02030"/>
    <w:rsid w:val="00E0233A"/>
    <w:rsid w:val="00E026B0"/>
    <w:rsid w:val="00E03014"/>
    <w:rsid w:val="00E047ED"/>
    <w:rsid w:val="00E04854"/>
    <w:rsid w:val="00E04A9F"/>
    <w:rsid w:val="00E06AA5"/>
    <w:rsid w:val="00E06D2F"/>
    <w:rsid w:val="00E0794E"/>
    <w:rsid w:val="00E07B63"/>
    <w:rsid w:val="00E1045C"/>
    <w:rsid w:val="00E1058F"/>
    <w:rsid w:val="00E11C38"/>
    <w:rsid w:val="00E11F24"/>
    <w:rsid w:val="00E12A7A"/>
    <w:rsid w:val="00E12D0C"/>
    <w:rsid w:val="00E13375"/>
    <w:rsid w:val="00E14DA8"/>
    <w:rsid w:val="00E150E3"/>
    <w:rsid w:val="00E152CD"/>
    <w:rsid w:val="00E15339"/>
    <w:rsid w:val="00E154D3"/>
    <w:rsid w:val="00E15554"/>
    <w:rsid w:val="00E158AF"/>
    <w:rsid w:val="00E15AF2"/>
    <w:rsid w:val="00E15C59"/>
    <w:rsid w:val="00E162AB"/>
    <w:rsid w:val="00E17585"/>
    <w:rsid w:val="00E17D1E"/>
    <w:rsid w:val="00E206D7"/>
    <w:rsid w:val="00E20E36"/>
    <w:rsid w:val="00E215DD"/>
    <w:rsid w:val="00E21905"/>
    <w:rsid w:val="00E21E18"/>
    <w:rsid w:val="00E21E5A"/>
    <w:rsid w:val="00E22738"/>
    <w:rsid w:val="00E22DBC"/>
    <w:rsid w:val="00E24484"/>
    <w:rsid w:val="00E247BE"/>
    <w:rsid w:val="00E24A0B"/>
    <w:rsid w:val="00E257A3"/>
    <w:rsid w:val="00E257BE"/>
    <w:rsid w:val="00E26DCD"/>
    <w:rsid w:val="00E27D18"/>
    <w:rsid w:val="00E30DDD"/>
    <w:rsid w:val="00E31405"/>
    <w:rsid w:val="00E31724"/>
    <w:rsid w:val="00E31C64"/>
    <w:rsid w:val="00E32528"/>
    <w:rsid w:val="00E32AE0"/>
    <w:rsid w:val="00E33B3D"/>
    <w:rsid w:val="00E34454"/>
    <w:rsid w:val="00E347CE"/>
    <w:rsid w:val="00E34A61"/>
    <w:rsid w:val="00E35639"/>
    <w:rsid w:val="00E36166"/>
    <w:rsid w:val="00E369AA"/>
    <w:rsid w:val="00E3781B"/>
    <w:rsid w:val="00E37A45"/>
    <w:rsid w:val="00E37D3D"/>
    <w:rsid w:val="00E403C6"/>
    <w:rsid w:val="00E40AAC"/>
    <w:rsid w:val="00E4192A"/>
    <w:rsid w:val="00E42092"/>
    <w:rsid w:val="00E43A9B"/>
    <w:rsid w:val="00E444E1"/>
    <w:rsid w:val="00E44660"/>
    <w:rsid w:val="00E449B1"/>
    <w:rsid w:val="00E46577"/>
    <w:rsid w:val="00E46CD1"/>
    <w:rsid w:val="00E505E1"/>
    <w:rsid w:val="00E514AE"/>
    <w:rsid w:val="00E518D9"/>
    <w:rsid w:val="00E52645"/>
    <w:rsid w:val="00E52E3B"/>
    <w:rsid w:val="00E532F8"/>
    <w:rsid w:val="00E53623"/>
    <w:rsid w:val="00E53681"/>
    <w:rsid w:val="00E54175"/>
    <w:rsid w:val="00E54D4E"/>
    <w:rsid w:val="00E55010"/>
    <w:rsid w:val="00E555BB"/>
    <w:rsid w:val="00E55BCC"/>
    <w:rsid w:val="00E564B1"/>
    <w:rsid w:val="00E56D7E"/>
    <w:rsid w:val="00E5707F"/>
    <w:rsid w:val="00E57941"/>
    <w:rsid w:val="00E602A3"/>
    <w:rsid w:val="00E6152B"/>
    <w:rsid w:val="00E6191C"/>
    <w:rsid w:val="00E619C2"/>
    <w:rsid w:val="00E62002"/>
    <w:rsid w:val="00E621B3"/>
    <w:rsid w:val="00E6228A"/>
    <w:rsid w:val="00E6229C"/>
    <w:rsid w:val="00E62F69"/>
    <w:rsid w:val="00E6314A"/>
    <w:rsid w:val="00E63263"/>
    <w:rsid w:val="00E635D8"/>
    <w:rsid w:val="00E63BF6"/>
    <w:rsid w:val="00E64FD0"/>
    <w:rsid w:val="00E65189"/>
    <w:rsid w:val="00E65A0B"/>
    <w:rsid w:val="00E66006"/>
    <w:rsid w:val="00E66C1C"/>
    <w:rsid w:val="00E71179"/>
    <w:rsid w:val="00E7128A"/>
    <w:rsid w:val="00E71800"/>
    <w:rsid w:val="00E71998"/>
    <w:rsid w:val="00E725AE"/>
    <w:rsid w:val="00E726B8"/>
    <w:rsid w:val="00E72863"/>
    <w:rsid w:val="00E72FFF"/>
    <w:rsid w:val="00E7377C"/>
    <w:rsid w:val="00E738DB"/>
    <w:rsid w:val="00E73B95"/>
    <w:rsid w:val="00E752C8"/>
    <w:rsid w:val="00E75A36"/>
    <w:rsid w:val="00E76871"/>
    <w:rsid w:val="00E768A7"/>
    <w:rsid w:val="00E7796E"/>
    <w:rsid w:val="00E77DC9"/>
    <w:rsid w:val="00E80B34"/>
    <w:rsid w:val="00E80FCA"/>
    <w:rsid w:val="00E80FF0"/>
    <w:rsid w:val="00E81553"/>
    <w:rsid w:val="00E820B9"/>
    <w:rsid w:val="00E82ADE"/>
    <w:rsid w:val="00E846DB"/>
    <w:rsid w:val="00E84FE9"/>
    <w:rsid w:val="00E85245"/>
    <w:rsid w:val="00E8549D"/>
    <w:rsid w:val="00E8558F"/>
    <w:rsid w:val="00E85871"/>
    <w:rsid w:val="00E8631E"/>
    <w:rsid w:val="00E86332"/>
    <w:rsid w:val="00E90B66"/>
    <w:rsid w:val="00E90F3F"/>
    <w:rsid w:val="00E91A53"/>
    <w:rsid w:val="00E92908"/>
    <w:rsid w:val="00E930CB"/>
    <w:rsid w:val="00E93808"/>
    <w:rsid w:val="00E93ACD"/>
    <w:rsid w:val="00E93F25"/>
    <w:rsid w:val="00E9421E"/>
    <w:rsid w:val="00E94D1B"/>
    <w:rsid w:val="00E9519C"/>
    <w:rsid w:val="00E96025"/>
    <w:rsid w:val="00E9691F"/>
    <w:rsid w:val="00E96AB3"/>
    <w:rsid w:val="00E975DB"/>
    <w:rsid w:val="00E97D9E"/>
    <w:rsid w:val="00EA032E"/>
    <w:rsid w:val="00EA03A5"/>
    <w:rsid w:val="00EA09FC"/>
    <w:rsid w:val="00EA0BE2"/>
    <w:rsid w:val="00EA12E7"/>
    <w:rsid w:val="00EA1771"/>
    <w:rsid w:val="00EA197F"/>
    <w:rsid w:val="00EA2210"/>
    <w:rsid w:val="00EA22CD"/>
    <w:rsid w:val="00EA3525"/>
    <w:rsid w:val="00EA3740"/>
    <w:rsid w:val="00EA377D"/>
    <w:rsid w:val="00EA40B5"/>
    <w:rsid w:val="00EA445E"/>
    <w:rsid w:val="00EA4E61"/>
    <w:rsid w:val="00EA5902"/>
    <w:rsid w:val="00EA5AD3"/>
    <w:rsid w:val="00EA60A5"/>
    <w:rsid w:val="00EA6C1A"/>
    <w:rsid w:val="00EA6DB4"/>
    <w:rsid w:val="00EA7B62"/>
    <w:rsid w:val="00EA7F7E"/>
    <w:rsid w:val="00EB0791"/>
    <w:rsid w:val="00EB100E"/>
    <w:rsid w:val="00EB1639"/>
    <w:rsid w:val="00EB1A1E"/>
    <w:rsid w:val="00EB21B4"/>
    <w:rsid w:val="00EB2941"/>
    <w:rsid w:val="00EB2D7C"/>
    <w:rsid w:val="00EB2DD6"/>
    <w:rsid w:val="00EB2EE3"/>
    <w:rsid w:val="00EB46CD"/>
    <w:rsid w:val="00EB4766"/>
    <w:rsid w:val="00EB4A4B"/>
    <w:rsid w:val="00EB4A6B"/>
    <w:rsid w:val="00EB4EAE"/>
    <w:rsid w:val="00EB5EC8"/>
    <w:rsid w:val="00EB645A"/>
    <w:rsid w:val="00EB654E"/>
    <w:rsid w:val="00EB6590"/>
    <w:rsid w:val="00EB6676"/>
    <w:rsid w:val="00EB67EE"/>
    <w:rsid w:val="00EB6C51"/>
    <w:rsid w:val="00EB70CD"/>
    <w:rsid w:val="00EB74EE"/>
    <w:rsid w:val="00EC167A"/>
    <w:rsid w:val="00EC1983"/>
    <w:rsid w:val="00EC3527"/>
    <w:rsid w:val="00EC3D5C"/>
    <w:rsid w:val="00EC3FED"/>
    <w:rsid w:val="00EC44EE"/>
    <w:rsid w:val="00EC4863"/>
    <w:rsid w:val="00EC4E82"/>
    <w:rsid w:val="00EC518E"/>
    <w:rsid w:val="00EC54A7"/>
    <w:rsid w:val="00EC5932"/>
    <w:rsid w:val="00EC5CB9"/>
    <w:rsid w:val="00EC5F61"/>
    <w:rsid w:val="00EC6247"/>
    <w:rsid w:val="00EC6980"/>
    <w:rsid w:val="00EC7BAB"/>
    <w:rsid w:val="00ED0732"/>
    <w:rsid w:val="00ED094C"/>
    <w:rsid w:val="00ED0DA9"/>
    <w:rsid w:val="00ED1AEC"/>
    <w:rsid w:val="00ED2AB1"/>
    <w:rsid w:val="00ED465C"/>
    <w:rsid w:val="00ED4EF3"/>
    <w:rsid w:val="00ED5018"/>
    <w:rsid w:val="00ED6B1D"/>
    <w:rsid w:val="00ED74E0"/>
    <w:rsid w:val="00ED7AEF"/>
    <w:rsid w:val="00ED7D16"/>
    <w:rsid w:val="00ED7F03"/>
    <w:rsid w:val="00EE0999"/>
    <w:rsid w:val="00EE13DA"/>
    <w:rsid w:val="00EE2F2E"/>
    <w:rsid w:val="00EE2F6F"/>
    <w:rsid w:val="00EE3830"/>
    <w:rsid w:val="00EE4E39"/>
    <w:rsid w:val="00EE50E4"/>
    <w:rsid w:val="00EE5170"/>
    <w:rsid w:val="00EE77C6"/>
    <w:rsid w:val="00EE7804"/>
    <w:rsid w:val="00EE7AEF"/>
    <w:rsid w:val="00EE7F98"/>
    <w:rsid w:val="00EF06B1"/>
    <w:rsid w:val="00EF0C6D"/>
    <w:rsid w:val="00EF1242"/>
    <w:rsid w:val="00EF447B"/>
    <w:rsid w:val="00EF6585"/>
    <w:rsid w:val="00EF67E6"/>
    <w:rsid w:val="00EF702E"/>
    <w:rsid w:val="00EF7319"/>
    <w:rsid w:val="00EF7B78"/>
    <w:rsid w:val="00EF7CEE"/>
    <w:rsid w:val="00F00145"/>
    <w:rsid w:val="00F00663"/>
    <w:rsid w:val="00F0082E"/>
    <w:rsid w:val="00F00B05"/>
    <w:rsid w:val="00F01845"/>
    <w:rsid w:val="00F02782"/>
    <w:rsid w:val="00F02900"/>
    <w:rsid w:val="00F02A2A"/>
    <w:rsid w:val="00F02B50"/>
    <w:rsid w:val="00F02C07"/>
    <w:rsid w:val="00F03F1F"/>
    <w:rsid w:val="00F04EF1"/>
    <w:rsid w:val="00F057F8"/>
    <w:rsid w:val="00F06276"/>
    <w:rsid w:val="00F07285"/>
    <w:rsid w:val="00F07532"/>
    <w:rsid w:val="00F07EF1"/>
    <w:rsid w:val="00F1042E"/>
    <w:rsid w:val="00F10A4D"/>
    <w:rsid w:val="00F10F1A"/>
    <w:rsid w:val="00F1193B"/>
    <w:rsid w:val="00F11EF4"/>
    <w:rsid w:val="00F14610"/>
    <w:rsid w:val="00F14E4E"/>
    <w:rsid w:val="00F152EA"/>
    <w:rsid w:val="00F15EE3"/>
    <w:rsid w:val="00F1615E"/>
    <w:rsid w:val="00F16545"/>
    <w:rsid w:val="00F16A81"/>
    <w:rsid w:val="00F16C7B"/>
    <w:rsid w:val="00F16E3C"/>
    <w:rsid w:val="00F1787B"/>
    <w:rsid w:val="00F17CD7"/>
    <w:rsid w:val="00F20661"/>
    <w:rsid w:val="00F206E4"/>
    <w:rsid w:val="00F21602"/>
    <w:rsid w:val="00F21B17"/>
    <w:rsid w:val="00F22557"/>
    <w:rsid w:val="00F22EE3"/>
    <w:rsid w:val="00F22F72"/>
    <w:rsid w:val="00F23501"/>
    <w:rsid w:val="00F2374D"/>
    <w:rsid w:val="00F23908"/>
    <w:rsid w:val="00F23A30"/>
    <w:rsid w:val="00F24075"/>
    <w:rsid w:val="00F244AF"/>
    <w:rsid w:val="00F247ED"/>
    <w:rsid w:val="00F2603A"/>
    <w:rsid w:val="00F27053"/>
    <w:rsid w:val="00F27274"/>
    <w:rsid w:val="00F27EDD"/>
    <w:rsid w:val="00F3094A"/>
    <w:rsid w:val="00F30CC6"/>
    <w:rsid w:val="00F315A2"/>
    <w:rsid w:val="00F31C97"/>
    <w:rsid w:val="00F32556"/>
    <w:rsid w:val="00F33476"/>
    <w:rsid w:val="00F33D78"/>
    <w:rsid w:val="00F342DB"/>
    <w:rsid w:val="00F3460A"/>
    <w:rsid w:val="00F34A11"/>
    <w:rsid w:val="00F34EAC"/>
    <w:rsid w:val="00F35A1A"/>
    <w:rsid w:val="00F35E2D"/>
    <w:rsid w:val="00F36419"/>
    <w:rsid w:val="00F368A2"/>
    <w:rsid w:val="00F36AFA"/>
    <w:rsid w:val="00F36B4F"/>
    <w:rsid w:val="00F36F44"/>
    <w:rsid w:val="00F3706C"/>
    <w:rsid w:val="00F3733C"/>
    <w:rsid w:val="00F37788"/>
    <w:rsid w:val="00F377E5"/>
    <w:rsid w:val="00F378FA"/>
    <w:rsid w:val="00F37F94"/>
    <w:rsid w:val="00F40928"/>
    <w:rsid w:val="00F4204A"/>
    <w:rsid w:val="00F420F7"/>
    <w:rsid w:val="00F42205"/>
    <w:rsid w:val="00F422A5"/>
    <w:rsid w:val="00F423CC"/>
    <w:rsid w:val="00F42CA7"/>
    <w:rsid w:val="00F431E5"/>
    <w:rsid w:val="00F43FD2"/>
    <w:rsid w:val="00F44074"/>
    <w:rsid w:val="00F44306"/>
    <w:rsid w:val="00F44A1F"/>
    <w:rsid w:val="00F45C4D"/>
    <w:rsid w:val="00F45D03"/>
    <w:rsid w:val="00F45DFE"/>
    <w:rsid w:val="00F45F95"/>
    <w:rsid w:val="00F46989"/>
    <w:rsid w:val="00F471BF"/>
    <w:rsid w:val="00F4723D"/>
    <w:rsid w:val="00F4742A"/>
    <w:rsid w:val="00F4758C"/>
    <w:rsid w:val="00F47998"/>
    <w:rsid w:val="00F502E5"/>
    <w:rsid w:val="00F502FE"/>
    <w:rsid w:val="00F50A53"/>
    <w:rsid w:val="00F516D8"/>
    <w:rsid w:val="00F51F94"/>
    <w:rsid w:val="00F521BB"/>
    <w:rsid w:val="00F529C9"/>
    <w:rsid w:val="00F53B77"/>
    <w:rsid w:val="00F541B2"/>
    <w:rsid w:val="00F54A99"/>
    <w:rsid w:val="00F55399"/>
    <w:rsid w:val="00F55488"/>
    <w:rsid w:val="00F556FC"/>
    <w:rsid w:val="00F55966"/>
    <w:rsid w:val="00F56013"/>
    <w:rsid w:val="00F5612D"/>
    <w:rsid w:val="00F56464"/>
    <w:rsid w:val="00F5646B"/>
    <w:rsid w:val="00F570B4"/>
    <w:rsid w:val="00F5759A"/>
    <w:rsid w:val="00F57A61"/>
    <w:rsid w:val="00F60402"/>
    <w:rsid w:val="00F6098E"/>
    <w:rsid w:val="00F610C0"/>
    <w:rsid w:val="00F63506"/>
    <w:rsid w:val="00F63B22"/>
    <w:rsid w:val="00F63C96"/>
    <w:rsid w:val="00F63E8C"/>
    <w:rsid w:val="00F63EB3"/>
    <w:rsid w:val="00F655FF"/>
    <w:rsid w:val="00F6576B"/>
    <w:rsid w:val="00F65B16"/>
    <w:rsid w:val="00F66A01"/>
    <w:rsid w:val="00F66ECE"/>
    <w:rsid w:val="00F67389"/>
    <w:rsid w:val="00F700AD"/>
    <w:rsid w:val="00F704CA"/>
    <w:rsid w:val="00F71995"/>
    <w:rsid w:val="00F71A70"/>
    <w:rsid w:val="00F7211D"/>
    <w:rsid w:val="00F725F8"/>
    <w:rsid w:val="00F726C8"/>
    <w:rsid w:val="00F72D89"/>
    <w:rsid w:val="00F72E2D"/>
    <w:rsid w:val="00F72E7C"/>
    <w:rsid w:val="00F7334A"/>
    <w:rsid w:val="00F73B59"/>
    <w:rsid w:val="00F74BBB"/>
    <w:rsid w:val="00F74D39"/>
    <w:rsid w:val="00F74F73"/>
    <w:rsid w:val="00F74FA7"/>
    <w:rsid w:val="00F75703"/>
    <w:rsid w:val="00F75A49"/>
    <w:rsid w:val="00F75E8C"/>
    <w:rsid w:val="00F7604A"/>
    <w:rsid w:val="00F76513"/>
    <w:rsid w:val="00F77288"/>
    <w:rsid w:val="00F77609"/>
    <w:rsid w:val="00F80309"/>
    <w:rsid w:val="00F807B5"/>
    <w:rsid w:val="00F80912"/>
    <w:rsid w:val="00F80EDE"/>
    <w:rsid w:val="00F81889"/>
    <w:rsid w:val="00F81F61"/>
    <w:rsid w:val="00F82C72"/>
    <w:rsid w:val="00F82E20"/>
    <w:rsid w:val="00F83064"/>
    <w:rsid w:val="00F83562"/>
    <w:rsid w:val="00F8419F"/>
    <w:rsid w:val="00F8459E"/>
    <w:rsid w:val="00F8492D"/>
    <w:rsid w:val="00F85753"/>
    <w:rsid w:val="00F85A13"/>
    <w:rsid w:val="00F85AE2"/>
    <w:rsid w:val="00F86534"/>
    <w:rsid w:val="00F87EDF"/>
    <w:rsid w:val="00F9081D"/>
    <w:rsid w:val="00F91583"/>
    <w:rsid w:val="00F915D0"/>
    <w:rsid w:val="00F918F6"/>
    <w:rsid w:val="00F91FC6"/>
    <w:rsid w:val="00F923CF"/>
    <w:rsid w:val="00F9354A"/>
    <w:rsid w:val="00F93DD8"/>
    <w:rsid w:val="00F94B8E"/>
    <w:rsid w:val="00F954F5"/>
    <w:rsid w:val="00F95EDF"/>
    <w:rsid w:val="00FA00E3"/>
    <w:rsid w:val="00FA012F"/>
    <w:rsid w:val="00FA13FC"/>
    <w:rsid w:val="00FA1525"/>
    <w:rsid w:val="00FA18F2"/>
    <w:rsid w:val="00FA2165"/>
    <w:rsid w:val="00FA2C9D"/>
    <w:rsid w:val="00FA32A0"/>
    <w:rsid w:val="00FA34E4"/>
    <w:rsid w:val="00FA3521"/>
    <w:rsid w:val="00FA38C4"/>
    <w:rsid w:val="00FA3941"/>
    <w:rsid w:val="00FA3B85"/>
    <w:rsid w:val="00FA3E2C"/>
    <w:rsid w:val="00FA533F"/>
    <w:rsid w:val="00FA5A44"/>
    <w:rsid w:val="00FA5C07"/>
    <w:rsid w:val="00FA6188"/>
    <w:rsid w:val="00FA7947"/>
    <w:rsid w:val="00FB0666"/>
    <w:rsid w:val="00FB1261"/>
    <w:rsid w:val="00FB1A23"/>
    <w:rsid w:val="00FB2197"/>
    <w:rsid w:val="00FB2892"/>
    <w:rsid w:val="00FB2EB5"/>
    <w:rsid w:val="00FB404A"/>
    <w:rsid w:val="00FB497A"/>
    <w:rsid w:val="00FB53B9"/>
    <w:rsid w:val="00FB67B7"/>
    <w:rsid w:val="00FB7E07"/>
    <w:rsid w:val="00FC0C25"/>
    <w:rsid w:val="00FC11A3"/>
    <w:rsid w:val="00FC1932"/>
    <w:rsid w:val="00FC29C0"/>
    <w:rsid w:val="00FC2DCE"/>
    <w:rsid w:val="00FC3DA5"/>
    <w:rsid w:val="00FC4CCC"/>
    <w:rsid w:val="00FC52A2"/>
    <w:rsid w:val="00FC5606"/>
    <w:rsid w:val="00FC56DB"/>
    <w:rsid w:val="00FC56EC"/>
    <w:rsid w:val="00FC5801"/>
    <w:rsid w:val="00FC58C4"/>
    <w:rsid w:val="00FC72F2"/>
    <w:rsid w:val="00FC740F"/>
    <w:rsid w:val="00FC7E0E"/>
    <w:rsid w:val="00FD0C8B"/>
    <w:rsid w:val="00FD3C6D"/>
    <w:rsid w:val="00FD3DD9"/>
    <w:rsid w:val="00FD3E3D"/>
    <w:rsid w:val="00FD3FC5"/>
    <w:rsid w:val="00FD48A2"/>
    <w:rsid w:val="00FD48C9"/>
    <w:rsid w:val="00FD73D0"/>
    <w:rsid w:val="00FD771E"/>
    <w:rsid w:val="00FE0310"/>
    <w:rsid w:val="00FE0B91"/>
    <w:rsid w:val="00FE128D"/>
    <w:rsid w:val="00FE1DF2"/>
    <w:rsid w:val="00FE1FED"/>
    <w:rsid w:val="00FE2590"/>
    <w:rsid w:val="00FE281C"/>
    <w:rsid w:val="00FE2DF2"/>
    <w:rsid w:val="00FE3359"/>
    <w:rsid w:val="00FE38F1"/>
    <w:rsid w:val="00FE45D5"/>
    <w:rsid w:val="00FE4E17"/>
    <w:rsid w:val="00FE534A"/>
    <w:rsid w:val="00FE5609"/>
    <w:rsid w:val="00FE5C52"/>
    <w:rsid w:val="00FE5D9E"/>
    <w:rsid w:val="00FE5F40"/>
    <w:rsid w:val="00FE68B7"/>
    <w:rsid w:val="00FE6F11"/>
    <w:rsid w:val="00FE6F90"/>
    <w:rsid w:val="00FE74D1"/>
    <w:rsid w:val="00FF084F"/>
    <w:rsid w:val="00FF0E94"/>
    <w:rsid w:val="00FF1CF3"/>
    <w:rsid w:val="00FF23F1"/>
    <w:rsid w:val="00FF27FF"/>
    <w:rsid w:val="00FF2D23"/>
    <w:rsid w:val="00FF3485"/>
    <w:rsid w:val="00FF3D42"/>
    <w:rsid w:val="00FF402F"/>
    <w:rsid w:val="00FF5119"/>
    <w:rsid w:val="00FF5A8C"/>
    <w:rsid w:val="00FF65D8"/>
    <w:rsid w:val="00FF7631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5C681E3"/>
  <w15:docId w15:val="{57E1EB3F-5063-464F-8721-F4985DC2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3C"/>
    <w:pPr>
      <w:autoSpaceDE w:val="0"/>
      <w:autoSpaceDN w:val="0"/>
      <w:adjustRightInd w:val="0"/>
      <w:spacing w:after="0" w:line="480" w:lineRule="auto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E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53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681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68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81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74D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37F7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7F75"/>
    <w:rPr>
      <w:rFonts w:ascii="Times New Roman" w:hAnsi="Times New Roman" w:cs="Times New Roman"/>
      <w:noProof/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D37F7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37F75"/>
    <w:rPr>
      <w:rFonts w:ascii="Times New Roman" w:hAnsi="Times New Roman" w:cs="Times New Roman"/>
      <w:noProof/>
      <w:color w:val="000000"/>
    </w:rPr>
  </w:style>
  <w:style w:type="paragraph" w:styleId="NormalWeb">
    <w:name w:val="Normal (Web)"/>
    <w:basedOn w:val="Normal"/>
    <w:uiPriority w:val="99"/>
    <w:semiHidden/>
    <w:unhideWhenUsed/>
    <w:rsid w:val="004C76E8"/>
    <w:pPr>
      <w:autoSpaceDE/>
      <w:autoSpaceDN/>
      <w:adjustRightInd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1A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A1E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1A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1E"/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6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7D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43C9"/>
    <w:rPr>
      <w:color w:val="808080"/>
    </w:rPr>
  </w:style>
  <w:style w:type="character" w:styleId="Emphasis">
    <w:name w:val="Emphasis"/>
    <w:basedOn w:val="DefaultParagraphFont"/>
    <w:uiPriority w:val="20"/>
    <w:qFormat/>
    <w:rsid w:val="00EB46CD"/>
    <w:rPr>
      <w:i/>
      <w:iCs/>
    </w:rPr>
  </w:style>
  <w:style w:type="character" w:customStyle="1" w:styleId="label">
    <w:name w:val="label"/>
    <w:basedOn w:val="DefaultParagraphFont"/>
    <w:rsid w:val="00896CF5"/>
  </w:style>
  <w:style w:type="character" w:customStyle="1" w:styleId="cell-value">
    <w:name w:val="cell-value"/>
    <w:basedOn w:val="DefaultParagraphFont"/>
    <w:rsid w:val="00896CF5"/>
  </w:style>
  <w:style w:type="character" w:customStyle="1" w:styleId="cell">
    <w:name w:val="cell"/>
    <w:basedOn w:val="DefaultParagraphFont"/>
    <w:rsid w:val="00896CF5"/>
  </w:style>
  <w:style w:type="character" w:customStyle="1" w:styleId="block">
    <w:name w:val="block"/>
    <w:basedOn w:val="DefaultParagraphFont"/>
    <w:rsid w:val="00896CF5"/>
  </w:style>
  <w:style w:type="character" w:customStyle="1" w:styleId="quality-sign">
    <w:name w:val="quality-sign"/>
    <w:basedOn w:val="DefaultParagraphFont"/>
    <w:rsid w:val="00896CF5"/>
  </w:style>
  <w:style w:type="character" w:customStyle="1" w:styleId="quality-text">
    <w:name w:val="quality-text"/>
    <w:basedOn w:val="DefaultParagraphFont"/>
    <w:rsid w:val="0089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A8B6-8022-4E3A-B85A-85DF7A72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kcpooch</dc:creator>
  <cp:lastModifiedBy>Riblet, Natalie</cp:lastModifiedBy>
  <cp:revision>3</cp:revision>
  <cp:lastPrinted>2016-11-07T21:10:00Z</cp:lastPrinted>
  <dcterms:created xsi:type="dcterms:W3CDTF">2022-11-02T16:07:00Z</dcterms:created>
  <dcterms:modified xsi:type="dcterms:W3CDTF">2022-11-02T16:20:00Z</dcterms:modified>
</cp:coreProperties>
</file>