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A0B7" w14:textId="5A34B487" w:rsidR="002876D4" w:rsidRDefault="002876D4">
      <w:pPr>
        <w:rPr>
          <w:rFonts w:ascii="Times" w:hAnsi="Times"/>
          <w:b/>
          <w:bCs/>
          <w:sz w:val="22"/>
          <w:szCs w:val="22"/>
        </w:rPr>
      </w:pPr>
      <w:r w:rsidRPr="002876D4">
        <w:rPr>
          <w:rFonts w:ascii="Times" w:hAnsi="Times"/>
          <w:b/>
          <w:bCs/>
          <w:sz w:val="22"/>
          <w:szCs w:val="22"/>
        </w:rPr>
        <w:t>SUPPLEMENTAL MATERIALS</w:t>
      </w:r>
    </w:p>
    <w:p w14:paraId="0B1FC331" w14:textId="5C8FD490" w:rsidR="00413D41" w:rsidRDefault="00413D41">
      <w:pPr>
        <w:rPr>
          <w:rFonts w:ascii="Times" w:hAnsi="Times"/>
          <w:b/>
          <w:bCs/>
          <w:sz w:val="22"/>
          <w:szCs w:val="22"/>
        </w:rPr>
      </w:pPr>
    </w:p>
    <w:sdt>
      <w:sdtPr>
        <w:rPr>
          <w:rFonts w:asciiTheme="minorHAnsi" w:eastAsiaTheme="minorHAnsi" w:hAnsiTheme="minorHAnsi" w:cstheme="minorBidi"/>
          <w:b w:val="0"/>
          <w:bCs w:val="0"/>
          <w:color w:val="auto"/>
          <w:sz w:val="24"/>
          <w:szCs w:val="24"/>
          <w:lang w:val="en-CA"/>
        </w:rPr>
        <w:id w:val="1305748151"/>
        <w:docPartObj>
          <w:docPartGallery w:val="Table of Contents"/>
          <w:docPartUnique/>
        </w:docPartObj>
      </w:sdtPr>
      <w:sdtEndPr>
        <w:rPr>
          <w:noProof/>
        </w:rPr>
      </w:sdtEndPr>
      <w:sdtContent>
        <w:p w14:paraId="6C80A076" w14:textId="108457CE" w:rsidR="00413D41" w:rsidRPr="00B55D8B" w:rsidRDefault="00413D41">
          <w:pPr>
            <w:pStyle w:val="TOCHeading"/>
            <w:rPr>
              <w:rFonts w:ascii="Times" w:hAnsi="Times"/>
              <w:color w:val="000000" w:themeColor="text1"/>
              <w:sz w:val="24"/>
              <w:szCs w:val="24"/>
            </w:rPr>
          </w:pPr>
        </w:p>
        <w:p w14:paraId="7D28A04B" w14:textId="5A7E34AE" w:rsidR="00EA339E" w:rsidRPr="00300597" w:rsidRDefault="00413D41" w:rsidP="00300597">
          <w:pPr>
            <w:pStyle w:val="TOC1"/>
            <w:tabs>
              <w:tab w:val="right" w:pos="9350"/>
            </w:tabs>
            <w:spacing w:line="360" w:lineRule="auto"/>
            <w:contextualSpacing/>
            <w:rPr>
              <w:rFonts w:asciiTheme="minorHAnsi" w:eastAsiaTheme="minorEastAsia" w:hAnsiTheme="minorHAnsi" w:cstheme="minorBidi"/>
              <w:b w:val="0"/>
              <w:bCs w:val="0"/>
              <w:caps w:val="0"/>
              <w:noProof/>
              <w:lang w:eastAsia="zh-CN"/>
            </w:rPr>
          </w:pPr>
          <w:r w:rsidRPr="00300597">
            <w:rPr>
              <w:b w:val="0"/>
              <w:bCs w:val="0"/>
              <w:caps w:val="0"/>
            </w:rPr>
            <w:fldChar w:fldCharType="begin"/>
          </w:r>
          <w:r w:rsidRPr="00300597">
            <w:rPr>
              <w:b w:val="0"/>
              <w:bCs w:val="0"/>
              <w:caps w:val="0"/>
            </w:rPr>
            <w:instrText xml:space="preserve"> TOC \o "1-3" \n \h \z \u </w:instrText>
          </w:r>
          <w:r w:rsidRPr="00300597">
            <w:rPr>
              <w:b w:val="0"/>
              <w:bCs w:val="0"/>
              <w:caps w:val="0"/>
            </w:rPr>
            <w:fldChar w:fldCharType="separate"/>
          </w:r>
          <w:hyperlink w:anchor="_Toc98675832" w:history="1">
            <w:r w:rsidR="00300597" w:rsidRPr="00300597">
              <w:rPr>
                <w:rStyle w:val="Hyperlink"/>
                <w:rFonts w:ascii="Times" w:hAnsi="Times"/>
                <w:b w:val="0"/>
                <w:bCs w:val="0"/>
                <w:caps w:val="0"/>
                <w:noProof/>
              </w:rPr>
              <w:t>Data sources</w:t>
            </w:r>
          </w:hyperlink>
        </w:p>
        <w:p w14:paraId="1A9A665E" w14:textId="26C6119A" w:rsidR="00EA339E" w:rsidRPr="00300597" w:rsidRDefault="00000000" w:rsidP="00300597">
          <w:pPr>
            <w:pStyle w:val="TOC1"/>
            <w:tabs>
              <w:tab w:val="right" w:pos="9350"/>
            </w:tabs>
            <w:spacing w:line="360" w:lineRule="auto"/>
            <w:contextualSpacing/>
            <w:rPr>
              <w:rFonts w:asciiTheme="minorHAnsi" w:eastAsiaTheme="minorEastAsia" w:hAnsiTheme="minorHAnsi" w:cstheme="minorBidi"/>
              <w:b w:val="0"/>
              <w:bCs w:val="0"/>
              <w:caps w:val="0"/>
              <w:noProof/>
              <w:lang w:eastAsia="zh-CN"/>
            </w:rPr>
          </w:pPr>
          <w:hyperlink w:anchor="_Toc98675833" w:history="1">
            <w:r w:rsidR="00300597" w:rsidRPr="00300597">
              <w:rPr>
                <w:rStyle w:val="Hyperlink"/>
                <w:rFonts w:ascii="Times" w:hAnsi="Times"/>
                <w:b w:val="0"/>
                <w:bCs w:val="0"/>
                <w:caps w:val="0"/>
                <w:noProof/>
              </w:rPr>
              <w:t>e-</w:t>
            </w:r>
            <w:r w:rsidR="00300597">
              <w:rPr>
                <w:rStyle w:val="Hyperlink"/>
                <w:rFonts w:ascii="Times" w:hAnsi="Times"/>
                <w:b w:val="0"/>
                <w:bCs w:val="0"/>
                <w:caps w:val="0"/>
                <w:noProof/>
              </w:rPr>
              <w:t>T</w:t>
            </w:r>
            <w:r w:rsidR="00300597" w:rsidRPr="00300597">
              <w:rPr>
                <w:rStyle w:val="Hyperlink"/>
                <w:rFonts w:ascii="Times" w:hAnsi="Times"/>
                <w:b w:val="0"/>
                <w:bCs w:val="0"/>
                <w:caps w:val="0"/>
                <w:noProof/>
              </w:rPr>
              <w:t>able 1. Palliative care and opioid toxicity diagnosis codes</w:t>
            </w:r>
          </w:hyperlink>
        </w:p>
        <w:p w14:paraId="3055E736" w14:textId="2A25AE92" w:rsidR="00EA339E" w:rsidRPr="00300597" w:rsidRDefault="00000000" w:rsidP="00300597">
          <w:pPr>
            <w:pStyle w:val="TOC1"/>
            <w:tabs>
              <w:tab w:val="right" w:pos="9350"/>
            </w:tabs>
            <w:spacing w:line="360" w:lineRule="auto"/>
            <w:contextualSpacing/>
            <w:rPr>
              <w:rFonts w:asciiTheme="minorHAnsi" w:eastAsiaTheme="minorEastAsia" w:hAnsiTheme="minorHAnsi" w:cstheme="minorBidi"/>
              <w:b w:val="0"/>
              <w:bCs w:val="0"/>
              <w:caps w:val="0"/>
              <w:noProof/>
              <w:lang w:eastAsia="zh-CN"/>
            </w:rPr>
          </w:pPr>
          <w:hyperlink w:anchor="_Toc98675834" w:history="1">
            <w:r w:rsidR="00300597" w:rsidRPr="00300597">
              <w:rPr>
                <w:rStyle w:val="Hyperlink"/>
                <w:rFonts w:ascii="Times" w:hAnsi="Times"/>
                <w:b w:val="0"/>
                <w:bCs w:val="0"/>
                <w:caps w:val="0"/>
                <w:noProof/>
              </w:rPr>
              <w:t>e-</w:t>
            </w:r>
            <w:r w:rsidR="00300597">
              <w:rPr>
                <w:rStyle w:val="Hyperlink"/>
                <w:rFonts w:ascii="Times" w:hAnsi="Times"/>
                <w:b w:val="0"/>
                <w:bCs w:val="0"/>
                <w:caps w:val="0"/>
                <w:noProof/>
              </w:rPr>
              <w:t>T</w:t>
            </w:r>
            <w:r w:rsidR="00300597" w:rsidRPr="00300597">
              <w:rPr>
                <w:rStyle w:val="Hyperlink"/>
                <w:rFonts w:ascii="Times" w:hAnsi="Times"/>
                <w:b w:val="0"/>
                <w:bCs w:val="0"/>
                <w:caps w:val="0"/>
                <w:noProof/>
              </w:rPr>
              <w:t>able 2. Diagnosis codes related to developmental disabilities from the international classification of diseases (</w:t>
            </w:r>
            <w:r w:rsidR="00300597">
              <w:rPr>
                <w:rStyle w:val="Hyperlink"/>
                <w:rFonts w:ascii="Times" w:hAnsi="Times"/>
                <w:b w:val="0"/>
                <w:bCs w:val="0"/>
                <w:caps w:val="0"/>
                <w:noProof/>
              </w:rPr>
              <w:t>ICD</w:t>
            </w:r>
            <w:r w:rsidR="00300597" w:rsidRPr="00300597">
              <w:rPr>
                <w:rStyle w:val="Hyperlink"/>
                <w:rFonts w:ascii="Times" w:hAnsi="Times"/>
                <w:b w:val="0"/>
                <w:bCs w:val="0"/>
                <w:caps w:val="0"/>
                <w:noProof/>
              </w:rPr>
              <w:t>), 9</w:t>
            </w:r>
            <w:r w:rsidR="00300597" w:rsidRPr="00300597">
              <w:rPr>
                <w:rStyle w:val="Hyperlink"/>
                <w:rFonts w:ascii="Times" w:hAnsi="Times"/>
                <w:b w:val="0"/>
                <w:bCs w:val="0"/>
                <w:caps w:val="0"/>
                <w:noProof/>
                <w:vertAlign w:val="superscript"/>
              </w:rPr>
              <w:t>th</w:t>
            </w:r>
            <w:r w:rsidR="00300597" w:rsidRPr="00300597">
              <w:rPr>
                <w:rStyle w:val="Hyperlink"/>
                <w:rFonts w:ascii="Times" w:hAnsi="Times"/>
                <w:b w:val="0"/>
                <w:bCs w:val="0"/>
                <w:caps w:val="0"/>
                <w:noProof/>
              </w:rPr>
              <w:t xml:space="preserve"> and 10</w:t>
            </w:r>
            <w:r w:rsidR="00300597" w:rsidRPr="00300597">
              <w:rPr>
                <w:rStyle w:val="Hyperlink"/>
                <w:rFonts w:ascii="Times" w:hAnsi="Times"/>
                <w:b w:val="0"/>
                <w:bCs w:val="0"/>
                <w:caps w:val="0"/>
                <w:noProof/>
                <w:vertAlign w:val="superscript"/>
              </w:rPr>
              <w:t>th</w:t>
            </w:r>
            <w:r w:rsidR="00300597" w:rsidRPr="00300597">
              <w:rPr>
                <w:rStyle w:val="Hyperlink"/>
                <w:rFonts w:ascii="Times" w:hAnsi="Times"/>
                <w:b w:val="0"/>
                <w:bCs w:val="0"/>
                <w:caps w:val="0"/>
                <w:noProof/>
              </w:rPr>
              <w:t xml:space="preserve"> editions, used to identify cohort of adults with IDD</w:t>
            </w:r>
          </w:hyperlink>
        </w:p>
        <w:p w14:paraId="6A93CBE5" w14:textId="5C5FF688" w:rsidR="00EA339E" w:rsidRPr="00300597" w:rsidRDefault="00000000" w:rsidP="00300597">
          <w:pPr>
            <w:pStyle w:val="TOC1"/>
            <w:tabs>
              <w:tab w:val="right" w:pos="9350"/>
            </w:tabs>
            <w:spacing w:line="360" w:lineRule="auto"/>
            <w:contextualSpacing/>
            <w:rPr>
              <w:rFonts w:asciiTheme="minorHAnsi" w:eastAsiaTheme="minorEastAsia" w:hAnsiTheme="minorHAnsi" w:cstheme="minorBidi"/>
              <w:b w:val="0"/>
              <w:bCs w:val="0"/>
              <w:caps w:val="0"/>
              <w:noProof/>
              <w:lang w:eastAsia="zh-CN"/>
            </w:rPr>
          </w:pPr>
          <w:hyperlink w:anchor="_Toc98675835" w:history="1">
            <w:r w:rsidR="00300597" w:rsidRPr="00300597">
              <w:rPr>
                <w:rStyle w:val="Hyperlink"/>
                <w:rFonts w:ascii="Times" w:hAnsi="Times"/>
                <w:b w:val="0"/>
                <w:bCs w:val="0"/>
                <w:caps w:val="0"/>
                <w:noProof/>
              </w:rPr>
              <w:t>e-</w:t>
            </w:r>
            <w:r w:rsidR="00300597">
              <w:rPr>
                <w:rStyle w:val="Hyperlink"/>
                <w:rFonts w:ascii="Times" w:hAnsi="Times"/>
                <w:b w:val="0"/>
                <w:bCs w:val="0"/>
                <w:caps w:val="0"/>
                <w:noProof/>
              </w:rPr>
              <w:t>T</w:t>
            </w:r>
            <w:r w:rsidR="00300597" w:rsidRPr="00300597">
              <w:rPr>
                <w:rStyle w:val="Hyperlink"/>
                <w:rFonts w:ascii="Times" w:hAnsi="Times"/>
                <w:b w:val="0"/>
                <w:bCs w:val="0"/>
                <w:caps w:val="0"/>
                <w:noProof/>
              </w:rPr>
              <w:t>able 3. Diagnostic criteria for codes in e-</w:t>
            </w:r>
            <w:r w:rsidR="00300597">
              <w:rPr>
                <w:rStyle w:val="Hyperlink"/>
                <w:rFonts w:ascii="Times" w:hAnsi="Times"/>
                <w:b w:val="0"/>
                <w:bCs w:val="0"/>
                <w:caps w:val="0"/>
                <w:noProof/>
              </w:rPr>
              <w:t>T</w:t>
            </w:r>
            <w:r w:rsidR="00300597" w:rsidRPr="00300597">
              <w:rPr>
                <w:rStyle w:val="Hyperlink"/>
                <w:rFonts w:ascii="Times" w:hAnsi="Times"/>
                <w:b w:val="0"/>
                <w:bCs w:val="0"/>
                <w:caps w:val="0"/>
                <w:noProof/>
              </w:rPr>
              <w:t>able 2 to identify individuals with IDD</w:t>
            </w:r>
          </w:hyperlink>
        </w:p>
        <w:p w14:paraId="430202C2" w14:textId="28251C00" w:rsidR="00EA339E" w:rsidRPr="00300597" w:rsidRDefault="00000000" w:rsidP="00300597">
          <w:pPr>
            <w:pStyle w:val="TOC1"/>
            <w:tabs>
              <w:tab w:val="right" w:pos="9350"/>
            </w:tabs>
            <w:spacing w:line="360" w:lineRule="auto"/>
            <w:contextualSpacing/>
            <w:rPr>
              <w:rFonts w:asciiTheme="minorHAnsi" w:eastAsiaTheme="minorEastAsia" w:hAnsiTheme="minorHAnsi" w:cstheme="minorBidi"/>
              <w:b w:val="0"/>
              <w:bCs w:val="0"/>
              <w:caps w:val="0"/>
              <w:noProof/>
              <w:lang w:eastAsia="zh-CN"/>
            </w:rPr>
          </w:pPr>
          <w:hyperlink w:anchor="_Toc98675836" w:history="1">
            <w:r w:rsidR="00300597" w:rsidRPr="00300597">
              <w:rPr>
                <w:rStyle w:val="Hyperlink"/>
                <w:rFonts w:ascii="Times" w:hAnsi="Times"/>
                <w:b w:val="0"/>
                <w:bCs w:val="0"/>
                <w:caps w:val="0"/>
                <w:noProof/>
              </w:rPr>
              <w:t>high dimensional propensity score matching</w:t>
            </w:r>
          </w:hyperlink>
        </w:p>
        <w:p w14:paraId="3F309BE7" w14:textId="51CF15CE" w:rsidR="00EA339E" w:rsidRPr="00300597" w:rsidRDefault="00000000" w:rsidP="00300597">
          <w:pPr>
            <w:pStyle w:val="TOC1"/>
            <w:tabs>
              <w:tab w:val="right" w:pos="9350"/>
            </w:tabs>
            <w:spacing w:line="360" w:lineRule="auto"/>
            <w:contextualSpacing/>
            <w:rPr>
              <w:rFonts w:asciiTheme="minorHAnsi" w:eastAsiaTheme="minorEastAsia" w:hAnsiTheme="minorHAnsi" w:cstheme="minorBidi"/>
              <w:b w:val="0"/>
              <w:bCs w:val="0"/>
              <w:caps w:val="0"/>
              <w:noProof/>
              <w:lang w:eastAsia="zh-CN"/>
            </w:rPr>
          </w:pPr>
          <w:hyperlink w:anchor="_Toc98675837" w:history="1">
            <w:r w:rsidR="00300597" w:rsidRPr="00300597">
              <w:rPr>
                <w:rStyle w:val="Hyperlink"/>
                <w:rFonts w:ascii="Times" w:hAnsi="Times"/>
                <w:b w:val="0"/>
                <w:bCs w:val="0"/>
                <w:caps w:val="0"/>
                <w:noProof/>
              </w:rPr>
              <w:t>e-</w:t>
            </w:r>
            <w:r w:rsidR="00300597">
              <w:rPr>
                <w:rStyle w:val="Hyperlink"/>
                <w:rFonts w:ascii="Times" w:hAnsi="Times"/>
                <w:b w:val="0"/>
                <w:bCs w:val="0"/>
                <w:caps w:val="0"/>
                <w:noProof/>
              </w:rPr>
              <w:t>T</w:t>
            </w:r>
            <w:r w:rsidR="00300597" w:rsidRPr="00300597">
              <w:rPr>
                <w:rStyle w:val="Hyperlink"/>
                <w:rFonts w:ascii="Times" w:hAnsi="Times"/>
                <w:b w:val="0"/>
                <w:bCs w:val="0"/>
                <w:caps w:val="0"/>
                <w:noProof/>
              </w:rPr>
              <w:t xml:space="preserve">able 4. Cohort characteristics stratified by </w:t>
            </w:r>
            <w:r w:rsidR="00300597">
              <w:rPr>
                <w:rStyle w:val="Hyperlink"/>
                <w:rFonts w:ascii="Times" w:hAnsi="Times"/>
                <w:b w:val="0"/>
                <w:bCs w:val="0"/>
                <w:caps w:val="0"/>
                <w:noProof/>
              </w:rPr>
              <w:t>IDD</w:t>
            </w:r>
            <w:r w:rsidR="00300597" w:rsidRPr="00300597">
              <w:rPr>
                <w:rStyle w:val="Hyperlink"/>
                <w:rFonts w:ascii="Times" w:hAnsi="Times"/>
                <w:b w:val="0"/>
                <w:bCs w:val="0"/>
                <w:caps w:val="0"/>
                <w:noProof/>
              </w:rPr>
              <w:t xml:space="preserve"> diagnosis, before and after high dimensional propensity score matching</w:t>
            </w:r>
          </w:hyperlink>
        </w:p>
        <w:p w14:paraId="46D9B513" w14:textId="528F36CC" w:rsidR="00EA339E" w:rsidRPr="00300597" w:rsidRDefault="00000000" w:rsidP="00300597">
          <w:pPr>
            <w:pStyle w:val="TOC1"/>
            <w:tabs>
              <w:tab w:val="right" w:pos="9350"/>
            </w:tabs>
            <w:spacing w:line="360" w:lineRule="auto"/>
            <w:contextualSpacing/>
            <w:rPr>
              <w:rFonts w:asciiTheme="minorHAnsi" w:eastAsiaTheme="minorEastAsia" w:hAnsiTheme="minorHAnsi" w:cstheme="minorBidi"/>
              <w:b w:val="0"/>
              <w:bCs w:val="0"/>
              <w:caps w:val="0"/>
              <w:noProof/>
              <w:lang w:eastAsia="zh-CN"/>
            </w:rPr>
          </w:pPr>
          <w:hyperlink w:anchor="_Toc98675838" w:history="1">
            <w:r w:rsidR="00300597" w:rsidRPr="00300597">
              <w:rPr>
                <w:rStyle w:val="Hyperlink"/>
                <w:rFonts w:ascii="Times" w:hAnsi="Times"/>
                <w:b w:val="0"/>
                <w:bCs w:val="0"/>
                <w:caps w:val="0"/>
                <w:noProof/>
              </w:rPr>
              <w:t>e-</w:t>
            </w:r>
            <w:r w:rsidR="00300597">
              <w:rPr>
                <w:rStyle w:val="Hyperlink"/>
                <w:rFonts w:ascii="Times" w:hAnsi="Times"/>
                <w:b w:val="0"/>
                <w:bCs w:val="0"/>
                <w:caps w:val="0"/>
                <w:noProof/>
              </w:rPr>
              <w:t>T</w:t>
            </w:r>
            <w:r w:rsidR="00300597" w:rsidRPr="00300597">
              <w:rPr>
                <w:rStyle w:val="Hyperlink"/>
                <w:rFonts w:ascii="Times" w:hAnsi="Times"/>
                <w:b w:val="0"/>
                <w:bCs w:val="0"/>
                <w:caps w:val="0"/>
                <w:noProof/>
              </w:rPr>
              <w:t>able 5. Medication characteristics on index date and during observation window (365 days after opioid therapy initiation), before and after high dimensional propensity score matching</w:t>
            </w:r>
          </w:hyperlink>
        </w:p>
        <w:p w14:paraId="290470AC" w14:textId="572FCC5F" w:rsidR="00EA339E" w:rsidRPr="00300597" w:rsidRDefault="00000000" w:rsidP="00300597">
          <w:pPr>
            <w:pStyle w:val="TOC1"/>
            <w:tabs>
              <w:tab w:val="right" w:pos="9350"/>
            </w:tabs>
            <w:spacing w:line="360" w:lineRule="auto"/>
            <w:contextualSpacing/>
            <w:rPr>
              <w:rFonts w:asciiTheme="minorHAnsi" w:eastAsiaTheme="minorEastAsia" w:hAnsiTheme="minorHAnsi" w:cstheme="minorBidi"/>
              <w:b w:val="0"/>
              <w:bCs w:val="0"/>
              <w:caps w:val="0"/>
              <w:noProof/>
              <w:lang w:eastAsia="zh-CN"/>
            </w:rPr>
          </w:pPr>
          <w:hyperlink w:anchor="_Toc98675839" w:history="1">
            <w:r w:rsidR="00300597" w:rsidRPr="00300597">
              <w:rPr>
                <w:rStyle w:val="Hyperlink"/>
                <w:rFonts w:ascii="Times" w:hAnsi="Times"/>
                <w:b w:val="0"/>
                <w:bCs w:val="0"/>
                <w:caps w:val="0"/>
                <w:noProof/>
              </w:rPr>
              <w:t>e-</w:t>
            </w:r>
            <w:r w:rsidR="00300597">
              <w:rPr>
                <w:rStyle w:val="Hyperlink"/>
                <w:rFonts w:ascii="Times" w:hAnsi="Times"/>
                <w:b w:val="0"/>
                <w:bCs w:val="0"/>
                <w:caps w:val="0"/>
                <w:noProof/>
              </w:rPr>
              <w:t>T</w:t>
            </w:r>
            <w:r w:rsidR="00300597" w:rsidRPr="00300597">
              <w:rPr>
                <w:rStyle w:val="Hyperlink"/>
                <w:rFonts w:ascii="Times" w:hAnsi="Times"/>
                <w:b w:val="0"/>
                <w:bCs w:val="0"/>
                <w:caps w:val="0"/>
                <w:noProof/>
              </w:rPr>
              <w:t xml:space="preserve">able 6. </w:t>
            </w:r>
            <w:r w:rsidR="00300597">
              <w:rPr>
                <w:rStyle w:val="Hyperlink"/>
                <w:rFonts w:ascii="Times" w:hAnsi="Times"/>
                <w:b w:val="0"/>
                <w:bCs w:val="0"/>
                <w:caps w:val="0"/>
                <w:noProof/>
              </w:rPr>
              <w:t>Correlates</w:t>
            </w:r>
            <w:r w:rsidR="00300597" w:rsidRPr="00300597">
              <w:rPr>
                <w:rStyle w:val="Hyperlink"/>
                <w:rFonts w:ascii="Times" w:hAnsi="Times"/>
                <w:b w:val="0"/>
                <w:bCs w:val="0"/>
                <w:caps w:val="0"/>
                <w:noProof/>
              </w:rPr>
              <w:t xml:space="preserve"> of opioid toxicity</w:t>
            </w:r>
          </w:hyperlink>
        </w:p>
        <w:p w14:paraId="2A633700" w14:textId="335896AE" w:rsidR="00EA339E" w:rsidRPr="00300597" w:rsidRDefault="00000000" w:rsidP="00300597">
          <w:pPr>
            <w:pStyle w:val="TOC1"/>
            <w:tabs>
              <w:tab w:val="right" w:pos="9350"/>
            </w:tabs>
            <w:spacing w:line="360" w:lineRule="auto"/>
            <w:contextualSpacing/>
            <w:rPr>
              <w:rFonts w:asciiTheme="minorHAnsi" w:eastAsiaTheme="minorEastAsia" w:hAnsiTheme="minorHAnsi" w:cstheme="minorBidi"/>
              <w:b w:val="0"/>
              <w:bCs w:val="0"/>
              <w:caps w:val="0"/>
              <w:noProof/>
              <w:lang w:eastAsia="zh-CN"/>
            </w:rPr>
          </w:pPr>
          <w:hyperlink w:anchor="_Toc98675840" w:history="1">
            <w:r w:rsidR="00300597" w:rsidRPr="00300597">
              <w:rPr>
                <w:rStyle w:val="Hyperlink"/>
                <w:rFonts w:ascii="Times" w:hAnsi="Times" w:cs="Calibri"/>
                <w:b w:val="0"/>
                <w:bCs w:val="0"/>
                <w:caps w:val="0"/>
                <w:noProof/>
              </w:rPr>
              <w:t>e-</w:t>
            </w:r>
            <w:r w:rsidR="00300597">
              <w:rPr>
                <w:rStyle w:val="Hyperlink"/>
                <w:rFonts w:ascii="Times" w:hAnsi="Times" w:cs="Calibri"/>
                <w:b w:val="0"/>
                <w:bCs w:val="0"/>
                <w:caps w:val="0"/>
                <w:noProof/>
              </w:rPr>
              <w:t>T</w:t>
            </w:r>
            <w:r w:rsidR="00300597" w:rsidRPr="00300597">
              <w:rPr>
                <w:rStyle w:val="Hyperlink"/>
                <w:rFonts w:ascii="Times" w:hAnsi="Times" w:cs="Calibri"/>
                <w:b w:val="0"/>
                <w:bCs w:val="0"/>
                <w:caps w:val="0"/>
                <w:noProof/>
              </w:rPr>
              <w:t>able 7. Hazard of on-treatment opioid toxicity during the year after initiating opioid therapy. Results from the unmatched, PS-matched, and HDPS-matched analyses</w:t>
            </w:r>
          </w:hyperlink>
        </w:p>
        <w:p w14:paraId="2EC56C9D" w14:textId="3B41BD89" w:rsidR="00D742D4" w:rsidRDefault="00413D41" w:rsidP="00300597">
          <w:pPr>
            <w:spacing w:line="360" w:lineRule="auto"/>
            <w:contextualSpacing/>
            <w:rPr>
              <w:noProof/>
            </w:rPr>
            <w:sectPr w:rsidR="00D742D4" w:rsidSect="0062072E">
              <w:headerReference w:type="default" r:id="rId8"/>
              <w:pgSz w:w="12240" w:h="15840"/>
              <w:pgMar w:top="1440" w:right="1440" w:bottom="1440" w:left="1440" w:header="708" w:footer="708" w:gutter="0"/>
              <w:cols w:space="708"/>
              <w:docGrid w:linePitch="360"/>
            </w:sectPr>
          </w:pPr>
          <w:r w:rsidRPr="00300597">
            <w:rPr>
              <w:rFonts w:asciiTheme="majorHAnsi" w:hAnsiTheme="majorHAnsi" w:cstheme="majorHAnsi"/>
              <w:caps/>
            </w:rPr>
            <w:fldChar w:fldCharType="end"/>
          </w:r>
        </w:p>
      </w:sdtContent>
    </w:sdt>
    <w:p w14:paraId="2AB7A444" w14:textId="77777777" w:rsidR="00F156D4" w:rsidRPr="00F156D4" w:rsidRDefault="00F156D4" w:rsidP="00F156D4">
      <w:pPr>
        <w:pStyle w:val="Heading1"/>
        <w:rPr>
          <w:rFonts w:ascii="Times" w:hAnsi="Times"/>
          <w:b/>
          <w:bCs/>
          <w:color w:val="000000" w:themeColor="text1"/>
          <w:sz w:val="24"/>
          <w:szCs w:val="24"/>
        </w:rPr>
      </w:pPr>
      <w:bookmarkStart w:id="0" w:name="_Toc98675832"/>
      <w:r w:rsidRPr="00F156D4">
        <w:rPr>
          <w:rFonts w:ascii="Times" w:hAnsi="Times"/>
          <w:b/>
          <w:bCs/>
          <w:color w:val="000000" w:themeColor="text1"/>
          <w:sz w:val="24"/>
          <w:szCs w:val="24"/>
        </w:rPr>
        <w:lastRenderedPageBreak/>
        <w:t>Data Sources</w:t>
      </w:r>
      <w:bookmarkEnd w:id="0"/>
    </w:p>
    <w:p w14:paraId="09A7D326" w14:textId="12C85908" w:rsidR="00EE1AC2" w:rsidRPr="00495A35" w:rsidRDefault="00F156D4" w:rsidP="00EE1AC2">
      <w:pPr>
        <w:contextualSpacing/>
        <w:rPr>
          <w:rFonts w:ascii="Times" w:hAnsi="Times"/>
          <w:bCs/>
        </w:rPr>
      </w:pPr>
      <w:r w:rsidRPr="00495A35">
        <w:rPr>
          <w:rFonts w:ascii="Times" w:hAnsi="Times"/>
          <w:bCs/>
        </w:rPr>
        <w:tab/>
      </w:r>
      <w:r w:rsidR="00EE1AC2" w:rsidRPr="00495A35">
        <w:rPr>
          <w:rFonts w:ascii="Times" w:hAnsi="Times"/>
          <w:bCs/>
        </w:rPr>
        <w:t>We used the Narcotics Monitoring System database, which holds records of all controlled substances dispensed in community pharmacies in Ontario (i.e., opioids, barbiturates, benzodiazepines, and stimulants), to obtain details of all prescription medications dispensed within our cohort</w:t>
      </w:r>
      <w:r w:rsidR="00EE1AC2">
        <w:rPr>
          <w:rFonts w:ascii="Times" w:hAnsi="Times"/>
          <w:bCs/>
        </w:rPr>
        <w:t>, regardless of payer</w:t>
      </w:r>
      <w:r w:rsidR="00EE1AC2" w:rsidRPr="00495A35">
        <w:rPr>
          <w:rFonts w:ascii="Times" w:hAnsi="Times"/>
          <w:bCs/>
        </w:rPr>
        <w:t>. We used the Canadian Institutes of Health Information (CIHI) Discharge Abstract Database (DAD) to identify patient-level information on inpatient hospitalizations, the CIHI-National Ambulatory Care Reporting System (NACRS) database to obtain information on emergency department visits, the CIHI-Same Day Surgery (SDS) database to capture day surgery information, and the Ontario Mental Health Reporting Systems (OMHRS) database to gather information on inpatient hospitalizations in psychiatric facilities. We captured information on outpatient physician visits using the Ontario Health Insurance Plan (OHIP) database and demographics as well as vital statistics using the Registered Persons Database.</w:t>
      </w:r>
      <w:r w:rsidR="004F4A19">
        <w:rPr>
          <w:rFonts w:ascii="Times" w:hAnsi="Times"/>
          <w:bCs/>
        </w:rPr>
        <w:t xml:space="preserve"> We identified instances of opioid-related deaths using the Drug and Drug/Alcohol Related Death database.</w:t>
      </w:r>
      <w:r w:rsidR="00EE1AC2" w:rsidRPr="00495A35">
        <w:rPr>
          <w:rFonts w:ascii="Times" w:hAnsi="Times"/>
          <w:bCs/>
        </w:rPr>
        <w:t xml:space="preserve"> We also used a collection of </w:t>
      </w:r>
      <w:r w:rsidR="00EE1AC2">
        <w:rPr>
          <w:rFonts w:ascii="Times" w:hAnsi="Times"/>
          <w:bCs/>
        </w:rPr>
        <w:t xml:space="preserve">registries and </w:t>
      </w:r>
      <w:r w:rsidR="00EE1AC2" w:rsidRPr="00495A35">
        <w:rPr>
          <w:rFonts w:ascii="Times" w:hAnsi="Times"/>
          <w:bCs/>
        </w:rPr>
        <w:t>validated databases from ICES to define additional patient comorbidities, including the Ontario Hypertension Dataset,</w:t>
      </w:r>
      <w:r w:rsidR="00EE1AC2">
        <w:rPr>
          <w:rFonts w:ascii="Times" w:hAnsi="Times"/>
          <w:bCs/>
        </w:rPr>
        <w:fldChar w:fldCharType="begin"/>
      </w:r>
      <w:r w:rsidR="00EE1AC2">
        <w:rPr>
          <w:rFonts w:ascii="Times" w:hAnsi="Times"/>
          <w:bCs/>
        </w:rPr>
        <w:instrText xml:space="preserve"> ADDIN ZOTERO_ITEM CSL_CITATION {"citationID":"NAKegs7s","properties":{"formattedCitation":"\\super 1\\nosupersub{}","plainCitation":"1","noteIndex":0},"citationItems":[{"id":787,"uris":["http://zotero.org/users/2406365/items/V6J96RQ5"],"uri":["http://zotero.org/users/2406365/items/V6J96RQ5"],"itemData":{"id":787,"type":"article-journal","container-title":"Canadian Medical Association Journal","DOI":"10.1503/cmaj.071283","ISSN":"0820-3946, 1488-2329","issue":"11","journalAbbreviation":"Canadian Medical Association Journal","language":"en","page":"1429-1435","source":"DOI.org (Crossref)","title":"Prevalence and incidence of hypertension from 1995 to 2005: a population-based study","title-short":"Prevalence and incidence of hypertension from 1995 to 2005","volume":"178","author":[{"family":"Tu","given":"K."},{"family":"Chen","given":"Z."},{"family":"Lipscombe","given":"L. L."},{"literal":"for the Canadian Hypertension Education Program Outcomes Research Taskforce"}],"issued":{"date-parts":[["2008",5,1]]}}}],"schema":"https://github.com/citation-style-language/schema/raw/master/csl-citation.json"} </w:instrText>
      </w:r>
      <w:r w:rsidR="00EE1AC2">
        <w:rPr>
          <w:rFonts w:ascii="Times" w:hAnsi="Times"/>
          <w:bCs/>
        </w:rPr>
        <w:fldChar w:fldCharType="separate"/>
      </w:r>
      <w:r w:rsidR="00EE1AC2" w:rsidRPr="002B6D86">
        <w:rPr>
          <w:rFonts w:ascii="Times" w:hAnsi="Times" w:cs="Times New Roman"/>
          <w:vertAlign w:val="superscript"/>
          <w:lang w:val="en-US"/>
        </w:rPr>
        <w:t>1</w:t>
      </w:r>
      <w:r w:rsidR="00EE1AC2">
        <w:rPr>
          <w:rFonts w:ascii="Times" w:hAnsi="Times"/>
          <w:bCs/>
        </w:rPr>
        <w:fldChar w:fldCharType="end"/>
      </w:r>
      <w:r w:rsidR="00EE1AC2" w:rsidRPr="00495A35">
        <w:rPr>
          <w:rFonts w:ascii="Times" w:hAnsi="Times"/>
          <w:bCs/>
        </w:rPr>
        <w:t xml:space="preserve">  the Chronic Obstructive Pulmonary Disease database,</w:t>
      </w:r>
      <w:r w:rsidR="00EE1AC2">
        <w:rPr>
          <w:rFonts w:ascii="Times" w:hAnsi="Times"/>
          <w:bCs/>
        </w:rPr>
        <w:fldChar w:fldCharType="begin"/>
      </w:r>
      <w:r w:rsidR="00EE1AC2">
        <w:rPr>
          <w:rFonts w:ascii="Times" w:hAnsi="Times"/>
          <w:bCs/>
        </w:rPr>
        <w:instrText xml:space="preserve"> ADDIN ZOTERO_ITEM CSL_CITATION {"citationID":"egEHgjvC","properties":{"formattedCitation":"\\super 2\\nosupersub{}","plainCitation":"2","noteIndex":0},"citationItems":[{"id":786,"uris":["http://zotero.org/users/2406365/items/VUATWSF2"],"uri":["http://zotero.org/users/2406365/items/VUATWSF2"],"itemData":{"id":786,"type":"article-journal","container-title":"COPD: Journal of Chronic Obstructive Pulmonary Disease","DOI":"10.1080/15412550903140865","ISSN":"1541-2555, 1541-2563","issue":"5","journalAbbreviation":"COPD: Journal of Chronic Obstructive Pulmonary Disease","language":"en","page":"388-394","source":"DOI.org (Crossref)","title":"Identifying Individuals with Physcian Diagnosed COPD in Health Administrative Databases","volume":"6","author":[{"family":"Gershon","given":"A. S."},{"family":"Wang","given":"C."},{"family":"Guan","given":"J."},{"family":"Vasilevska-Ristovska","given":"J."},{"family":"Cicutto","given":"L."},{"family":"To","given":"T."}],"issued":{"date-parts":[["2009",1]]}}}],"schema":"https://github.com/citation-style-language/schema/raw/master/csl-citation.json"} </w:instrText>
      </w:r>
      <w:r w:rsidR="00EE1AC2">
        <w:rPr>
          <w:rFonts w:ascii="Times" w:hAnsi="Times"/>
          <w:bCs/>
        </w:rPr>
        <w:fldChar w:fldCharType="separate"/>
      </w:r>
      <w:r w:rsidR="00EE1AC2" w:rsidRPr="002B6D86">
        <w:rPr>
          <w:rFonts w:ascii="Times" w:hAnsi="Times" w:cs="Times New Roman"/>
          <w:vertAlign w:val="superscript"/>
          <w:lang w:val="en-US"/>
        </w:rPr>
        <w:t>2</w:t>
      </w:r>
      <w:r w:rsidR="00EE1AC2">
        <w:rPr>
          <w:rFonts w:ascii="Times" w:hAnsi="Times"/>
          <w:bCs/>
        </w:rPr>
        <w:fldChar w:fldCharType="end"/>
      </w:r>
      <w:r w:rsidR="00EE1AC2" w:rsidRPr="00495A35">
        <w:rPr>
          <w:rFonts w:ascii="Times" w:hAnsi="Times"/>
          <w:bCs/>
        </w:rPr>
        <w:t xml:space="preserve"> the Ontario Diabetes Dataset,</w:t>
      </w:r>
      <w:r w:rsidR="00EE1AC2">
        <w:rPr>
          <w:rFonts w:ascii="Times" w:hAnsi="Times"/>
          <w:bCs/>
        </w:rPr>
        <w:fldChar w:fldCharType="begin"/>
      </w:r>
      <w:r w:rsidR="00EE1AC2">
        <w:rPr>
          <w:rFonts w:ascii="Times" w:hAnsi="Times"/>
          <w:bCs/>
        </w:rPr>
        <w:instrText xml:space="preserve"> ADDIN ZOTERO_ITEM CSL_CITATION {"citationID":"sov0Nxpd","properties":{"formattedCitation":"\\super 3\\nosupersub{}","plainCitation":"3","noteIndex":0},"citationItems":[{"id":789,"uris":["http://zotero.org/users/2406365/items/2FD5DSS9"],"uri":["http://zotero.org/users/2406365/items/2FD5DSS9"],"itemData":{"id":789,"type":"article-journal","container-title":"Pediatric Diabetes","DOI":"10.1111/j.1399-5448.2009.00539.x","ISSN":"1399543X, 13995448","issue":"2","language":"en","page":"122-128","source":"DOI.org (Crossref)","title":"Validation of a health administrative data algorithm for assessing the epidemiology of diabetes in Canadian children","volume":"11","author":[{"family":"Guttmann","given":"Astrid"},{"family":"Nakhla","given":"Meranda"},{"family":"Henderson","given":"Melanie"},{"family":"To","given":"Teresa"},{"family":"Daneman","given":"Denis"},{"family":"Cauch-Dudek","given":"Karen"},{"family":"Wang","given":"Xuesong"},{"family":"Lam","given":"Kelvin"},{"family":"Hux","given":"Jan"}],"issued":{"date-parts":[["2010",3]]}}}],"schema":"https://github.com/citation-style-language/schema/raw/master/csl-citation.json"} </w:instrText>
      </w:r>
      <w:r w:rsidR="00EE1AC2">
        <w:rPr>
          <w:rFonts w:ascii="Times" w:hAnsi="Times"/>
          <w:bCs/>
        </w:rPr>
        <w:fldChar w:fldCharType="separate"/>
      </w:r>
      <w:r w:rsidR="00EE1AC2" w:rsidRPr="002B6D86">
        <w:rPr>
          <w:rFonts w:ascii="Times" w:hAnsi="Times" w:cs="Times New Roman"/>
          <w:vertAlign w:val="superscript"/>
          <w:lang w:val="en-US"/>
        </w:rPr>
        <w:t>3</w:t>
      </w:r>
      <w:r w:rsidR="00EE1AC2">
        <w:rPr>
          <w:rFonts w:ascii="Times" w:hAnsi="Times"/>
          <w:bCs/>
        </w:rPr>
        <w:fldChar w:fldCharType="end"/>
      </w:r>
      <w:r w:rsidR="00EE1AC2" w:rsidRPr="00495A35">
        <w:rPr>
          <w:rFonts w:ascii="Times" w:hAnsi="Times"/>
          <w:bCs/>
        </w:rPr>
        <w:t xml:space="preserve"> Congestive Heart Failure database,</w:t>
      </w:r>
      <w:r w:rsidR="00EE1AC2">
        <w:rPr>
          <w:rFonts w:ascii="Times" w:hAnsi="Times"/>
          <w:bCs/>
        </w:rPr>
        <w:fldChar w:fldCharType="begin"/>
      </w:r>
      <w:r w:rsidR="00EE1AC2">
        <w:rPr>
          <w:rFonts w:ascii="Times" w:hAnsi="Times"/>
          <w:bCs/>
        </w:rPr>
        <w:instrText xml:space="preserve"> ADDIN ZOTERO_ITEM CSL_CITATION {"citationID":"aHu4LTiB","properties":{"formattedCitation":"\\super 4\\nosupersub{}","plainCitation":"4","noteIndex":0},"citationItems":[{"id":784,"uris":["http://zotero.org/users/2406365/items/Z9C6UBTF"],"uri":["http://zotero.org/users/2406365/items/Z9C6UBTF"],"itemData":{"id":784,"type":"article-journal","abstract":"INTRODUCTION: To determine if using a combination of hospital administrative data and ambulatory care physician billings can accurately identify patients with congestive heart failure (CHF), we tested 9 algorithms for identifying individuals with CHF from administrative data.\nMETHODS: The validation cohort against which the 9 algorithms were tested combined data from a random sample of adult patients from EMRALD, an electronic medical record database of primary care physicians in Ontario, Canada, and data collected in 2004/05 from a random sample of primary care patients for a study of hypertension. Algorithms were evaluated on sensitivity, specificity, positive predictive value, area under the curve on the ROC graph and the combination of likelihood ratio positive and negative.\nRESULTS: We found that that one hospital record or one physician billing followed by a second record from either source within one year had the best result, with a sensitivity of 84.8% and a specificity of 97.0%.\nCONCLUSION: Population prevalence of CHF can be accurately measured using combined administrative data from hospitalization and ambulatory care.","container-title":"Chronic Diseases and Injuries in Canada","ISSN":"1925-6523","issue":"3","journalAbbreviation":"Chronic Dis Inj Can","language":"eng, fre","note":"PMID: 23735455","page":"160-166","source":"PubMed","title":"Identifying cases of congestive heart failure from administrative data: a validation study using primary care patient records","title-short":"Identifying cases of congestive heart failure from administrative data","volume":"33","author":[{"family":"Schultz","given":"S. E."},{"family":"Rothwell","given":"D. M."},{"family":"Chen","given":"Z."},{"family":"Tu","given":"K."}],"issued":{"date-parts":[["2013",6]]}}}],"schema":"https://github.com/citation-style-language/schema/raw/master/csl-citation.json"} </w:instrText>
      </w:r>
      <w:r w:rsidR="00EE1AC2">
        <w:rPr>
          <w:rFonts w:ascii="Times" w:hAnsi="Times"/>
          <w:bCs/>
        </w:rPr>
        <w:fldChar w:fldCharType="separate"/>
      </w:r>
      <w:r w:rsidR="00EE1AC2" w:rsidRPr="002B6D86">
        <w:rPr>
          <w:rFonts w:ascii="Times" w:hAnsi="Times" w:cs="Times New Roman"/>
          <w:vertAlign w:val="superscript"/>
          <w:lang w:val="en-US"/>
        </w:rPr>
        <w:t>4</w:t>
      </w:r>
      <w:r w:rsidR="00EE1AC2">
        <w:rPr>
          <w:rFonts w:ascii="Times" w:hAnsi="Times"/>
          <w:bCs/>
        </w:rPr>
        <w:fldChar w:fldCharType="end"/>
      </w:r>
      <w:r w:rsidR="00EE1AC2" w:rsidRPr="00495A35">
        <w:rPr>
          <w:rFonts w:ascii="Times" w:hAnsi="Times"/>
          <w:bCs/>
        </w:rPr>
        <w:t xml:space="preserve"> the Ontario Rheumatoid Arthritis Dataset,</w:t>
      </w:r>
      <w:r w:rsidR="00EE1AC2">
        <w:rPr>
          <w:rFonts w:ascii="Times" w:hAnsi="Times"/>
          <w:bCs/>
        </w:rPr>
        <w:fldChar w:fldCharType="begin"/>
      </w:r>
      <w:r w:rsidR="00EE1AC2">
        <w:rPr>
          <w:rFonts w:ascii="Times" w:hAnsi="Times"/>
          <w:bCs/>
        </w:rPr>
        <w:instrText xml:space="preserve"> ADDIN ZOTERO_ITEM CSL_CITATION {"citationID":"Fps4kwGY","properties":{"formattedCitation":"\\super 5,6\\nosupersub{}","plainCitation":"5,6","noteIndex":0},"citationItems":[{"id":792,"uris":["http://zotero.org/users/2406365/items/HPQ6MMWD"],"uri":["http://zotero.org/users/2406365/items/HPQ6MMWD"],"itemData":{"id":792,"type":"article-journal","container-title":"Arthritis Care &amp; Research","DOI":"10.1002/acr.22031","ISSN":"2151464X","journalAbbreviation":"Arthritis Care Res","language":"en","page":"n/a-n/a","source":"DOI.org (Crossref)","title":"Accuracy of Canadian health administrative databases in identifying patients with rheumatoid arthritis: A validation study using the medical records of rheumatologists","title-short":"Accuracy of Canadian health administrative databases in identifying patients with rheumatoid arthritis","author":[{"family":"Widdifield","given":"Jessica"},{"family":"Bernatsky","given":"Sasha"},{"family":"Paterson","given":"J. Michael"},{"family":"Tu","given":"Karen"},{"family":"Ng","given":"Ryan"},{"family":"Thorne","given":"J. Carter"},{"family":"Pope","given":"Janet E."},{"family":"Bombardier","given":"Claire"}],"issued":{"date-parts":[["2013"]]}}},{"id":794,"uris":["http://zotero.org/users/2406365/items/JGGPGC4U"],"uri":["http://zotero.org/users/2406365/items/JGGPGC4U"],"itemData":{"id":794,"type":"article-journal","container-title":"BMC Musculoskeletal Disorders","DOI":"10.1186/1471-2474-15-216","ISSN":"1471-2474","issue":"1","journalAbbreviation":"BMC Musculoskelet Disord","language":"en","page":"216","source":"DOI.org (Crossref)","title":"An administrative data validation study of the accuracy of algorithms for identifying rheumatoid arthritis: the influence of the reference standard on algorithm performance","title-short":"An administrative data validation study of the accuracy of algorithms for identifying rheumatoid arthritis","volume":"15","author":[{"family":"Widdifield","given":"Jessica"},{"family":"Bombardier","given":"Claire"},{"family":"Bernatsky","given":"Sasha"},{"family":"Paterson","given":"J Michael"},{"family":"Green","given":"Diane"},{"family":"Young","given":"Jacqueline"},{"family":"Ivers","given":"Noah"},{"family":"Butt","given":"Debra A"},{"family":"Jaakkimainen","given":"R Liisa"},{"family":"Thorne","given":"J Carter"},{"family":"Tu","given":"Karen"}],"issued":{"date-parts":[["2014",12]]}}}],"schema":"https://github.com/citation-style-language/schema/raw/master/csl-citation.json"} </w:instrText>
      </w:r>
      <w:r w:rsidR="00EE1AC2">
        <w:rPr>
          <w:rFonts w:ascii="Times" w:hAnsi="Times"/>
          <w:bCs/>
        </w:rPr>
        <w:fldChar w:fldCharType="separate"/>
      </w:r>
      <w:r w:rsidR="00EE1AC2" w:rsidRPr="002B6D86">
        <w:rPr>
          <w:rFonts w:ascii="Times" w:hAnsi="Times" w:cs="Times New Roman"/>
          <w:vertAlign w:val="superscript"/>
          <w:lang w:val="en-US"/>
        </w:rPr>
        <w:t>5,6</w:t>
      </w:r>
      <w:r w:rsidR="00EE1AC2">
        <w:rPr>
          <w:rFonts w:ascii="Times" w:hAnsi="Times"/>
          <w:bCs/>
        </w:rPr>
        <w:fldChar w:fldCharType="end"/>
      </w:r>
      <w:r w:rsidR="00EE1AC2" w:rsidRPr="00495A35">
        <w:rPr>
          <w:rFonts w:ascii="Times" w:hAnsi="Times"/>
          <w:bCs/>
        </w:rPr>
        <w:t xml:space="preserve"> the Ontario Myocardial Infarction Dataset,</w:t>
      </w:r>
      <w:r w:rsidR="00EE1AC2">
        <w:rPr>
          <w:rFonts w:ascii="Times" w:hAnsi="Times"/>
          <w:bCs/>
        </w:rPr>
        <w:fldChar w:fldCharType="begin"/>
      </w:r>
      <w:r w:rsidR="00EE1AC2">
        <w:rPr>
          <w:rFonts w:ascii="Times" w:hAnsi="Times"/>
          <w:bCs/>
        </w:rPr>
        <w:instrText xml:space="preserve"> ADDIN ZOTERO_ITEM CSL_CITATION {"citationID":"bkhuy8Pj","properties":{"formattedCitation":"\\super 7\\nosupersub{}","plainCitation":"7","noteIndex":0},"citationItems":[{"id":796,"uris":["http://zotero.org/users/2406365/items/GVGZB58J"],"uri":["http://zotero.org/users/2406365/items/GVGZB58J"],"itemData":{"id":796,"type":"article-journal","container-title":"American Heart Journal","DOI":"10.1067/mhj.2002.123839","ISSN":"00028703","issue":"2","journalAbbreviation":"American Heart Journal","language":"en","page":"290-296","source":"DOI.org (Crossref)","title":"A multicenter study of the coding accuracy of hospital discharge administrative data for patients admitted to cardiac care units in Ontario","volume":"144","author":[{"family":"Austin","given":"Peter C."},{"family":"Daly","given":"Paul A."},{"family":"Tu","given":"Jack V."}],"issued":{"date-parts":[["2002",8]]}}}],"schema":"https://github.com/citation-style-language/schema/raw/master/csl-citation.json"} </w:instrText>
      </w:r>
      <w:r w:rsidR="00EE1AC2">
        <w:rPr>
          <w:rFonts w:ascii="Times" w:hAnsi="Times"/>
          <w:bCs/>
        </w:rPr>
        <w:fldChar w:fldCharType="separate"/>
      </w:r>
      <w:r w:rsidR="00EE1AC2" w:rsidRPr="002B6D86">
        <w:rPr>
          <w:rFonts w:ascii="Times" w:hAnsi="Times" w:cs="Times New Roman"/>
          <w:vertAlign w:val="superscript"/>
          <w:lang w:val="en-US"/>
        </w:rPr>
        <w:t>7</w:t>
      </w:r>
      <w:r w:rsidR="00EE1AC2">
        <w:rPr>
          <w:rFonts w:ascii="Times" w:hAnsi="Times"/>
          <w:bCs/>
        </w:rPr>
        <w:fldChar w:fldCharType="end"/>
      </w:r>
      <w:r w:rsidR="00EE1AC2" w:rsidRPr="00495A35">
        <w:rPr>
          <w:rFonts w:ascii="Times" w:hAnsi="Times"/>
          <w:bCs/>
        </w:rPr>
        <w:t xml:space="preserve"> the Ontario HIV Database,</w:t>
      </w:r>
      <w:r w:rsidR="00EE1AC2">
        <w:rPr>
          <w:rFonts w:ascii="Times" w:hAnsi="Times"/>
          <w:bCs/>
        </w:rPr>
        <w:fldChar w:fldCharType="begin"/>
      </w:r>
      <w:r w:rsidR="00EE1AC2">
        <w:rPr>
          <w:rFonts w:ascii="Times" w:hAnsi="Times"/>
          <w:bCs/>
        </w:rPr>
        <w:instrText xml:space="preserve"> ADDIN ZOTERO_ITEM CSL_CITATION {"citationID":"Ph7AgWxV","properties":{"formattedCitation":"\\super 8\\nosupersub{}","plainCitation":"8","noteIndex":0},"citationItems":[{"id":790,"uris":["http://zotero.org/users/2406365/items/ZGPXWN7W"],"uri":["http://zotero.org/users/2406365/items/ZGPXWN7W"],"itemData":{"id":790,"type":"article-journal","container-title":"PLoS ONE","DOI":"10.1371/journal.pone.0021748","ISSN":"1932-6203","issue":"6","journalAbbreviation":"PLoS ONE","language":"en","page":"e21748","source":"DOI.org (Crossref)","title":"Validation of Case-Finding Algorithms Derived from Administrative Data for Identifying Adults Living with Human Immunodeficiency Virus Infection","volume":"6","author":[{"family":"Antoniou","given":"Tony"},{"family":"Zagorski","given":"Brandon"},{"family":"Loutfy","given":"Mona R."},{"family":"Strike","given":"Carol"},{"family":"Glazier","given":"Richard H."}],"editor":[{"family":"Thiem","given":"Ulrich"}],"issued":{"date-parts":[["2011",6,30]]}}}],"schema":"https://github.com/citation-style-language/schema/raw/master/csl-citation.json"} </w:instrText>
      </w:r>
      <w:r w:rsidR="00EE1AC2">
        <w:rPr>
          <w:rFonts w:ascii="Times" w:hAnsi="Times"/>
          <w:bCs/>
        </w:rPr>
        <w:fldChar w:fldCharType="separate"/>
      </w:r>
      <w:r w:rsidR="00EE1AC2" w:rsidRPr="002B6D86">
        <w:rPr>
          <w:rFonts w:ascii="Times" w:hAnsi="Times" w:cs="Times New Roman"/>
          <w:vertAlign w:val="superscript"/>
          <w:lang w:val="en-US"/>
        </w:rPr>
        <w:t>8</w:t>
      </w:r>
      <w:r w:rsidR="00EE1AC2">
        <w:rPr>
          <w:rFonts w:ascii="Times" w:hAnsi="Times"/>
          <w:bCs/>
        </w:rPr>
        <w:fldChar w:fldCharType="end"/>
      </w:r>
      <w:r w:rsidR="00EE1AC2" w:rsidRPr="00495A35">
        <w:rPr>
          <w:rFonts w:ascii="Times" w:hAnsi="Times"/>
          <w:bCs/>
        </w:rPr>
        <w:t xml:space="preserve"> and the Ontario Cancer Registry.</w:t>
      </w:r>
    </w:p>
    <w:p w14:paraId="065C1B32" w14:textId="77777777" w:rsidR="00EE1AC2" w:rsidRPr="00EA339E" w:rsidRDefault="00EE1AC2" w:rsidP="00EE1AC2">
      <w:pPr>
        <w:rPr>
          <w:sz w:val="20"/>
          <w:szCs w:val="20"/>
        </w:rPr>
      </w:pPr>
    </w:p>
    <w:p w14:paraId="168BFE18" w14:textId="77777777" w:rsidR="00EE1AC2" w:rsidRPr="00EA339E" w:rsidRDefault="00EE1AC2" w:rsidP="00EE1AC2">
      <w:pPr>
        <w:pStyle w:val="Bibliography"/>
        <w:spacing w:line="240" w:lineRule="auto"/>
        <w:contextualSpacing/>
        <w:rPr>
          <w:rFonts w:ascii="Times" w:hAnsi="Times" w:cs="Calibri"/>
          <w:sz w:val="20"/>
          <w:szCs w:val="20"/>
          <w:lang w:val="en-US"/>
        </w:rPr>
      </w:pPr>
      <w:r w:rsidRPr="00EA339E">
        <w:rPr>
          <w:rFonts w:ascii="Times" w:hAnsi="Times"/>
          <w:sz w:val="20"/>
          <w:szCs w:val="20"/>
        </w:rPr>
        <w:fldChar w:fldCharType="begin"/>
      </w:r>
      <w:r w:rsidRPr="00EA339E">
        <w:rPr>
          <w:rFonts w:ascii="Times" w:hAnsi="Times"/>
          <w:sz w:val="20"/>
          <w:szCs w:val="20"/>
        </w:rPr>
        <w:instrText xml:space="preserve"> ADDIN ZOTERO_BIBL {"uncited":[],"omitted":[],"custom":[]} CSL_BIBLIOGRAPHY </w:instrText>
      </w:r>
      <w:r w:rsidRPr="00EA339E">
        <w:rPr>
          <w:rFonts w:ascii="Times" w:hAnsi="Times"/>
          <w:sz w:val="20"/>
          <w:szCs w:val="20"/>
        </w:rPr>
        <w:fldChar w:fldCharType="separate"/>
      </w:r>
      <w:r w:rsidRPr="00EA339E">
        <w:rPr>
          <w:rFonts w:ascii="Times" w:hAnsi="Times" w:cs="Calibri"/>
          <w:sz w:val="20"/>
          <w:szCs w:val="20"/>
          <w:lang w:val="en-US"/>
        </w:rPr>
        <w:t xml:space="preserve">1. </w:t>
      </w:r>
      <w:r w:rsidRPr="00EA339E">
        <w:rPr>
          <w:rFonts w:ascii="Times" w:hAnsi="Times" w:cs="Calibri"/>
          <w:sz w:val="20"/>
          <w:szCs w:val="20"/>
          <w:lang w:val="en-US"/>
        </w:rPr>
        <w:tab/>
        <w:t xml:space="preserve">Tu K, Chen Z, Lipscombe LL, for the Canadian Hypertension Education Program Outcomes Research Taskforce. Prevalence and incidence of hypertension from 1995 to 2005: a population-based study. </w:t>
      </w:r>
      <w:r w:rsidRPr="00EA339E">
        <w:rPr>
          <w:rFonts w:ascii="Times" w:hAnsi="Times" w:cs="Calibri"/>
          <w:i/>
          <w:iCs/>
          <w:sz w:val="20"/>
          <w:szCs w:val="20"/>
          <w:lang w:val="en-US"/>
        </w:rPr>
        <w:t>Can Med Assoc J</w:t>
      </w:r>
      <w:r w:rsidRPr="00EA339E">
        <w:rPr>
          <w:rFonts w:ascii="Times" w:hAnsi="Times" w:cs="Calibri"/>
          <w:sz w:val="20"/>
          <w:szCs w:val="20"/>
          <w:lang w:val="en-US"/>
        </w:rPr>
        <w:t>. 2008;178(11):1429-1435. doi:10.1503/cmaj.071283</w:t>
      </w:r>
    </w:p>
    <w:p w14:paraId="139FA9A6" w14:textId="77777777" w:rsidR="00EE1AC2" w:rsidRPr="00EA339E" w:rsidRDefault="00EE1AC2" w:rsidP="00EE1AC2">
      <w:pPr>
        <w:pStyle w:val="Bibliography"/>
        <w:spacing w:line="240" w:lineRule="auto"/>
        <w:contextualSpacing/>
        <w:rPr>
          <w:rFonts w:ascii="Times" w:hAnsi="Times" w:cs="Calibri"/>
          <w:sz w:val="20"/>
          <w:szCs w:val="20"/>
          <w:lang w:val="en-US"/>
        </w:rPr>
      </w:pPr>
      <w:r w:rsidRPr="00EA339E">
        <w:rPr>
          <w:rFonts w:ascii="Times" w:hAnsi="Times" w:cs="Calibri"/>
          <w:sz w:val="20"/>
          <w:szCs w:val="20"/>
          <w:lang w:val="en-US"/>
        </w:rPr>
        <w:t xml:space="preserve">2. </w:t>
      </w:r>
      <w:r w:rsidRPr="00EA339E">
        <w:rPr>
          <w:rFonts w:ascii="Times" w:hAnsi="Times" w:cs="Calibri"/>
          <w:sz w:val="20"/>
          <w:szCs w:val="20"/>
          <w:lang w:val="en-US"/>
        </w:rPr>
        <w:tab/>
        <w:t xml:space="preserve">Gershon AS, Wang C, Guan J, Vasilevska-Ristovska J, Cicutto L, To T. Identifying Individuals with Physcian Diagnosed COPD in Health Administrative Databases. </w:t>
      </w:r>
      <w:r w:rsidRPr="00EA339E">
        <w:rPr>
          <w:rFonts w:ascii="Times" w:hAnsi="Times" w:cs="Calibri"/>
          <w:i/>
          <w:iCs/>
          <w:sz w:val="20"/>
          <w:szCs w:val="20"/>
          <w:lang w:val="en-US"/>
        </w:rPr>
        <w:t>COPD J Chronic Obstr Pulm Dis</w:t>
      </w:r>
      <w:r w:rsidRPr="00EA339E">
        <w:rPr>
          <w:rFonts w:ascii="Times" w:hAnsi="Times" w:cs="Calibri"/>
          <w:sz w:val="20"/>
          <w:szCs w:val="20"/>
          <w:lang w:val="en-US"/>
        </w:rPr>
        <w:t>. 2009;6(5):388-394. doi:10.1080/15412550903140865</w:t>
      </w:r>
    </w:p>
    <w:p w14:paraId="6F3C115B" w14:textId="77777777" w:rsidR="00EE1AC2" w:rsidRPr="00EA339E" w:rsidRDefault="00EE1AC2" w:rsidP="00EE1AC2">
      <w:pPr>
        <w:pStyle w:val="Bibliography"/>
        <w:spacing w:line="240" w:lineRule="auto"/>
        <w:contextualSpacing/>
        <w:rPr>
          <w:rFonts w:ascii="Times" w:hAnsi="Times" w:cs="Calibri"/>
          <w:sz w:val="20"/>
          <w:szCs w:val="20"/>
          <w:lang w:val="en-US"/>
        </w:rPr>
      </w:pPr>
      <w:r w:rsidRPr="00EA339E">
        <w:rPr>
          <w:rFonts w:ascii="Times" w:hAnsi="Times" w:cs="Calibri"/>
          <w:sz w:val="20"/>
          <w:szCs w:val="20"/>
          <w:lang w:val="en-US"/>
        </w:rPr>
        <w:t xml:space="preserve">3. </w:t>
      </w:r>
      <w:r w:rsidRPr="00EA339E">
        <w:rPr>
          <w:rFonts w:ascii="Times" w:hAnsi="Times" w:cs="Calibri"/>
          <w:sz w:val="20"/>
          <w:szCs w:val="20"/>
          <w:lang w:val="en-US"/>
        </w:rPr>
        <w:tab/>
        <w:t xml:space="preserve">Guttmann A, Nakhla M, Henderson M, et al. Validation of a health administrative data algorithm for assessing the epidemiology of diabetes in Canadian children. </w:t>
      </w:r>
      <w:r w:rsidRPr="00EA339E">
        <w:rPr>
          <w:rFonts w:ascii="Times" w:hAnsi="Times" w:cs="Calibri"/>
          <w:i/>
          <w:iCs/>
          <w:sz w:val="20"/>
          <w:szCs w:val="20"/>
          <w:lang w:val="en-US"/>
        </w:rPr>
        <w:t>Pediatr Diabetes</w:t>
      </w:r>
      <w:r w:rsidRPr="00EA339E">
        <w:rPr>
          <w:rFonts w:ascii="Times" w:hAnsi="Times" w:cs="Calibri"/>
          <w:sz w:val="20"/>
          <w:szCs w:val="20"/>
          <w:lang w:val="en-US"/>
        </w:rPr>
        <w:t>. 2010;11(2):122-128. doi:10.1111/j.1399-5448.2009.00539.x</w:t>
      </w:r>
    </w:p>
    <w:p w14:paraId="6E72B7E8" w14:textId="77777777" w:rsidR="00EE1AC2" w:rsidRPr="00EA339E" w:rsidRDefault="00EE1AC2" w:rsidP="00EE1AC2">
      <w:pPr>
        <w:pStyle w:val="Bibliography"/>
        <w:spacing w:line="240" w:lineRule="auto"/>
        <w:contextualSpacing/>
        <w:rPr>
          <w:rFonts w:ascii="Times" w:hAnsi="Times" w:cs="Calibri"/>
          <w:sz w:val="20"/>
          <w:szCs w:val="20"/>
          <w:lang w:val="en-US"/>
        </w:rPr>
      </w:pPr>
      <w:r w:rsidRPr="00EA339E">
        <w:rPr>
          <w:rFonts w:ascii="Times" w:hAnsi="Times" w:cs="Calibri"/>
          <w:sz w:val="20"/>
          <w:szCs w:val="20"/>
          <w:lang w:val="en-US"/>
        </w:rPr>
        <w:t xml:space="preserve">4. </w:t>
      </w:r>
      <w:r w:rsidRPr="00EA339E">
        <w:rPr>
          <w:rFonts w:ascii="Times" w:hAnsi="Times" w:cs="Calibri"/>
          <w:sz w:val="20"/>
          <w:szCs w:val="20"/>
          <w:lang w:val="en-US"/>
        </w:rPr>
        <w:tab/>
        <w:t xml:space="preserve">Schultz SE, Rothwell DM, Chen Z, Tu K. Identifying cases of congestive heart failure from administrative data: a validation study using primary care patient records. </w:t>
      </w:r>
      <w:r w:rsidRPr="00EA339E">
        <w:rPr>
          <w:rFonts w:ascii="Times" w:hAnsi="Times" w:cs="Calibri"/>
          <w:i/>
          <w:iCs/>
          <w:sz w:val="20"/>
          <w:szCs w:val="20"/>
          <w:lang w:val="en-US"/>
        </w:rPr>
        <w:t>Chronic Dis Inj Can</w:t>
      </w:r>
      <w:r w:rsidRPr="00EA339E">
        <w:rPr>
          <w:rFonts w:ascii="Times" w:hAnsi="Times" w:cs="Calibri"/>
          <w:sz w:val="20"/>
          <w:szCs w:val="20"/>
          <w:lang w:val="en-US"/>
        </w:rPr>
        <w:t>. 2013;33(3):160-166.</w:t>
      </w:r>
    </w:p>
    <w:p w14:paraId="42063631" w14:textId="77777777" w:rsidR="00EE1AC2" w:rsidRPr="00EA339E" w:rsidRDefault="00EE1AC2" w:rsidP="00EE1AC2">
      <w:pPr>
        <w:pStyle w:val="Bibliography"/>
        <w:spacing w:line="240" w:lineRule="auto"/>
        <w:contextualSpacing/>
        <w:rPr>
          <w:rFonts w:ascii="Times" w:hAnsi="Times" w:cs="Calibri"/>
          <w:sz w:val="20"/>
          <w:szCs w:val="20"/>
          <w:lang w:val="en-US"/>
        </w:rPr>
      </w:pPr>
      <w:r w:rsidRPr="00EA339E">
        <w:rPr>
          <w:rFonts w:ascii="Times" w:hAnsi="Times" w:cs="Calibri"/>
          <w:sz w:val="20"/>
          <w:szCs w:val="20"/>
          <w:lang w:val="en-US"/>
        </w:rPr>
        <w:t xml:space="preserve">5. </w:t>
      </w:r>
      <w:r w:rsidRPr="00EA339E">
        <w:rPr>
          <w:rFonts w:ascii="Times" w:hAnsi="Times" w:cs="Calibri"/>
          <w:sz w:val="20"/>
          <w:szCs w:val="20"/>
          <w:lang w:val="en-US"/>
        </w:rPr>
        <w:tab/>
        <w:t xml:space="preserve">Widdifield J, Bernatsky S, Paterson JM, et al. Accuracy of Canadian health administrative databases in identifying patients with rheumatoid arthritis: A validation study using the medical records of rheumatologists. </w:t>
      </w:r>
      <w:r w:rsidRPr="00EA339E">
        <w:rPr>
          <w:rFonts w:ascii="Times" w:hAnsi="Times" w:cs="Calibri"/>
          <w:i/>
          <w:iCs/>
          <w:sz w:val="20"/>
          <w:szCs w:val="20"/>
          <w:lang w:val="en-US"/>
        </w:rPr>
        <w:t>Arthritis Care Res</w:t>
      </w:r>
      <w:r w:rsidRPr="00EA339E">
        <w:rPr>
          <w:rFonts w:ascii="Times" w:hAnsi="Times" w:cs="Calibri"/>
          <w:sz w:val="20"/>
          <w:szCs w:val="20"/>
          <w:lang w:val="en-US"/>
        </w:rPr>
        <w:t>. Published online 2013:n/a-n/a. doi:10.1002/acr.22031</w:t>
      </w:r>
    </w:p>
    <w:p w14:paraId="0359D9D6" w14:textId="77777777" w:rsidR="00EE1AC2" w:rsidRPr="00EA339E" w:rsidRDefault="00EE1AC2" w:rsidP="00EE1AC2">
      <w:pPr>
        <w:pStyle w:val="Bibliography"/>
        <w:spacing w:line="240" w:lineRule="auto"/>
        <w:contextualSpacing/>
        <w:rPr>
          <w:rFonts w:ascii="Times" w:hAnsi="Times" w:cs="Calibri"/>
          <w:sz w:val="20"/>
          <w:szCs w:val="20"/>
          <w:lang w:val="en-US"/>
        </w:rPr>
      </w:pPr>
      <w:r w:rsidRPr="00EA339E">
        <w:rPr>
          <w:rFonts w:ascii="Times" w:hAnsi="Times" w:cs="Calibri"/>
          <w:sz w:val="20"/>
          <w:szCs w:val="20"/>
          <w:lang w:val="en-US"/>
        </w:rPr>
        <w:t xml:space="preserve">6. </w:t>
      </w:r>
      <w:r w:rsidRPr="00EA339E">
        <w:rPr>
          <w:rFonts w:ascii="Times" w:hAnsi="Times" w:cs="Calibri"/>
          <w:sz w:val="20"/>
          <w:szCs w:val="20"/>
          <w:lang w:val="en-US"/>
        </w:rPr>
        <w:tab/>
        <w:t xml:space="preserve">Widdifield J, Bombardier C, Bernatsky S, et al. An administrative data validation study of the accuracy of algorithms for identifying rheumatoid arthritis: the influence of the reference standard on algorithm performance. </w:t>
      </w:r>
      <w:r w:rsidRPr="00EA339E">
        <w:rPr>
          <w:rFonts w:ascii="Times" w:hAnsi="Times" w:cs="Calibri"/>
          <w:i/>
          <w:iCs/>
          <w:sz w:val="20"/>
          <w:szCs w:val="20"/>
          <w:lang w:val="en-US"/>
        </w:rPr>
        <w:t>BMC Musculoskelet Disord</w:t>
      </w:r>
      <w:r w:rsidRPr="00EA339E">
        <w:rPr>
          <w:rFonts w:ascii="Times" w:hAnsi="Times" w:cs="Calibri"/>
          <w:sz w:val="20"/>
          <w:szCs w:val="20"/>
          <w:lang w:val="en-US"/>
        </w:rPr>
        <w:t>. 2014;15(1):216. doi:10.1186/1471-2474-15-216</w:t>
      </w:r>
    </w:p>
    <w:p w14:paraId="290686AA" w14:textId="77777777" w:rsidR="00EE1AC2" w:rsidRPr="00EA339E" w:rsidRDefault="00EE1AC2" w:rsidP="00EE1AC2">
      <w:pPr>
        <w:pStyle w:val="Bibliography"/>
        <w:spacing w:line="240" w:lineRule="auto"/>
        <w:contextualSpacing/>
        <w:rPr>
          <w:rFonts w:ascii="Times" w:hAnsi="Times" w:cs="Calibri"/>
          <w:sz w:val="20"/>
          <w:szCs w:val="20"/>
          <w:lang w:val="en-US"/>
        </w:rPr>
      </w:pPr>
      <w:r w:rsidRPr="00EA339E">
        <w:rPr>
          <w:rFonts w:ascii="Times" w:hAnsi="Times" w:cs="Calibri"/>
          <w:sz w:val="20"/>
          <w:szCs w:val="20"/>
          <w:lang w:val="en-US"/>
        </w:rPr>
        <w:t xml:space="preserve">7. </w:t>
      </w:r>
      <w:r w:rsidRPr="00EA339E">
        <w:rPr>
          <w:rFonts w:ascii="Times" w:hAnsi="Times" w:cs="Calibri"/>
          <w:sz w:val="20"/>
          <w:szCs w:val="20"/>
          <w:lang w:val="en-US"/>
        </w:rPr>
        <w:tab/>
        <w:t xml:space="preserve">Austin PC, Daly PA, Tu JV. A multicenter study of the coding accuracy of hospital discharge administrative data for patients admitted to cardiac care units in Ontario. </w:t>
      </w:r>
      <w:r w:rsidRPr="00EA339E">
        <w:rPr>
          <w:rFonts w:ascii="Times" w:hAnsi="Times" w:cs="Calibri"/>
          <w:i/>
          <w:iCs/>
          <w:sz w:val="20"/>
          <w:szCs w:val="20"/>
          <w:lang w:val="en-US"/>
        </w:rPr>
        <w:t>Am Heart J</w:t>
      </w:r>
      <w:r w:rsidRPr="00EA339E">
        <w:rPr>
          <w:rFonts w:ascii="Times" w:hAnsi="Times" w:cs="Calibri"/>
          <w:sz w:val="20"/>
          <w:szCs w:val="20"/>
          <w:lang w:val="en-US"/>
        </w:rPr>
        <w:t>. 2002;144(2):290-296. doi:10.1067/mhj.2002.123839</w:t>
      </w:r>
    </w:p>
    <w:p w14:paraId="7A68E9C4" w14:textId="77777777" w:rsidR="00EE1AC2" w:rsidRPr="00EA339E" w:rsidRDefault="00EE1AC2" w:rsidP="00EE1AC2">
      <w:pPr>
        <w:pStyle w:val="Bibliography"/>
        <w:spacing w:line="240" w:lineRule="auto"/>
        <w:contextualSpacing/>
        <w:rPr>
          <w:rFonts w:ascii="Times" w:hAnsi="Times" w:cs="Calibri"/>
          <w:sz w:val="20"/>
          <w:szCs w:val="20"/>
          <w:lang w:val="en-US"/>
        </w:rPr>
      </w:pPr>
      <w:r w:rsidRPr="00EA339E">
        <w:rPr>
          <w:rFonts w:ascii="Times" w:hAnsi="Times" w:cs="Calibri"/>
          <w:sz w:val="20"/>
          <w:szCs w:val="20"/>
          <w:lang w:val="en-US"/>
        </w:rPr>
        <w:t xml:space="preserve">8. </w:t>
      </w:r>
      <w:r w:rsidRPr="00EA339E">
        <w:rPr>
          <w:rFonts w:ascii="Times" w:hAnsi="Times" w:cs="Calibri"/>
          <w:sz w:val="20"/>
          <w:szCs w:val="20"/>
          <w:lang w:val="en-US"/>
        </w:rPr>
        <w:tab/>
        <w:t xml:space="preserve">Antoniou T, Zagorski B, Loutfy MR, Strike C, Glazier RH. Validation of Case-Finding Algorithms Derived from Administrative Data for Identifying Adults Living with Human Immunodeficiency Virus Infection. Thiem U, ed. </w:t>
      </w:r>
      <w:r w:rsidRPr="00EA339E">
        <w:rPr>
          <w:rFonts w:ascii="Times" w:hAnsi="Times" w:cs="Calibri"/>
          <w:i/>
          <w:iCs/>
          <w:sz w:val="20"/>
          <w:szCs w:val="20"/>
          <w:lang w:val="en-US"/>
        </w:rPr>
        <w:t>PLoS ONE</w:t>
      </w:r>
      <w:r w:rsidRPr="00EA339E">
        <w:rPr>
          <w:rFonts w:ascii="Times" w:hAnsi="Times" w:cs="Calibri"/>
          <w:sz w:val="20"/>
          <w:szCs w:val="20"/>
          <w:lang w:val="en-US"/>
        </w:rPr>
        <w:t>. 2011;6(6):e21748. doi:10.1371/journal.pone.0021748</w:t>
      </w:r>
    </w:p>
    <w:p w14:paraId="4212B2DB" w14:textId="1820230E" w:rsidR="00F156D4" w:rsidRDefault="00EE1AC2">
      <w:pPr>
        <w:contextualSpacing/>
        <w:rPr>
          <w:rFonts w:ascii="Times" w:hAnsi="Times"/>
          <w:sz w:val="20"/>
          <w:szCs w:val="20"/>
        </w:rPr>
      </w:pPr>
      <w:r w:rsidRPr="00EA339E">
        <w:rPr>
          <w:rFonts w:ascii="Times" w:hAnsi="Times"/>
          <w:sz w:val="20"/>
          <w:szCs w:val="20"/>
        </w:rPr>
        <w:fldChar w:fldCharType="end"/>
      </w:r>
    </w:p>
    <w:p w14:paraId="23ED8ECE" w14:textId="6B8C2995" w:rsidR="00EA339E" w:rsidRDefault="00EA339E">
      <w:pPr>
        <w:contextualSpacing/>
        <w:rPr>
          <w:rFonts w:ascii="Times" w:hAnsi="Times"/>
          <w:bCs/>
          <w:sz w:val="20"/>
          <w:szCs w:val="20"/>
        </w:rPr>
      </w:pPr>
    </w:p>
    <w:p w14:paraId="7B243488" w14:textId="62F0FF0B" w:rsidR="00EA339E" w:rsidRDefault="00EA339E">
      <w:pPr>
        <w:contextualSpacing/>
        <w:rPr>
          <w:rFonts w:ascii="Times" w:hAnsi="Times"/>
          <w:bCs/>
          <w:sz w:val="20"/>
          <w:szCs w:val="20"/>
        </w:rPr>
      </w:pPr>
    </w:p>
    <w:p w14:paraId="52753292" w14:textId="68A9E46F" w:rsidR="00EA339E" w:rsidRDefault="00EA339E">
      <w:pPr>
        <w:contextualSpacing/>
        <w:rPr>
          <w:rFonts w:ascii="Times" w:hAnsi="Times"/>
          <w:bCs/>
          <w:sz w:val="20"/>
          <w:szCs w:val="20"/>
        </w:rPr>
      </w:pPr>
    </w:p>
    <w:p w14:paraId="58AD64C4" w14:textId="0DC8C42F" w:rsidR="00EA339E" w:rsidRDefault="00EA339E">
      <w:pPr>
        <w:contextualSpacing/>
        <w:rPr>
          <w:rFonts w:ascii="Times" w:hAnsi="Times"/>
          <w:bCs/>
          <w:sz w:val="20"/>
          <w:szCs w:val="20"/>
        </w:rPr>
      </w:pPr>
    </w:p>
    <w:p w14:paraId="6A1B0176" w14:textId="2BF566DC" w:rsidR="00EA339E" w:rsidRDefault="00EA339E">
      <w:pPr>
        <w:contextualSpacing/>
        <w:rPr>
          <w:rFonts w:ascii="Times" w:hAnsi="Times"/>
          <w:bCs/>
          <w:sz w:val="20"/>
          <w:szCs w:val="20"/>
        </w:rPr>
      </w:pPr>
    </w:p>
    <w:p w14:paraId="0077C564" w14:textId="081FB68A" w:rsidR="00EA339E" w:rsidRDefault="00EA339E">
      <w:pPr>
        <w:contextualSpacing/>
        <w:rPr>
          <w:rFonts w:ascii="Times" w:hAnsi="Times"/>
          <w:bCs/>
          <w:sz w:val="20"/>
          <w:szCs w:val="20"/>
        </w:rPr>
      </w:pPr>
    </w:p>
    <w:p w14:paraId="43AA8C1F" w14:textId="77777777" w:rsidR="00EA339E" w:rsidRPr="00EE1AC2" w:rsidRDefault="00EA339E">
      <w:pPr>
        <w:contextualSpacing/>
        <w:rPr>
          <w:rFonts w:ascii="Times" w:hAnsi="Times"/>
          <w:bCs/>
        </w:rPr>
      </w:pPr>
    </w:p>
    <w:tbl>
      <w:tblPr>
        <w:tblStyle w:val="TableGrid"/>
        <w:tblW w:w="0" w:type="auto"/>
        <w:tblBorders>
          <w:top w:val="none" w:sz="0" w:space="0" w:color="auto"/>
          <w:left w:val="none" w:sz="0" w:space="0" w:color="auto"/>
          <w:bottom w:val="single" w:sz="12" w:space="0" w:color="000000" w:themeColor="text1"/>
          <w:right w:val="none" w:sz="0" w:space="0" w:color="auto"/>
          <w:insideH w:val="single" w:sz="4" w:space="0" w:color="BFBFBF" w:themeColor="background1" w:themeShade="BF"/>
        </w:tblBorders>
        <w:tblLook w:val="04A0" w:firstRow="1" w:lastRow="0" w:firstColumn="1" w:lastColumn="0" w:noHBand="0" w:noVBand="1"/>
      </w:tblPr>
      <w:tblGrid>
        <w:gridCol w:w="4531"/>
        <w:gridCol w:w="4819"/>
      </w:tblGrid>
      <w:tr w:rsidR="00EA339E" w:rsidRPr="0062072E" w14:paraId="73E3D01B" w14:textId="77777777" w:rsidTr="00840105">
        <w:tc>
          <w:tcPr>
            <w:tcW w:w="9350" w:type="dxa"/>
            <w:gridSpan w:val="2"/>
            <w:tcBorders>
              <w:bottom w:val="single" w:sz="4" w:space="0" w:color="BFBFBF" w:themeColor="background1" w:themeShade="BF"/>
            </w:tcBorders>
            <w:shd w:val="clear" w:color="auto" w:fill="F2F2F2" w:themeFill="background1" w:themeFillShade="F2"/>
          </w:tcPr>
          <w:p w14:paraId="5D7F3367" w14:textId="77777777" w:rsidR="00EA339E" w:rsidRPr="00A9145B" w:rsidRDefault="00EA339E" w:rsidP="00840105">
            <w:pPr>
              <w:pStyle w:val="Heading1"/>
              <w:rPr>
                <w:rFonts w:ascii="Times" w:hAnsi="Times"/>
                <w:sz w:val="20"/>
                <w:szCs w:val="20"/>
              </w:rPr>
            </w:pPr>
            <w:bookmarkStart w:id="1" w:name="_Toc57761048"/>
            <w:bookmarkStart w:id="2" w:name="_Toc96926707"/>
            <w:bookmarkStart w:id="3" w:name="_Toc98675833"/>
            <w:r w:rsidRPr="00A9145B">
              <w:rPr>
                <w:rFonts w:ascii="Times" w:hAnsi="Times"/>
                <w:color w:val="000000" w:themeColor="text1"/>
                <w:sz w:val="20"/>
                <w:szCs w:val="20"/>
              </w:rPr>
              <w:lastRenderedPageBreak/>
              <w:t xml:space="preserve">e-Table 1. </w:t>
            </w:r>
            <w:bookmarkEnd w:id="1"/>
            <w:bookmarkEnd w:id="2"/>
            <w:r w:rsidRPr="00A9145B">
              <w:rPr>
                <w:rFonts w:ascii="Times" w:hAnsi="Times"/>
                <w:color w:val="000000" w:themeColor="text1"/>
                <w:sz w:val="20"/>
                <w:szCs w:val="20"/>
              </w:rPr>
              <w:t>Palliative care and opioid toxicity diagnosis codes</w:t>
            </w:r>
            <w:bookmarkEnd w:id="3"/>
          </w:p>
        </w:tc>
      </w:tr>
      <w:tr w:rsidR="00EA339E" w:rsidRPr="0062072E" w14:paraId="4C213C7C" w14:textId="77777777" w:rsidTr="00840105">
        <w:tc>
          <w:tcPr>
            <w:tcW w:w="45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5B385E9" w14:textId="77777777" w:rsidR="00EA339E" w:rsidRPr="00A9145B" w:rsidRDefault="00EA339E" w:rsidP="00840105">
            <w:pPr>
              <w:rPr>
                <w:rFonts w:ascii="Times" w:hAnsi="Times"/>
                <w:b/>
                <w:bCs/>
                <w:sz w:val="20"/>
                <w:szCs w:val="20"/>
              </w:rPr>
            </w:pPr>
            <w:r w:rsidRPr="00A9145B">
              <w:rPr>
                <w:rFonts w:ascii="Times" w:hAnsi="Times"/>
                <w:b/>
                <w:bCs/>
                <w:sz w:val="20"/>
                <w:szCs w:val="20"/>
              </w:rPr>
              <w:t xml:space="preserve">Database </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324F6E9" w14:textId="77777777" w:rsidR="00EA339E" w:rsidRPr="00A9145B" w:rsidRDefault="00EA339E" w:rsidP="00840105">
            <w:pPr>
              <w:rPr>
                <w:rFonts w:ascii="Times" w:hAnsi="Times"/>
                <w:b/>
                <w:bCs/>
                <w:sz w:val="20"/>
                <w:szCs w:val="20"/>
              </w:rPr>
            </w:pPr>
            <w:r w:rsidRPr="00A9145B">
              <w:rPr>
                <w:rFonts w:ascii="Times" w:hAnsi="Times"/>
                <w:b/>
                <w:bCs/>
                <w:sz w:val="20"/>
                <w:szCs w:val="20"/>
              </w:rPr>
              <w:t>Codes</w:t>
            </w:r>
          </w:p>
        </w:tc>
      </w:tr>
      <w:tr w:rsidR="00EA339E" w:rsidRPr="0062072E" w14:paraId="3243B44B" w14:textId="77777777" w:rsidTr="00840105">
        <w:tc>
          <w:tcPr>
            <w:tcW w:w="9350" w:type="dxa"/>
            <w:gridSpan w:val="2"/>
            <w:tcBorders>
              <w:top w:val="single" w:sz="4" w:space="0" w:color="BFBFBF" w:themeColor="background1" w:themeShade="BF"/>
              <w:bottom w:val="single" w:sz="4" w:space="0" w:color="BFBFBF" w:themeColor="background1" w:themeShade="BF"/>
            </w:tcBorders>
          </w:tcPr>
          <w:p w14:paraId="321A33D8" w14:textId="77777777" w:rsidR="00EA339E" w:rsidRPr="00A9145B" w:rsidRDefault="00EA339E" w:rsidP="00840105">
            <w:pPr>
              <w:rPr>
                <w:rFonts w:ascii="Times" w:hAnsi="Times"/>
                <w:i/>
                <w:iCs/>
                <w:sz w:val="20"/>
                <w:szCs w:val="20"/>
              </w:rPr>
            </w:pPr>
            <w:r w:rsidRPr="00A9145B">
              <w:rPr>
                <w:rFonts w:ascii="Times" w:hAnsi="Times"/>
                <w:i/>
                <w:iCs/>
                <w:sz w:val="20"/>
                <w:szCs w:val="20"/>
              </w:rPr>
              <w:t>Palliative care codes</w:t>
            </w:r>
          </w:p>
        </w:tc>
      </w:tr>
      <w:tr w:rsidR="00EA339E" w:rsidRPr="0062072E" w14:paraId="3C40A256" w14:textId="77777777" w:rsidTr="00840105">
        <w:tc>
          <w:tcPr>
            <w:tcW w:w="45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A687E61" w14:textId="77777777" w:rsidR="00EA339E" w:rsidRPr="00A9145B" w:rsidRDefault="00EA339E" w:rsidP="00840105">
            <w:pPr>
              <w:rPr>
                <w:rFonts w:ascii="Times" w:hAnsi="Times"/>
                <w:sz w:val="20"/>
                <w:szCs w:val="20"/>
              </w:rPr>
            </w:pPr>
            <w:r w:rsidRPr="00A9145B">
              <w:rPr>
                <w:rFonts w:ascii="Times" w:hAnsi="Times"/>
                <w:sz w:val="20"/>
                <w:szCs w:val="20"/>
              </w:rPr>
              <w:t>Ontario Health Insurance Plan Database (OHIP)</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5C546F9" w14:textId="77777777" w:rsidR="00EA339E" w:rsidRPr="00A9145B" w:rsidRDefault="00EA339E" w:rsidP="00840105">
            <w:pPr>
              <w:rPr>
                <w:rFonts w:ascii="Times" w:hAnsi="Times"/>
                <w:sz w:val="20"/>
                <w:szCs w:val="20"/>
              </w:rPr>
            </w:pPr>
            <w:r w:rsidRPr="00A9145B">
              <w:rPr>
                <w:rFonts w:ascii="Times" w:hAnsi="Times"/>
                <w:sz w:val="20"/>
                <w:szCs w:val="20"/>
              </w:rPr>
              <w:t>A945, B998, C945, C882, C982, K023, W872, W882, W972, W982</w:t>
            </w:r>
          </w:p>
        </w:tc>
      </w:tr>
      <w:tr w:rsidR="00EA339E" w:rsidRPr="0062072E" w14:paraId="4B019041" w14:textId="77777777" w:rsidTr="00840105">
        <w:tc>
          <w:tcPr>
            <w:tcW w:w="45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6A09BF4" w14:textId="77777777" w:rsidR="00EA339E" w:rsidRPr="00A9145B" w:rsidRDefault="00EA339E" w:rsidP="00840105">
            <w:pPr>
              <w:rPr>
                <w:rFonts w:ascii="Times" w:hAnsi="Times"/>
                <w:sz w:val="20"/>
                <w:szCs w:val="20"/>
              </w:rPr>
            </w:pPr>
            <w:r w:rsidRPr="00A9145B">
              <w:rPr>
                <w:rFonts w:ascii="Times" w:hAnsi="Times"/>
                <w:sz w:val="20"/>
                <w:szCs w:val="20"/>
              </w:rPr>
              <w:t>CIHI Discharge Abstract Database</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A8BA9E5" w14:textId="77777777" w:rsidR="00EA339E" w:rsidRPr="00A9145B" w:rsidRDefault="00EA339E" w:rsidP="00840105">
            <w:pPr>
              <w:rPr>
                <w:rFonts w:ascii="Times" w:hAnsi="Times"/>
                <w:sz w:val="20"/>
                <w:szCs w:val="20"/>
              </w:rPr>
            </w:pPr>
            <w:r w:rsidRPr="00A9145B">
              <w:rPr>
                <w:rFonts w:ascii="Times" w:hAnsi="Times"/>
                <w:sz w:val="20"/>
                <w:szCs w:val="20"/>
              </w:rPr>
              <w:t>PATSERV=58</w:t>
            </w:r>
          </w:p>
        </w:tc>
      </w:tr>
      <w:tr w:rsidR="00EA339E" w:rsidRPr="0062072E" w14:paraId="4A2FC8D4" w14:textId="77777777" w:rsidTr="00840105">
        <w:tc>
          <w:tcPr>
            <w:tcW w:w="9350" w:type="dxa"/>
            <w:gridSpan w:val="2"/>
            <w:tcBorders>
              <w:top w:val="single" w:sz="4" w:space="0" w:color="BFBFBF" w:themeColor="background1" w:themeShade="BF"/>
              <w:bottom w:val="single" w:sz="4" w:space="0" w:color="BFBFBF" w:themeColor="background1" w:themeShade="BF"/>
            </w:tcBorders>
            <w:vAlign w:val="center"/>
          </w:tcPr>
          <w:p w14:paraId="1607F431" w14:textId="77777777" w:rsidR="00EA339E" w:rsidRPr="00A9145B" w:rsidRDefault="00EA339E" w:rsidP="00840105">
            <w:pPr>
              <w:rPr>
                <w:rFonts w:ascii="Times" w:hAnsi="Times"/>
                <w:i/>
                <w:iCs/>
                <w:sz w:val="20"/>
                <w:szCs w:val="20"/>
              </w:rPr>
            </w:pPr>
            <w:r w:rsidRPr="00A9145B">
              <w:rPr>
                <w:rFonts w:ascii="Times" w:hAnsi="Times"/>
                <w:i/>
                <w:iCs/>
                <w:sz w:val="20"/>
                <w:szCs w:val="20"/>
              </w:rPr>
              <w:t>Opioid toxicity codes</w:t>
            </w:r>
          </w:p>
        </w:tc>
      </w:tr>
      <w:tr w:rsidR="00EA339E" w:rsidRPr="0062072E" w14:paraId="6966D97D" w14:textId="77777777" w:rsidTr="00840105">
        <w:tc>
          <w:tcPr>
            <w:tcW w:w="45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6383C5E" w14:textId="77777777" w:rsidR="00EA339E" w:rsidRPr="00A9145B" w:rsidRDefault="00EA339E" w:rsidP="00840105">
            <w:pPr>
              <w:rPr>
                <w:rFonts w:ascii="Times" w:hAnsi="Times"/>
                <w:sz w:val="20"/>
                <w:szCs w:val="20"/>
              </w:rPr>
            </w:pPr>
            <w:r w:rsidRPr="00A9145B">
              <w:rPr>
                <w:rFonts w:ascii="Times" w:hAnsi="Times"/>
                <w:sz w:val="20"/>
                <w:szCs w:val="20"/>
              </w:rPr>
              <w:t>CIHI Discharge Abstract Database</w:t>
            </w:r>
          </w:p>
          <w:p w14:paraId="5670A356" w14:textId="77777777" w:rsidR="00EA339E" w:rsidRPr="00A9145B" w:rsidRDefault="00EA339E" w:rsidP="00840105">
            <w:pPr>
              <w:rPr>
                <w:rFonts w:ascii="Times" w:hAnsi="Times"/>
                <w:sz w:val="20"/>
                <w:szCs w:val="20"/>
              </w:rPr>
            </w:pPr>
            <w:r w:rsidRPr="00A9145B">
              <w:rPr>
                <w:rFonts w:ascii="Times" w:hAnsi="Times"/>
                <w:sz w:val="20"/>
                <w:szCs w:val="20"/>
              </w:rPr>
              <w:t>CIHI National Ambulatory Care Reporting System</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36F522" w14:textId="77777777" w:rsidR="00EA339E" w:rsidRPr="00A9145B" w:rsidRDefault="00EA339E" w:rsidP="00840105">
            <w:pPr>
              <w:rPr>
                <w:rFonts w:ascii="Times" w:hAnsi="Times"/>
                <w:sz w:val="20"/>
                <w:szCs w:val="20"/>
              </w:rPr>
            </w:pPr>
            <w:r w:rsidRPr="00A9145B">
              <w:rPr>
                <w:rFonts w:ascii="Times" w:hAnsi="Times"/>
                <w:sz w:val="20"/>
                <w:szCs w:val="20"/>
              </w:rPr>
              <w:t xml:space="preserve">ICD-10: T40.0, T40.1, T40.2, T40.3, T40.6, </w:t>
            </w:r>
          </w:p>
        </w:tc>
      </w:tr>
      <w:tr w:rsidR="00EA339E" w:rsidRPr="0062072E" w14:paraId="2551CE03" w14:textId="77777777" w:rsidTr="00840105">
        <w:tc>
          <w:tcPr>
            <w:tcW w:w="4531" w:type="dxa"/>
            <w:tcBorders>
              <w:top w:val="single" w:sz="4" w:space="0" w:color="BFBFBF" w:themeColor="background1" w:themeShade="BF"/>
              <w:bottom w:val="single" w:sz="12" w:space="0" w:color="000000" w:themeColor="text1"/>
              <w:right w:val="single" w:sz="4" w:space="0" w:color="BFBFBF" w:themeColor="background1" w:themeShade="BF"/>
            </w:tcBorders>
          </w:tcPr>
          <w:p w14:paraId="29B27CD5" w14:textId="77777777" w:rsidR="00EA339E" w:rsidRPr="00A9145B" w:rsidRDefault="00EA339E" w:rsidP="00840105">
            <w:pPr>
              <w:rPr>
                <w:rFonts w:ascii="Times" w:hAnsi="Times"/>
                <w:sz w:val="20"/>
                <w:szCs w:val="20"/>
              </w:rPr>
            </w:pPr>
            <w:r w:rsidRPr="00A9145B">
              <w:rPr>
                <w:rFonts w:ascii="Times" w:hAnsi="Times"/>
                <w:bCs/>
                <w:sz w:val="20"/>
                <w:szCs w:val="20"/>
              </w:rPr>
              <w:t>Drug and Drug/Alcohol Related Death database</w:t>
            </w:r>
          </w:p>
        </w:tc>
        <w:tc>
          <w:tcPr>
            <w:tcW w:w="4819" w:type="dxa"/>
            <w:tcBorders>
              <w:top w:val="single" w:sz="4" w:space="0" w:color="BFBFBF" w:themeColor="background1" w:themeShade="BF"/>
              <w:left w:val="single" w:sz="4" w:space="0" w:color="BFBFBF" w:themeColor="background1" w:themeShade="BF"/>
              <w:bottom w:val="single" w:sz="12" w:space="0" w:color="000000" w:themeColor="text1"/>
            </w:tcBorders>
          </w:tcPr>
          <w:p w14:paraId="3F6BCAD9" w14:textId="77777777" w:rsidR="00EA339E" w:rsidRPr="00A9145B" w:rsidRDefault="00EA339E" w:rsidP="00840105">
            <w:pPr>
              <w:rPr>
                <w:rFonts w:ascii="Times" w:hAnsi="Times"/>
                <w:sz w:val="20"/>
                <w:szCs w:val="20"/>
              </w:rPr>
            </w:pPr>
            <w:r w:rsidRPr="00A9145B">
              <w:rPr>
                <w:rFonts w:ascii="Times" w:hAnsi="Times"/>
                <w:sz w:val="20"/>
                <w:szCs w:val="20"/>
              </w:rPr>
              <w:t>Opioid-related death</w:t>
            </w:r>
          </w:p>
        </w:tc>
      </w:tr>
    </w:tbl>
    <w:p w14:paraId="76849DFB" w14:textId="58ADAF87" w:rsidR="00D742D4" w:rsidRDefault="00D742D4"/>
    <w:p w14:paraId="0AC95C99" w14:textId="1C42DC4E" w:rsidR="00D742D4" w:rsidRDefault="00D742D4"/>
    <w:p w14:paraId="4C0A670A" w14:textId="77777777" w:rsidR="00D742D4" w:rsidRDefault="00D742D4"/>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475"/>
        <w:gridCol w:w="8322"/>
      </w:tblGrid>
      <w:tr w:rsidR="002876D4" w:rsidRPr="009F28F9" w14:paraId="1D58C09A" w14:textId="77777777" w:rsidTr="00301992">
        <w:trPr>
          <w:trHeight w:val="562"/>
        </w:trPr>
        <w:tc>
          <w:tcPr>
            <w:tcW w:w="12594" w:type="dxa"/>
            <w:gridSpan w:val="2"/>
            <w:tcBorders>
              <w:top w:val="nil"/>
              <w:bottom w:val="nil"/>
            </w:tcBorders>
            <w:shd w:val="clear" w:color="auto" w:fill="F2F2F2" w:themeFill="background1" w:themeFillShade="F2"/>
          </w:tcPr>
          <w:p w14:paraId="17B49154" w14:textId="77777777" w:rsidR="002876D4" w:rsidRDefault="002876D4" w:rsidP="002876D4">
            <w:pPr>
              <w:pStyle w:val="Heading1"/>
              <w:rPr>
                <w:rFonts w:ascii="Times" w:hAnsi="Times"/>
                <w:color w:val="000000" w:themeColor="text1"/>
                <w:sz w:val="20"/>
                <w:szCs w:val="20"/>
              </w:rPr>
            </w:pPr>
            <w:bookmarkStart w:id="4" w:name="_Toc57761049"/>
            <w:bookmarkStart w:id="5" w:name="_Toc98675834"/>
            <w:r w:rsidRPr="009F28F9">
              <w:rPr>
                <w:rFonts w:ascii="Times" w:hAnsi="Times"/>
                <w:b/>
                <w:bCs/>
                <w:color w:val="000000" w:themeColor="text1"/>
                <w:sz w:val="20"/>
                <w:szCs w:val="20"/>
              </w:rPr>
              <w:t xml:space="preserve">e-Table </w:t>
            </w:r>
            <w:r w:rsidR="00D742D4" w:rsidRPr="009F28F9">
              <w:rPr>
                <w:rFonts w:ascii="Times" w:hAnsi="Times"/>
                <w:b/>
                <w:bCs/>
                <w:color w:val="000000" w:themeColor="text1"/>
                <w:sz w:val="20"/>
                <w:szCs w:val="20"/>
              </w:rPr>
              <w:t>2</w:t>
            </w:r>
            <w:r w:rsidRPr="009F28F9">
              <w:rPr>
                <w:rFonts w:ascii="Times" w:hAnsi="Times"/>
                <w:b/>
                <w:bCs/>
                <w:color w:val="000000" w:themeColor="text1"/>
                <w:sz w:val="20"/>
                <w:szCs w:val="20"/>
              </w:rPr>
              <w:t>.</w:t>
            </w:r>
            <w:r w:rsidRPr="009F28F9">
              <w:rPr>
                <w:rFonts w:ascii="Times" w:hAnsi="Times"/>
                <w:color w:val="000000" w:themeColor="text1"/>
                <w:sz w:val="20"/>
                <w:szCs w:val="20"/>
              </w:rPr>
              <w:t xml:space="preserve"> </w:t>
            </w:r>
            <w:bookmarkEnd w:id="4"/>
            <w:r w:rsidRPr="009F28F9">
              <w:rPr>
                <w:rFonts w:ascii="Times" w:hAnsi="Times"/>
                <w:color w:val="000000" w:themeColor="text1"/>
                <w:sz w:val="20"/>
                <w:szCs w:val="20"/>
              </w:rPr>
              <w:t>Diagnosis codes</w:t>
            </w:r>
            <w:r w:rsidR="00E915A0" w:rsidRPr="009F28F9">
              <w:rPr>
                <w:rFonts w:ascii="Times" w:hAnsi="Times"/>
                <w:color w:val="000000" w:themeColor="text1"/>
                <w:sz w:val="20"/>
                <w:szCs w:val="20"/>
              </w:rPr>
              <w:t xml:space="preserve"> </w:t>
            </w:r>
            <w:r w:rsidR="009F28F9" w:rsidRPr="009F28F9">
              <w:rPr>
                <w:rFonts w:ascii="Times" w:hAnsi="Times"/>
                <w:color w:val="000000" w:themeColor="text1"/>
                <w:sz w:val="20"/>
                <w:szCs w:val="20"/>
              </w:rPr>
              <w:t>related to developmental disabilities from the International Classification of Diseases (ICD), 9</w:t>
            </w:r>
            <w:r w:rsidR="009F28F9" w:rsidRPr="009F28F9">
              <w:rPr>
                <w:rFonts w:ascii="Times" w:hAnsi="Times"/>
                <w:color w:val="000000" w:themeColor="text1"/>
                <w:sz w:val="20"/>
                <w:szCs w:val="20"/>
                <w:vertAlign w:val="superscript"/>
              </w:rPr>
              <w:t>th</w:t>
            </w:r>
            <w:r w:rsidR="009F28F9" w:rsidRPr="009F28F9">
              <w:rPr>
                <w:rFonts w:ascii="Times" w:hAnsi="Times"/>
                <w:color w:val="000000" w:themeColor="text1"/>
                <w:sz w:val="20"/>
                <w:szCs w:val="20"/>
              </w:rPr>
              <w:t xml:space="preserve"> and 10</w:t>
            </w:r>
            <w:r w:rsidR="009F28F9" w:rsidRPr="009F28F9">
              <w:rPr>
                <w:rFonts w:ascii="Times" w:hAnsi="Times"/>
                <w:color w:val="000000" w:themeColor="text1"/>
                <w:sz w:val="20"/>
                <w:szCs w:val="20"/>
                <w:vertAlign w:val="superscript"/>
              </w:rPr>
              <w:t>th</w:t>
            </w:r>
            <w:r w:rsidR="009F28F9" w:rsidRPr="009F28F9">
              <w:rPr>
                <w:rFonts w:ascii="Times" w:hAnsi="Times"/>
                <w:color w:val="000000" w:themeColor="text1"/>
                <w:sz w:val="20"/>
                <w:szCs w:val="20"/>
              </w:rPr>
              <w:t xml:space="preserve"> editions, used to identify cohort of adults with IDD</w:t>
            </w:r>
            <w:bookmarkEnd w:id="5"/>
          </w:p>
          <w:p w14:paraId="16503047" w14:textId="32238510" w:rsidR="0062072E" w:rsidRPr="0062072E" w:rsidRDefault="0062072E" w:rsidP="0062072E"/>
        </w:tc>
      </w:tr>
      <w:tr w:rsidR="009F28F9" w:rsidRPr="009F28F9" w14:paraId="0330E131" w14:textId="77777777" w:rsidTr="00301992">
        <w:trPr>
          <w:trHeight w:val="91"/>
        </w:trPr>
        <w:tc>
          <w:tcPr>
            <w:tcW w:w="1701" w:type="dxa"/>
            <w:tcBorders>
              <w:top w:val="nil"/>
              <w:bottom w:val="single" w:sz="4" w:space="0" w:color="BFBFBF" w:themeColor="background1" w:themeShade="BF"/>
              <w:right w:val="single" w:sz="12" w:space="0" w:color="D9D9D9" w:themeColor="background1" w:themeShade="D9"/>
            </w:tcBorders>
            <w:vAlign w:val="center"/>
          </w:tcPr>
          <w:p w14:paraId="574B0F37" w14:textId="7D182630" w:rsidR="009F28F9" w:rsidRPr="009F28F9" w:rsidRDefault="009F28F9" w:rsidP="00E915A0">
            <w:pPr>
              <w:jc w:val="center"/>
              <w:rPr>
                <w:rFonts w:ascii="Times" w:hAnsi="Times"/>
                <w:b/>
                <w:bCs/>
                <w:sz w:val="20"/>
                <w:szCs w:val="20"/>
              </w:rPr>
            </w:pPr>
            <w:r w:rsidRPr="009F28F9">
              <w:rPr>
                <w:rFonts w:ascii="Times" w:hAnsi="Times"/>
                <w:b/>
                <w:bCs/>
                <w:sz w:val="20"/>
                <w:szCs w:val="20"/>
              </w:rPr>
              <w:t>Code</w:t>
            </w:r>
          </w:p>
        </w:tc>
        <w:tc>
          <w:tcPr>
            <w:tcW w:w="10893" w:type="dxa"/>
            <w:tcBorders>
              <w:top w:val="nil"/>
              <w:left w:val="single" w:sz="12" w:space="0" w:color="D9D9D9" w:themeColor="background1" w:themeShade="D9"/>
              <w:bottom w:val="single" w:sz="4" w:space="0" w:color="BFBFBF" w:themeColor="background1" w:themeShade="BF"/>
            </w:tcBorders>
            <w:vAlign w:val="center"/>
          </w:tcPr>
          <w:p w14:paraId="18EE25E7" w14:textId="35BFB187" w:rsidR="009F28F9" w:rsidRPr="009F28F9" w:rsidRDefault="009F28F9" w:rsidP="009F28F9">
            <w:pPr>
              <w:rPr>
                <w:rFonts w:ascii="Times" w:hAnsi="Times"/>
                <w:b/>
                <w:bCs/>
                <w:sz w:val="20"/>
                <w:szCs w:val="20"/>
              </w:rPr>
            </w:pPr>
            <w:r w:rsidRPr="009F28F9">
              <w:rPr>
                <w:rFonts w:ascii="Times" w:hAnsi="Times"/>
                <w:b/>
                <w:bCs/>
                <w:sz w:val="20"/>
                <w:szCs w:val="20"/>
              </w:rPr>
              <w:t>Description</w:t>
            </w:r>
          </w:p>
        </w:tc>
      </w:tr>
      <w:tr w:rsidR="009F28F9" w:rsidRPr="009F28F9" w14:paraId="19734633" w14:textId="77777777" w:rsidTr="00301992">
        <w:trPr>
          <w:trHeight w:val="14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shd w:val="clear" w:color="auto" w:fill="F2F2F2" w:themeFill="background1" w:themeFillShade="F2"/>
            <w:vAlign w:val="center"/>
          </w:tcPr>
          <w:p w14:paraId="4DA2B0F2" w14:textId="2B6D647E" w:rsidR="009F28F9" w:rsidRPr="009F28F9" w:rsidRDefault="009F28F9" w:rsidP="00E915A0">
            <w:pPr>
              <w:jc w:val="center"/>
              <w:rPr>
                <w:rFonts w:ascii="Times" w:hAnsi="Times"/>
                <w:i/>
                <w:iCs/>
                <w:sz w:val="20"/>
                <w:szCs w:val="20"/>
              </w:rPr>
            </w:pPr>
            <w:r w:rsidRPr="009F28F9">
              <w:rPr>
                <w:rFonts w:ascii="Times" w:hAnsi="Times"/>
                <w:i/>
                <w:iCs/>
                <w:sz w:val="20"/>
                <w:szCs w:val="20"/>
              </w:rPr>
              <w:t>ICD-9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shd w:val="clear" w:color="auto" w:fill="F2F2F2" w:themeFill="background1" w:themeFillShade="F2"/>
            <w:vAlign w:val="center"/>
          </w:tcPr>
          <w:p w14:paraId="2A4E5082" w14:textId="193962E5" w:rsidR="009F28F9" w:rsidRPr="009F28F9" w:rsidRDefault="009F28F9" w:rsidP="00E915A0">
            <w:pPr>
              <w:rPr>
                <w:rFonts w:ascii="Times" w:hAnsi="Times"/>
                <w:i/>
                <w:iCs/>
                <w:sz w:val="20"/>
                <w:szCs w:val="20"/>
              </w:rPr>
            </w:pPr>
          </w:p>
        </w:tc>
      </w:tr>
      <w:tr w:rsidR="009F28F9" w:rsidRPr="009F28F9" w14:paraId="078121BA" w14:textId="77777777" w:rsidTr="00301992">
        <w:trPr>
          <w:trHeight w:val="187"/>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6CFBEC6B" w14:textId="3DCE77B8" w:rsidR="009F28F9" w:rsidRPr="009F28F9" w:rsidRDefault="009F28F9" w:rsidP="009F28F9">
            <w:pPr>
              <w:jc w:val="center"/>
              <w:rPr>
                <w:rFonts w:ascii="Times" w:hAnsi="Times"/>
                <w:sz w:val="20"/>
                <w:szCs w:val="20"/>
              </w:rPr>
            </w:pPr>
            <w:r w:rsidRPr="009F28F9">
              <w:rPr>
                <w:rFonts w:ascii="Times" w:hAnsi="Times" w:cs="Calibri"/>
                <w:sz w:val="20"/>
                <w:szCs w:val="20"/>
              </w:rPr>
              <w:t>299 - 299.99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65F1C78C" w14:textId="34D391A8" w:rsidR="009F28F9" w:rsidRPr="009F28F9" w:rsidRDefault="009F28F9" w:rsidP="009F28F9">
            <w:pPr>
              <w:rPr>
                <w:rFonts w:ascii="Times" w:hAnsi="Times"/>
                <w:sz w:val="20"/>
                <w:szCs w:val="20"/>
              </w:rPr>
            </w:pPr>
            <w:r w:rsidRPr="009F28F9">
              <w:rPr>
                <w:rFonts w:ascii="Times" w:hAnsi="Times" w:cs="Calibri"/>
                <w:sz w:val="20"/>
                <w:szCs w:val="20"/>
              </w:rPr>
              <w:t>Pervasive developmental disorders (</w:t>
            </w:r>
            <w:proofErr w:type="spellStart"/>
            <w:r w:rsidRPr="009F28F9">
              <w:rPr>
                <w:rFonts w:ascii="Times" w:hAnsi="Times" w:cs="Calibri"/>
                <w:sz w:val="20"/>
                <w:szCs w:val="20"/>
              </w:rPr>
              <w:t>eg.</w:t>
            </w:r>
            <w:proofErr w:type="spellEnd"/>
            <w:r w:rsidRPr="009F28F9">
              <w:rPr>
                <w:rFonts w:ascii="Times" w:hAnsi="Times" w:cs="Calibri"/>
                <w:sz w:val="20"/>
                <w:szCs w:val="20"/>
              </w:rPr>
              <w:t xml:space="preserve"> autism)</w:t>
            </w:r>
          </w:p>
        </w:tc>
      </w:tr>
      <w:tr w:rsidR="009F28F9" w:rsidRPr="009F28F9" w14:paraId="3F7A20E2" w14:textId="77777777" w:rsidTr="00301992">
        <w:trPr>
          <w:trHeight w:val="9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7F56EBCB" w14:textId="33879C45" w:rsidR="009F28F9" w:rsidRPr="009F28F9" w:rsidRDefault="009F28F9" w:rsidP="009F28F9">
            <w:pPr>
              <w:jc w:val="center"/>
              <w:rPr>
                <w:rFonts w:ascii="Times" w:hAnsi="Times"/>
                <w:sz w:val="20"/>
                <w:szCs w:val="20"/>
              </w:rPr>
            </w:pPr>
            <w:r w:rsidRPr="009F28F9">
              <w:rPr>
                <w:rFonts w:ascii="Times" w:hAnsi="Times" w:cs="Calibri"/>
                <w:sz w:val="20"/>
                <w:szCs w:val="20"/>
              </w:rPr>
              <w:t>317 - 317.99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685FD4F8" w14:textId="7482CC6B" w:rsidR="009F28F9" w:rsidRPr="009F28F9" w:rsidRDefault="009F28F9" w:rsidP="009F28F9">
            <w:pPr>
              <w:rPr>
                <w:rFonts w:ascii="Times" w:hAnsi="Times"/>
                <w:sz w:val="20"/>
                <w:szCs w:val="20"/>
              </w:rPr>
            </w:pPr>
            <w:r w:rsidRPr="009F28F9">
              <w:rPr>
                <w:rFonts w:ascii="Times" w:hAnsi="Times" w:cs="Calibri"/>
                <w:sz w:val="20"/>
                <w:szCs w:val="20"/>
              </w:rPr>
              <w:t>Mental retardation</w:t>
            </w:r>
          </w:p>
        </w:tc>
      </w:tr>
      <w:tr w:rsidR="009F28F9" w:rsidRPr="009F28F9" w14:paraId="3169E3F9" w14:textId="77777777" w:rsidTr="00301992">
        <w:trPr>
          <w:trHeight w:val="124"/>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37DCCA39" w14:textId="58E91E67" w:rsidR="009F28F9" w:rsidRPr="009F28F9" w:rsidRDefault="009F28F9" w:rsidP="009F28F9">
            <w:pPr>
              <w:jc w:val="center"/>
              <w:rPr>
                <w:rFonts w:ascii="Times" w:hAnsi="Times"/>
                <w:sz w:val="20"/>
                <w:szCs w:val="20"/>
              </w:rPr>
            </w:pPr>
            <w:r w:rsidRPr="009F28F9">
              <w:rPr>
                <w:rFonts w:ascii="Times" w:hAnsi="Times" w:cs="Calibri"/>
                <w:sz w:val="20"/>
                <w:szCs w:val="20"/>
              </w:rPr>
              <w:t>318 - 318.99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2C46C114" w14:textId="0240473D" w:rsidR="009F28F9" w:rsidRPr="009F28F9" w:rsidRDefault="009F28F9" w:rsidP="009F28F9">
            <w:pPr>
              <w:rPr>
                <w:rFonts w:ascii="Times" w:hAnsi="Times"/>
                <w:sz w:val="20"/>
                <w:szCs w:val="20"/>
              </w:rPr>
            </w:pPr>
            <w:r w:rsidRPr="009F28F9">
              <w:rPr>
                <w:rFonts w:ascii="Times" w:hAnsi="Times" w:cs="Calibri"/>
                <w:sz w:val="20"/>
                <w:szCs w:val="20"/>
              </w:rPr>
              <w:t>Mental retardation</w:t>
            </w:r>
          </w:p>
        </w:tc>
      </w:tr>
      <w:tr w:rsidR="009F28F9" w:rsidRPr="009F28F9" w14:paraId="1DDF60A5"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13A15110" w14:textId="76F99F43" w:rsidR="009F28F9" w:rsidRPr="009F28F9" w:rsidRDefault="009F28F9" w:rsidP="009F28F9">
            <w:pPr>
              <w:jc w:val="center"/>
              <w:rPr>
                <w:rFonts w:ascii="Times" w:hAnsi="Times"/>
                <w:sz w:val="20"/>
                <w:szCs w:val="20"/>
              </w:rPr>
            </w:pPr>
            <w:r w:rsidRPr="009F28F9">
              <w:rPr>
                <w:rFonts w:ascii="Times" w:hAnsi="Times" w:cs="Calibri"/>
                <w:sz w:val="20"/>
                <w:szCs w:val="20"/>
              </w:rPr>
              <w:t>319 - 319.99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2EAF8072" w14:textId="615FBEB5" w:rsidR="009F28F9" w:rsidRPr="009F28F9" w:rsidRDefault="009F28F9" w:rsidP="009F28F9">
            <w:pPr>
              <w:rPr>
                <w:rFonts w:ascii="Times" w:hAnsi="Times"/>
                <w:sz w:val="20"/>
                <w:szCs w:val="20"/>
              </w:rPr>
            </w:pPr>
            <w:r w:rsidRPr="009F28F9">
              <w:rPr>
                <w:rFonts w:ascii="Times" w:hAnsi="Times" w:cs="Calibri"/>
                <w:sz w:val="20"/>
                <w:szCs w:val="20"/>
              </w:rPr>
              <w:t>Mental retardation</w:t>
            </w:r>
          </w:p>
        </w:tc>
      </w:tr>
      <w:tr w:rsidR="009F28F9" w:rsidRPr="009F28F9" w14:paraId="1432B96D" w14:textId="77777777" w:rsidTr="00301992">
        <w:trPr>
          <w:trHeight w:val="74"/>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35E71855" w14:textId="31240FC7" w:rsidR="009F28F9" w:rsidRPr="009F28F9" w:rsidRDefault="009F28F9" w:rsidP="009F28F9">
            <w:pPr>
              <w:jc w:val="center"/>
              <w:rPr>
                <w:rFonts w:ascii="Times" w:hAnsi="Times"/>
                <w:sz w:val="20"/>
                <w:szCs w:val="20"/>
              </w:rPr>
            </w:pPr>
            <w:r w:rsidRPr="009F28F9">
              <w:rPr>
                <w:rFonts w:ascii="Times" w:hAnsi="Times" w:cs="Calibri"/>
                <w:sz w:val="20"/>
                <w:szCs w:val="20"/>
              </w:rPr>
              <w:t>758.0 - 758.39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7D9D3CCE" w14:textId="4F7E1FF5" w:rsidR="009F28F9" w:rsidRPr="009F28F9" w:rsidRDefault="009F28F9" w:rsidP="009F28F9">
            <w:pPr>
              <w:rPr>
                <w:rFonts w:ascii="Times" w:hAnsi="Times"/>
                <w:sz w:val="20"/>
                <w:szCs w:val="20"/>
              </w:rPr>
            </w:pPr>
            <w:r w:rsidRPr="009F28F9">
              <w:rPr>
                <w:rFonts w:ascii="Times" w:hAnsi="Times" w:cs="Calibri"/>
                <w:sz w:val="20"/>
                <w:szCs w:val="20"/>
              </w:rPr>
              <w:t>Chromosomal anomalies for which a developmental disability is typically present</w:t>
            </w:r>
          </w:p>
        </w:tc>
      </w:tr>
      <w:tr w:rsidR="009F28F9" w:rsidRPr="009F28F9" w14:paraId="408B7E73" w14:textId="77777777" w:rsidTr="00301992">
        <w:trPr>
          <w:trHeight w:val="119"/>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298AF3C5" w14:textId="349CCB9A" w:rsidR="009F28F9" w:rsidRPr="009F28F9" w:rsidRDefault="009F28F9" w:rsidP="009F28F9">
            <w:pPr>
              <w:jc w:val="center"/>
              <w:rPr>
                <w:rFonts w:ascii="Times" w:hAnsi="Times"/>
                <w:sz w:val="20"/>
                <w:szCs w:val="20"/>
              </w:rPr>
            </w:pPr>
            <w:r w:rsidRPr="009F28F9">
              <w:rPr>
                <w:rFonts w:ascii="Times" w:hAnsi="Times" w:cs="Calibri"/>
                <w:sz w:val="20"/>
                <w:szCs w:val="20"/>
              </w:rPr>
              <w:t>758.5</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52B68EA7" w14:textId="7E3BA55D" w:rsidR="009F28F9" w:rsidRPr="009F28F9" w:rsidRDefault="009F28F9" w:rsidP="009F28F9">
            <w:pPr>
              <w:rPr>
                <w:rFonts w:ascii="Times" w:hAnsi="Times"/>
                <w:sz w:val="20"/>
                <w:szCs w:val="20"/>
              </w:rPr>
            </w:pPr>
            <w:r w:rsidRPr="009F28F9">
              <w:rPr>
                <w:rFonts w:ascii="Times" w:hAnsi="Times" w:cs="Calibri"/>
                <w:sz w:val="20"/>
                <w:szCs w:val="20"/>
              </w:rPr>
              <w:t>Other conditions due to autosomal anomalies</w:t>
            </w:r>
          </w:p>
        </w:tc>
      </w:tr>
      <w:tr w:rsidR="009F28F9" w:rsidRPr="009F28F9" w14:paraId="1233D771"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303B51A2" w14:textId="5143D97E" w:rsidR="009F28F9" w:rsidRPr="009F28F9" w:rsidRDefault="009F28F9" w:rsidP="009F28F9">
            <w:pPr>
              <w:jc w:val="center"/>
              <w:rPr>
                <w:rFonts w:ascii="Times" w:hAnsi="Times"/>
                <w:sz w:val="20"/>
                <w:szCs w:val="20"/>
              </w:rPr>
            </w:pPr>
            <w:r w:rsidRPr="009F28F9">
              <w:rPr>
                <w:rFonts w:ascii="Times" w:hAnsi="Times" w:cs="Calibri"/>
                <w:sz w:val="20"/>
                <w:szCs w:val="20"/>
              </w:rPr>
              <w:t>758.8, 758.89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6EB789F1" w14:textId="32FBA897" w:rsidR="009F28F9" w:rsidRPr="009F28F9" w:rsidRDefault="009F28F9" w:rsidP="009F28F9">
            <w:pPr>
              <w:rPr>
                <w:rFonts w:ascii="Times" w:hAnsi="Times"/>
                <w:sz w:val="20"/>
                <w:szCs w:val="20"/>
              </w:rPr>
            </w:pPr>
            <w:r w:rsidRPr="009F28F9">
              <w:rPr>
                <w:rFonts w:ascii="Times" w:hAnsi="Times" w:cs="Calibri"/>
                <w:sz w:val="20"/>
                <w:szCs w:val="20"/>
              </w:rPr>
              <w:t>Other conditions due to chromosome anomalies (do not include 758.81)</w:t>
            </w:r>
          </w:p>
        </w:tc>
      </w:tr>
      <w:tr w:rsidR="009F28F9" w:rsidRPr="009F28F9" w14:paraId="3DC726CF" w14:textId="77777777" w:rsidTr="00301992">
        <w:trPr>
          <w:trHeight w:val="69"/>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396722C1" w14:textId="7B7F7F52" w:rsidR="009F28F9" w:rsidRPr="009F28F9" w:rsidRDefault="009F28F9" w:rsidP="009F28F9">
            <w:pPr>
              <w:jc w:val="center"/>
              <w:rPr>
                <w:rFonts w:ascii="Times" w:hAnsi="Times"/>
                <w:sz w:val="20"/>
                <w:szCs w:val="20"/>
              </w:rPr>
            </w:pPr>
            <w:r w:rsidRPr="009F28F9">
              <w:rPr>
                <w:rFonts w:ascii="Times" w:hAnsi="Times" w:cs="Calibri"/>
                <w:sz w:val="20"/>
                <w:szCs w:val="20"/>
              </w:rPr>
              <w:t>758.9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44AD0C8C" w14:textId="65445E27" w:rsidR="009F28F9" w:rsidRPr="009F28F9" w:rsidRDefault="009F28F9" w:rsidP="009F28F9">
            <w:pPr>
              <w:rPr>
                <w:rFonts w:ascii="Times" w:hAnsi="Times"/>
                <w:sz w:val="20"/>
                <w:szCs w:val="20"/>
              </w:rPr>
            </w:pPr>
            <w:r w:rsidRPr="009F28F9">
              <w:rPr>
                <w:rFonts w:ascii="Times" w:hAnsi="Times" w:cs="Calibri"/>
                <w:sz w:val="20"/>
                <w:szCs w:val="20"/>
              </w:rPr>
              <w:t>Conditions due to anomaly of unspecified chromosome</w:t>
            </w:r>
          </w:p>
        </w:tc>
      </w:tr>
      <w:tr w:rsidR="009F28F9" w:rsidRPr="009F28F9" w14:paraId="0E76FF26" w14:textId="77777777" w:rsidTr="00301992">
        <w:trPr>
          <w:trHeight w:val="10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7D4CAC54" w14:textId="0ADCF7A1" w:rsidR="009F28F9" w:rsidRPr="009F28F9" w:rsidRDefault="009F28F9" w:rsidP="009F28F9">
            <w:pPr>
              <w:jc w:val="center"/>
              <w:rPr>
                <w:rFonts w:ascii="Times" w:hAnsi="Times"/>
                <w:sz w:val="20"/>
                <w:szCs w:val="20"/>
              </w:rPr>
            </w:pPr>
            <w:r w:rsidRPr="009F28F9">
              <w:rPr>
                <w:rFonts w:ascii="Times" w:hAnsi="Times" w:cs="Calibri"/>
                <w:sz w:val="20"/>
                <w:szCs w:val="20"/>
              </w:rPr>
              <w:t>759.5</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017C0922" w14:textId="5A149FD2" w:rsidR="009F28F9" w:rsidRPr="009F28F9" w:rsidRDefault="009F28F9" w:rsidP="009F28F9">
            <w:pPr>
              <w:rPr>
                <w:rFonts w:ascii="Times" w:hAnsi="Times"/>
                <w:sz w:val="20"/>
                <w:szCs w:val="20"/>
              </w:rPr>
            </w:pPr>
            <w:r w:rsidRPr="009F28F9">
              <w:rPr>
                <w:rFonts w:ascii="Times" w:hAnsi="Times" w:cs="Calibri"/>
                <w:sz w:val="20"/>
                <w:szCs w:val="20"/>
              </w:rPr>
              <w:t>Tuberous sclerosis</w:t>
            </w:r>
          </w:p>
        </w:tc>
      </w:tr>
      <w:tr w:rsidR="009F28F9" w:rsidRPr="009F28F9" w14:paraId="7206A282"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69C17C09" w14:textId="64442E4D" w:rsidR="009F28F9" w:rsidRPr="009F28F9" w:rsidRDefault="009F28F9" w:rsidP="009F28F9">
            <w:pPr>
              <w:jc w:val="center"/>
              <w:rPr>
                <w:rFonts w:ascii="Times" w:hAnsi="Times"/>
                <w:sz w:val="20"/>
                <w:szCs w:val="20"/>
              </w:rPr>
            </w:pPr>
            <w:r w:rsidRPr="009F28F9">
              <w:rPr>
                <w:rFonts w:ascii="Times" w:hAnsi="Times" w:cs="Calibri"/>
                <w:sz w:val="20"/>
                <w:szCs w:val="20"/>
              </w:rPr>
              <w:t>759.81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3EC04AE9" w14:textId="26B13935" w:rsidR="009F28F9" w:rsidRPr="009F28F9" w:rsidRDefault="009F28F9" w:rsidP="009F28F9">
            <w:pPr>
              <w:rPr>
                <w:rFonts w:ascii="Times" w:hAnsi="Times"/>
                <w:sz w:val="20"/>
                <w:szCs w:val="20"/>
              </w:rPr>
            </w:pPr>
            <w:r w:rsidRPr="009F28F9">
              <w:rPr>
                <w:rFonts w:ascii="Times" w:hAnsi="Times" w:cs="Calibri"/>
                <w:sz w:val="20"/>
                <w:szCs w:val="20"/>
              </w:rPr>
              <w:t>Other and unspecified congenital anomalies: Prader-Willi syndrome</w:t>
            </w:r>
          </w:p>
        </w:tc>
      </w:tr>
      <w:tr w:rsidR="009F28F9" w:rsidRPr="009F28F9" w14:paraId="7A2F9BF6"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1BC9A126" w14:textId="77EC7C0B" w:rsidR="009F28F9" w:rsidRPr="009F28F9" w:rsidRDefault="009F28F9" w:rsidP="009F28F9">
            <w:pPr>
              <w:jc w:val="center"/>
              <w:rPr>
                <w:rFonts w:ascii="Times" w:hAnsi="Times"/>
                <w:sz w:val="20"/>
                <w:szCs w:val="20"/>
              </w:rPr>
            </w:pPr>
            <w:r w:rsidRPr="009F28F9">
              <w:rPr>
                <w:rFonts w:ascii="Times" w:hAnsi="Times" w:cs="Calibri"/>
                <w:sz w:val="20"/>
                <w:szCs w:val="20"/>
              </w:rPr>
              <w:t>759.821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2137F145" w14:textId="465FB160" w:rsidR="009F28F9" w:rsidRPr="009F28F9" w:rsidRDefault="009F28F9" w:rsidP="009F28F9">
            <w:pPr>
              <w:rPr>
                <w:rFonts w:ascii="Times" w:hAnsi="Times"/>
                <w:sz w:val="20"/>
                <w:szCs w:val="20"/>
              </w:rPr>
            </w:pPr>
            <w:r w:rsidRPr="009F28F9">
              <w:rPr>
                <w:rFonts w:ascii="Times" w:hAnsi="Times" w:cs="Calibri"/>
                <w:sz w:val="20"/>
                <w:szCs w:val="20"/>
              </w:rPr>
              <w:t>Other and unspecified congenital anomalies: de Lange syndrome (include only if 6 digits exist)</w:t>
            </w:r>
          </w:p>
        </w:tc>
      </w:tr>
      <w:tr w:rsidR="009F28F9" w:rsidRPr="009F28F9" w14:paraId="6D0D105E" w14:textId="77777777" w:rsidTr="00301992">
        <w:trPr>
          <w:trHeight w:val="84"/>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15AA2527" w14:textId="6024819F" w:rsidR="009F28F9" w:rsidRPr="009F28F9" w:rsidRDefault="009F28F9" w:rsidP="009F28F9">
            <w:pPr>
              <w:jc w:val="center"/>
              <w:rPr>
                <w:rFonts w:ascii="Times" w:hAnsi="Times"/>
                <w:sz w:val="20"/>
                <w:szCs w:val="20"/>
              </w:rPr>
            </w:pPr>
            <w:r w:rsidRPr="009F28F9">
              <w:rPr>
                <w:rFonts w:ascii="Times" w:hAnsi="Times" w:cs="Calibri"/>
                <w:sz w:val="20"/>
                <w:szCs w:val="20"/>
              </w:rPr>
              <w:t>759.827</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3B6000D7" w14:textId="738D911E" w:rsidR="009F28F9" w:rsidRPr="009F28F9" w:rsidRDefault="009F28F9" w:rsidP="009F28F9">
            <w:pPr>
              <w:rPr>
                <w:rFonts w:ascii="Times" w:hAnsi="Times"/>
                <w:sz w:val="20"/>
                <w:szCs w:val="20"/>
              </w:rPr>
            </w:pPr>
            <w:r w:rsidRPr="009F28F9">
              <w:rPr>
                <w:rFonts w:ascii="Times" w:hAnsi="Times" w:cs="Calibri"/>
                <w:sz w:val="20"/>
                <w:szCs w:val="20"/>
              </w:rPr>
              <w:t>Other and unspecified congenital anomalies: Seckel syndrome (include only if 6 digits exist)</w:t>
            </w:r>
          </w:p>
        </w:tc>
      </w:tr>
      <w:tr w:rsidR="009F28F9" w:rsidRPr="009F28F9" w14:paraId="23081D37" w14:textId="77777777" w:rsidTr="00301992">
        <w:trPr>
          <w:trHeight w:val="129"/>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0AA9F0F1" w14:textId="19051C5E" w:rsidR="009F28F9" w:rsidRPr="009F28F9" w:rsidRDefault="009F28F9" w:rsidP="009F28F9">
            <w:pPr>
              <w:jc w:val="center"/>
              <w:rPr>
                <w:rFonts w:ascii="Times" w:hAnsi="Times"/>
                <w:sz w:val="20"/>
                <w:szCs w:val="20"/>
              </w:rPr>
            </w:pPr>
            <w:r w:rsidRPr="009F28F9">
              <w:rPr>
                <w:rFonts w:ascii="Times" w:hAnsi="Times" w:cs="Calibri"/>
                <w:sz w:val="20"/>
                <w:szCs w:val="20"/>
              </w:rPr>
              <w:t xml:space="preserve">759.828 </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348D1269" w14:textId="741E0E59" w:rsidR="009F28F9" w:rsidRPr="009F28F9" w:rsidRDefault="009F28F9" w:rsidP="009F28F9">
            <w:pPr>
              <w:rPr>
                <w:rFonts w:ascii="Times" w:hAnsi="Times"/>
                <w:sz w:val="20"/>
                <w:szCs w:val="20"/>
              </w:rPr>
            </w:pPr>
            <w:r w:rsidRPr="009F28F9">
              <w:rPr>
                <w:rFonts w:ascii="Times" w:hAnsi="Times" w:cs="Calibri"/>
                <w:sz w:val="20"/>
                <w:szCs w:val="20"/>
              </w:rPr>
              <w:t>Other and unspecified congenital anomalies: Smith-Lemli-Opitz syndrome (include only if 6 digits exist)</w:t>
            </w:r>
          </w:p>
        </w:tc>
      </w:tr>
      <w:tr w:rsidR="009F28F9" w:rsidRPr="009F28F9" w14:paraId="05DEF5C4" w14:textId="77777777" w:rsidTr="00301992">
        <w:trPr>
          <w:trHeight w:val="175"/>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10FF2406" w14:textId="4019621F" w:rsidR="009F28F9" w:rsidRPr="009F28F9" w:rsidRDefault="009F28F9" w:rsidP="009F28F9">
            <w:pPr>
              <w:jc w:val="center"/>
              <w:rPr>
                <w:rFonts w:ascii="Times" w:hAnsi="Times"/>
                <w:sz w:val="20"/>
                <w:szCs w:val="20"/>
              </w:rPr>
            </w:pPr>
            <w:r w:rsidRPr="009F28F9">
              <w:rPr>
                <w:rFonts w:ascii="Times" w:hAnsi="Times" w:cs="Calibri"/>
                <w:sz w:val="20"/>
                <w:szCs w:val="20"/>
              </w:rPr>
              <w:t>759.83</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2715AEC8" w14:textId="28D6076B" w:rsidR="009F28F9" w:rsidRPr="009F28F9" w:rsidRDefault="009F28F9" w:rsidP="009F28F9">
            <w:pPr>
              <w:rPr>
                <w:rFonts w:ascii="Times" w:hAnsi="Times"/>
                <w:sz w:val="20"/>
                <w:szCs w:val="20"/>
              </w:rPr>
            </w:pPr>
            <w:r w:rsidRPr="009F28F9">
              <w:rPr>
                <w:rFonts w:ascii="Times" w:hAnsi="Times" w:cs="Calibri"/>
                <w:sz w:val="20"/>
                <w:szCs w:val="20"/>
              </w:rPr>
              <w:t>Other and unspecified congenital anomalies: Fragile X syndrome</w:t>
            </w:r>
          </w:p>
        </w:tc>
      </w:tr>
      <w:tr w:rsidR="009F28F9" w:rsidRPr="009F28F9" w14:paraId="6888C00B" w14:textId="77777777" w:rsidTr="00301992">
        <w:trPr>
          <w:trHeight w:val="79"/>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6E524B63" w14:textId="35E76AA4" w:rsidR="009F28F9" w:rsidRPr="009F28F9" w:rsidRDefault="009F28F9" w:rsidP="009F28F9">
            <w:pPr>
              <w:jc w:val="center"/>
              <w:rPr>
                <w:rFonts w:ascii="Times" w:hAnsi="Times"/>
                <w:sz w:val="20"/>
                <w:szCs w:val="20"/>
              </w:rPr>
            </w:pPr>
            <w:r w:rsidRPr="009F28F9">
              <w:rPr>
                <w:rFonts w:ascii="Times" w:hAnsi="Times" w:cs="Calibri"/>
                <w:sz w:val="20"/>
                <w:szCs w:val="20"/>
              </w:rPr>
              <w:t>759.874</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66230521" w14:textId="09F2D618" w:rsidR="009F28F9" w:rsidRPr="009F28F9" w:rsidRDefault="009F28F9" w:rsidP="009F28F9">
            <w:pPr>
              <w:rPr>
                <w:rFonts w:ascii="Times" w:hAnsi="Times"/>
                <w:sz w:val="20"/>
                <w:szCs w:val="20"/>
              </w:rPr>
            </w:pPr>
            <w:r w:rsidRPr="009F28F9">
              <w:rPr>
                <w:rFonts w:ascii="Times" w:hAnsi="Times" w:cs="Calibri"/>
                <w:sz w:val="20"/>
                <w:szCs w:val="20"/>
              </w:rPr>
              <w:t>Other and unspecified congenital anomalies: Beckwith-Wiedemann syndrome (include only if 6 digits exist)</w:t>
            </w:r>
          </w:p>
        </w:tc>
      </w:tr>
      <w:tr w:rsidR="009F28F9" w:rsidRPr="009F28F9" w14:paraId="4ED7AB4C" w14:textId="77777777" w:rsidTr="00301992">
        <w:trPr>
          <w:trHeight w:val="11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5C352B0A" w14:textId="440C1941" w:rsidR="009F28F9" w:rsidRPr="009F28F9" w:rsidRDefault="009F28F9" w:rsidP="009F28F9">
            <w:pPr>
              <w:jc w:val="center"/>
              <w:rPr>
                <w:rFonts w:ascii="Times" w:hAnsi="Times"/>
                <w:sz w:val="20"/>
                <w:szCs w:val="20"/>
              </w:rPr>
            </w:pPr>
            <w:r w:rsidRPr="009F28F9">
              <w:rPr>
                <w:rFonts w:ascii="Times" w:hAnsi="Times" w:cs="Calibri"/>
                <w:sz w:val="20"/>
                <w:szCs w:val="20"/>
              </w:rPr>
              <w:t>759.875</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7EC10B33" w14:textId="1F31B7D8" w:rsidR="009F28F9" w:rsidRPr="009F28F9" w:rsidRDefault="009F28F9" w:rsidP="009F28F9">
            <w:pPr>
              <w:rPr>
                <w:rFonts w:ascii="Times" w:hAnsi="Times"/>
                <w:sz w:val="20"/>
                <w:szCs w:val="20"/>
              </w:rPr>
            </w:pPr>
            <w:r w:rsidRPr="009F28F9">
              <w:rPr>
                <w:rFonts w:ascii="Times" w:hAnsi="Times" w:cs="Calibri"/>
                <w:sz w:val="20"/>
                <w:szCs w:val="20"/>
              </w:rPr>
              <w:t>Other and unspecified congenital anomalies: Zellweger syndrome (include only if 6 digits exist)</w:t>
            </w:r>
          </w:p>
        </w:tc>
      </w:tr>
      <w:tr w:rsidR="009F28F9" w:rsidRPr="009F28F9" w14:paraId="0BAE42AE" w14:textId="77777777" w:rsidTr="00301992">
        <w:trPr>
          <w:trHeight w:val="157"/>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5C8A2ABB" w14:textId="51669C27" w:rsidR="009F28F9" w:rsidRPr="009F28F9" w:rsidRDefault="009F28F9" w:rsidP="009F28F9">
            <w:pPr>
              <w:jc w:val="center"/>
              <w:rPr>
                <w:rFonts w:ascii="Times" w:hAnsi="Times"/>
                <w:sz w:val="20"/>
                <w:szCs w:val="20"/>
              </w:rPr>
            </w:pPr>
            <w:r w:rsidRPr="009F28F9">
              <w:rPr>
                <w:rFonts w:ascii="Times" w:hAnsi="Times" w:cs="Calibri"/>
                <w:sz w:val="20"/>
                <w:szCs w:val="20"/>
              </w:rPr>
              <w:t>759.89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3B962FA3" w14:textId="68817755" w:rsidR="009F28F9" w:rsidRPr="009F28F9" w:rsidRDefault="009F28F9" w:rsidP="009F28F9">
            <w:pPr>
              <w:rPr>
                <w:rFonts w:ascii="Times" w:hAnsi="Times"/>
                <w:sz w:val="20"/>
                <w:szCs w:val="20"/>
              </w:rPr>
            </w:pPr>
            <w:r w:rsidRPr="009F28F9">
              <w:rPr>
                <w:rFonts w:ascii="Times" w:hAnsi="Times" w:cs="Calibri"/>
                <w:sz w:val="20"/>
                <w:szCs w:val="20"/>
              </w:rPr>
              <w:t>Other and unspecified congenital anomalies: other (</w:t>
            </w:r>
            <w:proofErr w:type="spellStart"/>
            <w:r w:rsidRPr="009F28F9">
              <w:rPr>
                <w:rFonts w:ascii="Times" w:hAnsi="Times" w:cs="Calibri"/>
                <w:sz w:val="20"/>
                <w:szCs w:val="20"/>
              </w:rPr>
              <w:t>eg.</w:t>
            </w:r>
            <w:proofErr w:type="spellEnd"/>
            <w:r w:rsidRPr="009F28F9">
              <w:rPr>
                <w:rFonts w:ascii="Times" w:hAnsi="Times" w:cs="Calibri"/>
                <w:sz w:val="20"/>
                <w:szCs w:val="20"/>
              </w:rPr>
              <w:t xml:space="preserve"> Menkes disease, Laurence-Moon-Biedl syndrome, Rubinstein-</w:t>
            </w:r>
            <w:proofErr w:type="spellStart"/>
            <w:r w:rsidRPr="009F28F9">
              <w:rPr>
                <w:rFonts w:ascii="Times" w:hAnsi="Times" w:cs="Calibri"/>
                <w:sz w:val="20"/>
                <w:szCs w:val="20"/>
              </w:rPr>
              <w:t>Taybi</w:t>
            </w:r>
            <w:proofErr w:type="spellEnd"/>
            <w:r w:rsidRPr="009F28F9">
              <w:rPr>
                <w:rFonts w:ascii="Times" w:hAnsi="Times" w:cs="Calibri"/>
                <w:sz w:val="20"/>
                <w:szCs w:val="20"/>
              </w:rPr>
              <w:t xml:space="preserve"> syndrome)</w:t>
            </w:r>
          </w:p>
        </w:tc>
      </w:tr>
      <w:tr w:rsidR="009F28F9" w:rsidRPr="009F28F9" w14:paraId="3ECA1128" w14:textId="77777777" w:rsidTr="00301992">
        <w:trPr>
          <w:trHeight w:val="108"/>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23782E9D" w14:textId="49CBD8B0" w:rsidR="009F28F9" w:rsidRPr="009F28F9" w:rsidRDefault="009F28F9" w:rsidP="009F28F9">
            <w:pPr>
              <w:jc w:val="center"/>
              <w:rPr>
                <w:rFonts w:ascii="Times" w:hAnsi="Times"/>
                <w:sz w:val="20"/>
                <w:szCs w:val="20"/>
              </w:rPr>
            </w:pPr>
            <w:r w:rsidRPr="009F28F9">
              <w:rPr>
                <w:rFonts w:ascii="Times" w:hAnsi="Times" w:cs="Calibri"/>
                <w:sz w:val="20"/>
                <w:szCs w:val="20"/>
              </w:rPr>
              <w:t>760.71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54A0FB00" w14:textId="2C44A57D" w:rsidR="009F28F9" w:rsidRPr="009F28F9" w:rsidRDefault="009F28F9" w:rsidP="009F28F9">
            <w:pPr>
              <w:rPr>
                <w:rFonts w:ascii="Times" w:hAnsi="Times"/>
                <w:sz w:val="20"/>
                <w:szCs w:val="20"/>
              </w:rPr>
            </w:pPr>
            <w:r w:rsidRPr="009F28F9">
              <w:rPr>
                <w:rFonts w:ascii="Times" w:hAnsi="Times" w:cs="Calibri"/>
                <w:sz w:val="20"/>
                <w:szCs w:val="20"/>
              </w:rPr>
              <w:t>Fetal alcohol syndrome</w:t>
            </w:r>
          </w:p>
        </w:tc>
      </w:tr>
      <w:tr w:rsidR="009F28F9" w:rsidRPr="009F28F9" w14:paraId="5A5D0AA9"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3253264F" w14:textId="608D862C" w:rsidR="009F28F9" w:rsidRPr="009F28F9" w:rsidRDefault="009F28F9" w:rsidP="009F28F9">
            <w:pPr>
              <w:jc w:val="center"/>
              <w:rPr>
                <w:rFonts w:ascii="Times" w:hAnsi="Times"/>
                <w:sz w:val="20"/>
                <w:szCs w:val="20"/>
              </w:rPr>
            </w:pPr>
            <w:r w:rsidRPr="009F28F9">
              <w:rPr>
                <w:rFonts w:ascii="Times" w:hAnsi="Times" w:cs="Calibri"/>
                <w:sz w:val="20"/>
                <w:szCs w:val="20"/>
              </w:rPr>
              <w:t>760.77</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3AF1692F" w14:textId="3061370D" w:rsidR="009F28F9" w:rsidRPr="009F28F9" w:rsidRDefault="009F28F9" w:rsidP="009F28F9">
            <w:pPr>
              <w:rPr>
                <w:rFonts w:ascii="Times" w:hAnsi="Times"/>
                <w:sz w:val="20"/>
                <w:szCs w:val="20"/>
              </w:rPr>
            </w:pPr>
            <w:r w:rsidRPr="009F28F9">
              <w:rPr>
                <w:rFonts w:ascii="Times" w:hAnsi="Times" w:cs="Calibri"/>
                <w:sz w:val="20"/>
                <w:szCs w:val="20"/>
              </w:rPr>
              <w:t>Fetal hydantoin syndrome</w:t>
            </w:r>
          </w:p>
        </w:tc>
      </w:tr>
      <w:tr w:rsidR="009F28F9" w:rsidRPr="009F28F9" w14:paraId="53D097B3" w14:textId="77777777" w:rsidTr="00301992">
        <w:trPr>
          <w:trHeight w:val="199"/>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shd w:val="clear" w:color="auto" w:fill="F2F2F2" w:themeFill="background1" w:themeFillShade="F2"/>
            <w:vAlign w:val="center"/>
          </w:tcPr>
          <w:p w14:paraId="0E965F34" w14:textId="63771783" w:rsidR="009F28F9" w:rsidRPr="009F28F9" w:rsidRDefault="009F28F9" w:rsidP="009F28F9">
            <w:pPr>
              <w:jc w:val="center"/>
              <w:rPr>
                <w:rFonts w:ascii="Times" w:hAnsi="Times"/>
                <w:i/>
                <w:iCs/>
                <w:sz w:val="20"/>
                <w:szCs w:val="20"/>
              </w:rPr>
            </w:pPr>
            <w:r w:rsidRPr="009F28F9">
              <w:rPr>
                <w:rFonts w:ascii="Times" w:hAnsi="Times"/>
                <w:i/>
                <w:iCs/>
                <w:sz w:val="20"/>
                <w:szCs w:val="20"/>
              </w:rPr>
              <w:t>ICD-10</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shd w:val="clear" w:color="auto" w:fill="F2F2F2" w:themeFill="background1" w:themeFillShade="F2"/>
            <w:vAlign w:val="center"/>
          </w:tcPr>
          <w:p w14:paraId="39CEF66D" w14:textId="77777777" w:rsidR="009F28F9" w:rsidRPr="009F28F9" w:rsidRDefault="009F28F9" w:rsidP="009F28F9">
            <w:pPr>
              <w:rPr>
                <w:rFonts w:ascii="Times" w:hAnsi="Times"/>
                <w:sz w:val="20"/>
                <w:szCs w:val="20"/>
              </w:rPr>
            </w:pPr>
          </w:p>
        </w:tc>
      </w:tr>
      <w:tr w:rsidR="009F28F9" w:rsidRPr="009F28F9" w14:paraId="6E26F3DF" w14:textId="77777777" w:rsidTr="00301992">
        <w:trPr>
          <w:trHeight w:val="23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7EE66A90" w14:textId="3CD2512C" w:rsidR="009F28F9" w:rsidRPr="009F28F9" w:rsidRDefault="009F28F9" w:rsidP="009F28F9">
            <w:pPr>
              <w:jc w:val="center"/>
              <w:rPr>
                <w:rFonts w:ascii="Times" w:hAnsi="Times"/>
                <w:sz w:val="20"/>
                <w:szCs w:val="20"/>
              </w:rPr>
            </w:pPr>
            <w:r w:rsidRPr="009F28F9">
              <w:rPr>
                <w:rFonts w:ascii="Times" w:hAnsi="Times" w:cs="Calibri"/>
                <w:sz w:val="20"/>
                <w:szCs w:val="20"/>
              </w:rPr>
              <w:t>F700</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689318B0" w14:textId="6B80EA5C" w:rsidR="009F28F9" w:rsidRPr="009F28F9" w:rsidRDefault="009F28F9" w:rsidP="009F28F9">
            <w:pPr>
              <w:rPr>
                <w:rFonts w:ascii="Times" w:hAnsi="Times"/>
                <w:sz w:val="20"/>
                <w:szCs w:val="20"/>
              </w:rPr>
            </w:pPr>
            <w:r w:rsidRPr="009F28F9">
              <w:rPr>
                <w:rFonts w:ascii="Times" w:hAnsi="Times" w:cs="Calibri"/>
                <w:sz w:val="20"/>
                <w:szCs w:val="20"/>
              </w:rPr>
              <w:t>Mild mental retardation with the statement of no, or minimal, impairment of behaviour</w:t>
            </w:r>
          </w:p>
        </w:tc>
      </w:tr>
      <w:tr w:rsidR="009F28F9" w:rsidRPr="009F28F9" w14:paraId="4C5081CF" w14:textId="77777777" w:rsidTr="00301992">
        <w:trPr>
          <w:trHeight w:val="135"/>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2CB747F8" w14:textId="4BABC268" w:rsidR="009F28F9" w:rsidRPr="009F28F9" w:rsidRDefault="009F28F9" w:rsidP="009F28F9">
            <w:pPr>
              <w:jc w:val="center"/>
              <w:rPr>
                <w:rFonts w:ascii="Times" w:hAnsi="Times"/>
                <w:sz w:val="20"/>
                <w:szCs w:val="20"/>
              </w:rPr>
            </w:pPr>
            <w:r w:rsidRPr="009F28F9">
              <w:rPr>
                <w:rFonts w:ascii="Times" w:hAnsi="Times" w:cs="Calibri"/>
                <w:sz w:val="20"/>
                <w:szCs w:val="20"/>
              </w:rPr>
              <w:t>F701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0E50C98B" w14:textId="174DFAB5" w:rsidR="009F28F9" w:rsidRPr="009F28F9" w:rsidRDefault="009F28F9" w:rsidP="009F28F9">
            <w:pPr>
              <w:rPr>
                <w:rFonts w:ascii="Times" w:hAnsi="Times"/>
                <w:sz w:val="20"/>
                <w:szCs w:val="20"/>
              </w:rPr>
            </w:pPr>
            <w:r w:rsidRPr="009F28F9">
              <w:rPr>
                <w:rFonts w:ascii="Times" w:hAnsi="Times" w:cs="Calibri"/>
                <w:sz w:val="20"/>
                <w:szCs w:val="20"/>
              </w:rPr>
              <w:t xml:space="preserve">Mild mental retardation, significant impairment of behaviour requiring attention or treatment </w:t>
            </w:r>
          </w:p>
        </w:tc>
      </w:tr>
      <w:tr w:rsidR="009F28F9" w:rsidRPr="009F28F9" w14:paraId="122E6278" w14:textId="77777777" w:rsidTr="00301992">
        <w:trPr>
          <w:trHeight w:val="132"/>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33B2D641" w14:textId="2597ACF3" w:rsidR="009F28F9" w:rsidRPr="009F28F9" w:rsidRDefault="009F28F9" w:rsidP="009F28F9">
            <w:pPr>
              <w:jc w:val="center"/>
              <w:rPr>
                <w:rFonts w:ascii="Times" w:hAnsi="Times"/>
                <w:sz w:val="20"/>
                <w:szCs w:val="20"/>
              </w:rPr>
            </w:pPr>
            <w:r w:rsidRPr="009F28F9">
              <w:rPr>
                <w:rFonts w:ascii="Times" w:hAnsi="Times" w:cs="Calibri"/>
                <w:sz w:val="20"/>
                <w:szCs w:val="20"/>
              </w:rPr>
              <w:t>F708</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6ED23B00" w14:textId="46D2ACC9" w:rsidR="009F28F9" w:rsidRPr="009F28F9" w:rsidRDefault="009F28F9" w:rsidP="009F28F9">
            <w:pPr>
              <w:rPr>
                <w:rFonts w:ascii="Times" w:hAnsi="Times"/>
                <w:sz w:val="20"/>
                <w:szCs w:val="20"/>
              </w:rPr>
            </w:pPr>
            <w:r w:rsidRPr="009F28F9">
              <w:rPr>
                <w:rFonts w:ascii="Times" w:hAnsi="Times" w:cs="Calibri"/>
                <w:sz w:val="20"/>
                <w:szCs w:val="20"/>
              </w:rPr>
              <w:t>Mild mental retardation, other impairments of behaviour</w:t>
            </w:r>
          </w:p>
        </w:tc>
      </w:tr>
      <w:tr w:rsidR="009F28F9" w:rsidRPr="009F28F9" w14:paraId="0813816C" w14:textId="77777777" w:rsidTr="00301992">
        <w:trPr>
          <w:trHeight w:val="132"/>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4D6B2F09" w14:textId="1B3B71F0" w:rsidR="009F28F9" w:rsidRPr="009F28F9" w:rsidRDefault="009F28F9" w:rsidP="009F28F9">
            <w:pPr>
              <w:jc w:val="center"/>
              <w:rPr>
                <w:rFonts w:ascii="Times" w:hAnsi="Times"/>
                <w:sz w:val="20"/>
                <w:szCs w:val="20"/>
              </w:rPr>
            </w:pPr>
            <w:r w:rsidRPr="009F28F9">
              <w:rPr>
                <w:rFonts w:ascii="Times" w:hAnsi="Times" w:cs="Calibri"/>
                <w:sz w:val="20"/>
                <w:szCs w:val="20"/>
              </w:rPr>
              <w:t>F709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23F84FA0" w14:textId="528ED2A3" w:rsidR="009F28F9" w:rsidRPr="009F28F9" w:rsidRDefault="009F28F9" w:rsidP="009F28F9">
            <w:pPr>
              <w:rPr>
                <w:rFonts w:ascii="Times" w:hAnsi="Times"/>
                <w:sz w:val="20"/>
                <w:szCs w:val="20"/>
              </w:rPr>
            </w:pPr>
            <w:r w:rsidRPr="009F28F9">
              <w:rPr>
                <w:rFonts w:ascii="Times" w:hAnsi="Times" w:cs="Calibri"/>
                <w:sz w:val="20"/>
                <w:szCs w:val="20"/>
              </w:rPr>
              <w:t>Mild mental retardation without mention of impairment of behaviour</w:t>
            </w:r>
          </w:p>
        </w:tc>
      </w:tr>
      <w:tr w:rsidR="009F28F9" w:rsidRPr="009F28F9" w14:paraId="22265E7D"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1D85A77F" w14:textId="4C3397DF" w:rsidR="009F28F9" w:rsidRPr="009F28F9" w:rsidRDefault="009F28F9" w:rsidP="009F28F9">
            <w:pPr>
              <w:jc w:val="center"/>
              <w:rPr>
                <w:rFonts w:ascii="Times" w:hAnsi="Times"/>
                <w:sz w:val="20"/>
                <w:szCs w:val="20"/>
              </w:rPr>
            </w:pPr>
            <w:r w:rsidRPr="009F28F9">
              <w:rPr>
                <w:rFonts w:ascii="Times" w:hAnsi="Times" w:cs="Calibri"/>
                <w:sz w:val="20"/>
                <w:szCs w:val="20"/>
              </w:rPr>
              <w:t>F710</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2B777DEB" w14:textId="72562BFD" w:rsidR="009F28F9" w:rsidRPr="009F28F9" w:rsidRDefault="009F28F9" w:rsidP="009F28F9">
            <w:pPr>
              <w:rPr>
                <w:rFonts w:ascii="Times" w:hAnsi="Times"/>
                <w:sz w:val="20"/>
                <w:szCs w:val="20"/>
              </w:rPr>
            </w:pPr>
            <w:r w:rsidRPr="009F28F9">
              <w:rPr>
                <w:rFonts w:ascii="Times" w:hAnsi="Times" w:cs="Calibri"/>
                <w:sz w:val="20"/>
                <w:szCs w:val="20"/>
              </w:rPr>
              <w:t>Moderate mental retardation with the statement of no, or minimal, impairment of behaviour</w:t>
            </w:r>
          </w:p>
        </w:tc>
      </w:tr>
      <w:tr w:rsidR="009F28F9" w:rsidRPr="009F28F9" w14:paraId="6D02A607" w14:textId="77777777" w:rsidTr="00301992">
        <w:trPr>
          <w:trHeight w:val="96"/>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56C3BD83" w14:textId="6EE26AEA" w:rsidR="009F28F9" w:rsidRPr="009F28F9" w:rsidRDefault="009F28F9" w:rsidP="009F28F9">
            <w:pPr>
              <w:jc w:val="center"/>
              <w:rPr>
                <w:rFonts w:ascii="Times" w:hAnsi="Times"/>
                <w:sz w:val="20"/>
                <w:szCs w:val="20"/>
              </w:rPr>
            </w:pPr>
            <w:r w:rsidRPr="009F28F9">
              <w:rPr>
                <w:rFonts w:ascii="Times" w:hAnsi="Times" w:cs="Calibri"/>
                <w:sz w:val="20"/>
                <w:szCs w:val="20"/>
              </w:rPr>
              <w:t>F711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2E4A21E2" w14:textId="7F2C8352" w:rsidR="009F28F9" w:rsidRPr="009F28F9" w:rsidRDefault="009F28F9" w:rsidP="009F28F9">
            <w:pPr>
              <w:rPr>
                <w:rFonts w:ascii="Times" w:hAnsi="Times"/>
                <w:sz w:val="20"/>
                <w:szCs w:val="20"/>
              </w:rPr>
            </w:pPr>
            <w:r w:rsidRPr="009F28F9">
              <w:rPr>
                <w:rFonts w:ascii="Times" w:hAnsi="Times" w:cs="Calibri"/>
                <w:sz w:val="20"/>
                <w:szCs w:val="20"/>
              </w:rPr>
              <w:t>Moderate mental retardation, significant impairment of behaviour requiring attention or treatment</w:t>
            </w:r>
          </w:p>
        </w:tc>
      </w:tr>
      <w:tr w:rsidR="009F28F9" w:rsidRPr="009F28F9" w14:paraId="2E5AC204" w14:textId="77777777" w:rsidTr="00301992">
        <w:trPr>
          <w:trHeight w:val="128"/>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72EA93D3" w14:textId="69B6EBC7" w:rsidR="009F28F9" w:rsidRPr="009F28F9" w:rsidRDefault="009F28F9" w:rsidP="009F28F9">
            <w:pPr>
              <w:jc w:val="center"/>
              <w:rPr>
                <w:rFonts w:ascii="Times" w:hAnsi="Times"/>
                <w:sz w:val="20"/>
                <w:szCs w:val="20"/>
              </w:rPr>
            </w:pPr>
            <w:r w:rsidRPr="009F28F9">
              <w:rPr>
                <w:rFonts w:ascii="Times" w:hAnsi="Times" w:cs="Calibri"/>
                <w:sz w:val="20"/>
                <w:szCs w:val="20"/>
              </w:rPr>
              <w:t>F718</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2C35FDEA" w14:textId="29802F66" w:rsidR="009F28F9" w:rsidRPr="009F28F9" w:rsidRDefault="009F28F9" w:rsidP="009F28F9">
            <w:pPr>
              <w:rPr>
                <w:rFonts w:ascii="Times" w:hAnsi="Times"/>
                <w:sz w:val="20"/>
                <w:szCs w:val="20"/>
              </w:rPr>
            </w:pPr>
            <w:r w:rsidRPr="009F28F9">
              <w:rPr>
                <w:rFonts w:ascii="Times" w:hAnsi="Times" w:cs="Calibri"/>
                <w:sz w:val="20"/>
                <w:szCs w:val="20"/>
              </w:rPr>
              <w:t>Moderate mental retardation, other impairments of behaviour</w:t>
            </w:r>
          </w:p>
        </w:tc>
      </w:tr>
      <w:tr w:rsidR="009F28F9" w:rsidRPr="009F28F9" w14:paraId="30B7A70F"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6A5D56A7" w14:textId="35A72A6E" w:rsidR="009F28F9" w:rsidRPr="009F28F9" w:rsidRDefault="009F28F9" w:rsidP="009F28F9">
            <w:pPr>
              <w:jc w:val="center"/>
              <w:rPr>
                <w:rFonts w:ascii="Times" w:hAnsi="Times"/>
                <w:sz w:val="20"/>
                <w:szCs w:val="20"/>
              </w:rPr>
            </w:pPr>
            <w:r w:rsidRPr="009F28F9">
              <w:rPr>
                <w:rFonts w:ascii="Times" w:hAnsi="Times" w:cs="Calibri"/>
                <w:sz w:val="20"/>
                <w:szCs w:val="20"/>
              </w:rPr>
              <w:t>F719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19D237E9" w14:textId="691397A6" w:rsidR="009F28F9" w:rsidRPr="009F28F9" w:rsidRDefault="009F28F9" w:rsidP="009F28F9">
            <w:pPr>
              <w:rPr>
                <w:rFonts w:ascii="Times" w:hAnsi="Times"/>
                <w:sz w:val="20"/>
                <w:szCs w:val="20"/>
              </w:rPr>
            </w:pPr>
            <w:r w:rsidRPr="009F28F9">
              <w:rPr>
                <w:rFonts w:ascii="Times" w:hAnsi="Times" w:cs="Calibri"/>
                <w:sz w:val="20"/>
                <w:szCs w:val="20"/>
              </w:rPr>
              <w:t>Moderate mental retardation without mention of impairment of behaviour</w:t>
            </w:r>
          </w:p>
        </w:tc>
      </w:tr>
      <w:tr w:rsidR="009F28F9" w:rsidRPr="009F28F9" w14:paraId="5826174D"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4762B6EC" w14:textId="2FADA568" w:rsidR="009F28F9" w:rsidRPr="009F28F9" w:rsidRDefault="009F28F9" w:rsidP="009F28F9">
            <w:pPr>
              <w:jc w:val="center"/>
              <w:rPr>
                <w:rFonts w:ascii="Times" w:hAnsi="Times"/>
                <w:sz w:val="20"/>
                <w:szCs w:val="20"/>
              </w:rPr>
            </w:pPr>
            <w:r w:rsidRPr="009F28F9">
              <w:rPr>
                <w:rFonts w:ascii="Times" w:hAnsi="Times" w:cs="Calibri"/>
                <w:sz w:val="20"/>
                <w:szCs w:val="20"/>
              </w:rPr>
              <w:t>F720</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311044A4" w14:textId="33AF420D" w:rsidR="009F28F9" w:rsidRPr="009F28F9" w:rsidRDefault="009F28F9" w:rsidP="009F28F9">
            <w:pPr>
              <w:rPr>
                <w:rFonts w:ascii="Times" w:hAnsi="Times"/>
                <w:sz w:val="20"/>
                <w:szCs w:val="20"/>
              </w:rPr>
            </w:pPr>
            <w:r w:rsidRPr="009F28F9">
              <w:rPr>
                <w:rFonts w:ascii="Times" w:hAnsi="Times" w:cs="Calibri"/>
                <w:sz w:val="20"/>
                <w:szCs w:val="20"/>
              </w:rPr>
              <w:t>Severe mental retardation with the statement of no, or minimal, impairment of behaviour</w:t>
            </w:r>
          </w:p>
        </w:tc>
      </w:tr>
      <w:tr w:rsidR="009F28F9" w:rsidRPr="009F28F9" w14:paraId="2D0030B2" w14:textId="77777777" w:rsidTr="00301992">
        <w:trPr>
          <w:trHeight w:val="110"/>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2AFA2F51" w14:textId="6585BA32" w:rsidR="009F28F9" w:rsidRPr="009F28F9" w:rsidRDefault="009F28F9" w:rsidP="009F28F9">
            <w:pPr>
              <w:jc w:val="center"/>
              <w:rPr>
                <w:rFonts w:ascii="Times" w:hAnsi="Times"/>
                <w:sz w:val="20"/>
                <w:szCs w:val="20"/>
              </w:rPr>
            </w:pPr>
            <w:r w:rsidRPr="009F28F9">
              <w:rPr>
                <w:rFonts w:ascii="Times" w:hAnsi="Times" w:cs="Calibri"/>
                <w:sz w:val="20"/>
                <w:szCs w:val="20"/>
              </w:rPr>
              <w:t>F721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5AF6113D" w14:textId="56450952" w:rsidR="009F28F9" w:rsidRPr="009F28F9" w:rsidRDefault="009F28F9" w:rsidP="009F28F9">
            <w:pPr>
              <w:rPr>
                <w:rFonts w:ascii="Times" w:hAnsi="Times"/>
                <w:sz w:val="20"/>
                <w:szCs w:val="20"/>
              </w:rPr>
            </w:pPr>
            <w:r w:rsidRPr="009F28F9">
              <w:rPr>
                <w:rFonts w:ascii="Times" w:hAnsi="Times" w:cs="Calibri"/>
                <w:sz w:val="20"/>
                <w:szCs w:val="20"/>
              </w:rPr>
              <w:t>Severe mental retardation, significant impairment of behaviour requiring attention or treatment</w:t>
            </w:r>
          </w:p>
        </w:tc>
      </w:tr>
      <w:tr w:rsidR="009F28F9" w:rsidRPr="009F28F9" w14:paraId="4CBA0AC9" w14:textId="77777777" w:rsidTr="00301992">
        <w:trPr>
          <w:trHeight w:val="155"/>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446DE216" w14:textId="318383FA" w:rsidR="009F28F9" w:rsidRPr="009F28F9" w:rsidRDefault="009F28F9" w:rsidP="009F28F9">
            <w:pPr>
              <w:jc w:val="center"/>
              <w:rPr>
                <w:rFonts w:ascii="Times" w:hAnsi="Times"/>
                <w:sz w:val="20"/>
                <w:szCs w:val="20"/>
              </w:rPr>
            </w:pPr>
            <w:r w:rsidRPr="009F28F9">
              <w:rPr>
                <w:rFonts w:ascii="Times" w:hAnsi="Times" w:cs="Calibri"/>
                <w:sz w:val="20"/>
                <w:szCs w:val="20"/>
              </w:rPr>
              <w:lastRenderedPageBreak/>
              <w:t>F728</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4687399D" w14:textId="1D6AEAF5" w:rsidR="009F28F9" w:rsidRPr="009F28F9" w:rsidRDefault="009F28F9" w:rsidP="009F28F9">
            <w:pPr>
              <w:rPr>
                <w:rFonts w:ascii="Times" w:hAnsi="Times"/>
                <w:sz w:val="20"/>
                <w:szCs w:val="20"/>
              </w:rPr>
            </w:pPr>
            <w:r w:rsidRPr="009F28F9">
              <w:rPr>
                <w:rFonts w:ascii="Times" w:hAnsi="Times" w:cs="Calibri"/>
                <w:sz w:val="20"/>
                <w:szCs w:val="20"/>
              </w:rPr>
              <w:t>Severe mental retardation, other impairments of behaviour</w:t>
            </w:r>
          </w:p>
        </w:tc>
      </w:tr>
      <w:tr w:rsidR="009F28F9" w:rsidRPr="009F28F9" w14:paraId="70D40739" w14:textId="77777777" w:rsidTr="00301992">
        <w:trPr>
          <w:trHeight w:val="20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56684AF7" w14:textId="29C48A61" w:rsidR="009F28F9" w:rsidRPr="009F28F9" w:rsidRDefault="009F28F9" w:rsidP="009F28F9">
            <w:pPr>
              <w:jc w:val="center"/>
              <w:rPr>
                <w:rFonts w:ascii="Times" w:hAnsi="Times"/>
                <w:sz w:val="20"/>
                <w:szCs w:val="20"/>
              </w:rPr>
            </w:pPr>
            <w:r w:rsidRPr="009F28F9">
              <w:rPr>
                <w:rFonts w:ascii="Times" w:hAnsi="Times" w:cs="Calibri"/>
                <w:sz w:val="20"/>
                <w:szCs w:val="20"/>
              </w:rPr>
              <w:t>F729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7A10C7F5" w14:textId="73FD68C0" w:rsidR="009F28F9" w:rsidRPr="009F28F9" w:rsidRDefault="009F28F9" w:rsidP="009F28F9">
            <w:pPr>
              <w:rPr>
                <w:rFonts w:ascii="Times" w:hAnsi="Times"/>
                <w:sz w:val="20"/>
                <w:szCs w:val="20"/>
              </w:rPr>
            </w:pPr>
            <w:r w:rsidRPr="009F28F9">
              <w:rPr>
                <w:rFonts w:ascii="Times" w:hAnsi="Times" w:cs="Calibri"/>
                <w:sz w:val="20"/>
                <w:szCs w:val="20"/>
              </w:rPr>
              <w:t>Severe mental retardation without mention of impairment of behaviour</w:t>
            </w:r>
          </w:p>
        </w:tc>
      </w:tr>
      <w:tr w:rsidR="009F28F9" w:rsidRPr="009F28F9" w14:paraId="7B9E2D7B" w14:textId="77777777" w:rsidTr="00301992">
        <w:trPr>
          <w:trHeight w:val="9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33425FE0" w14:textId="5BA892D2" w:rsidR="009F28F9" w:rsidRPr="009F28F9" w:rsidRDefault="009F28F9" w:rsidP="009F28F9">
            <w:pPr>
              <w:jc w:val="center"/>
              <w:rPr>
                <w:rFonts w:ascii="Times" w:hAnsi="Times"/>
                <w:sz w:val="20"/>
                <w:szCs w:val="20"/>
              </w:rPr>
            </w:pPr>
            <w:r w:rsidRPr="009F28F9">
              <w:rPr>
                <w:rFonts w:ascii="Times" w:hAnsi="Times" w:cs="Calibri"/>
                <w:sz w:val="20"/>
                <w:szCs w:val="20"/>
              </w:rPr>
              <w:t>F730</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1464D724" w14:textId="6D1572E7" w:rsidR="009F28F9" w:rsidRPr="009F28F9" w:rsidRDefault="009F28F9" w:rsidP="009F28F9">
            <w:pPr>
              <w:rPr>
                <w:rFonts w:ascii="Times" w:hAnsi="Times"/>
                <w:sz w:val="20"/>
                <w:szCs w:val="20"/>
              </w:rPr>
            </w:pPr>
            <w:r w:rsidRPr="009F28F9">
              <w:rPr>
                <w:rFonts w:ascii="Times" w:hAnsi="Times" w:cs="Calibri"/>
                <w:sz w:val="20"/>
                <w:szCs w:val="20"/>
              </w:rPr>
              <w:t>Profound mental retardation with the statement of no, or minimal, impairment of behaviour</w:t>
            </w:r>
          </w:p>
        </w:tc>
      </w:tr>
      <w:tr w:rsidR="009F28F9" w:rsidRPr="009F28F9" w14:paraId="1E698624"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7372ACE4" w14:textId="6AE60858" w:rsidR="009F28F9" w:rsidRPr="009F28F9" w:rsidRDefault="009F28F9" w:rsidP="009F28F9">
            <w:pPr>
              <w:jc w:val="center"/>
              <w:rPr>
                <w:rFonts w:ascii="Times" w:hAnsi="Times"/>
                <w:sz w:val="20"/>
                <w:szCs w:val="20"/>
              </w:rPr>
            </w:pPr>
            <w:r w:rsidRPr="009F28F9">
              <w:rPr>
                <w:rFonts w:ascii="Times" w:hAnsi="Times" w:cs="Calibri"/>
                <w:sz w:val="20"/>
                <w:szCs w:val="20"/>
              </w:rPr>
              <w:t>F731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115FAC81" w14:textId="15DAFEB3" w:rsidR="009F28F9" w:rsidRPr="009F28F9" w:rsidRDefault="009F28F9" w:rsidP="009F28F9">
            <w:pPr>
              <w:rPr>
                <w:rFonts w:ascii="Times" w:hAnsi="Times"/>
                <w:sz w:val="20"/>
                <w:szCs w:val="20"/>
              </w:rPr>
            </w:pPr>
            <w:r w:rsidRPr="009F28F9">
              <w:rPr>
                <w:rFonts w:ascii="Times" w:hAnsi="Times" w:cs="Calibri"/>
                <w:sz w:val="20"/>
                <w:szCs w:val="20"/>
              </w:rPr>
              <w:t>Profound mental retardation, significant impairment of behaviour requiring attention or treatment</w:t>
            </w:r>
          </w:p>
        </w:tc>
      </w:tr>
      <w:tr w:rsidR="009F28F9" w:rsidRPr="009F28F9" w14:paraId="55F3A34D"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547D4E2A" w14:textId="0D69CDB5" w:rsidR="009F28F9" w:rsidRPr="009F28F9" w:rsidRDefault="009F28F9" w:rsidP="009F28F9">
            <w:pPr>
              <w:jc w:val="center"/>
              <w:rPr>
                <w:rFonts w:ascii="Times" w:hAnsi="Times"/>
                <w:sz w:val="20"/>
                <w:szCs w:val="20"/>
              </w:rPr>
            </w:pPr>
            <w:r w:rsidRPr="009F28F9">
              <w:rPr>
                <w:rFonts w:ascii="Times" w:hAnsi="Times" w:cs="Calibri"/>
                <w:sz w:val="20"/>
                <w:szCs w:val="20"/>
              </w:rPr>
              <w:t>F738</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662C8B94" w14:textId="2F054078" w:rsidR="009F28F9" w:rsidRPr="009F28F9" w:rsidRDefault="009F28F9" w:rsidP="009F28F9">
            <w:pPr>
              <w:rPr>
                <w:rFonts w:ascii="Times" w:hAnsi="Times"/>
                <w:sz w:val="20"/>
                <w:szCs w:val="20"/>
              </w:rPr>
            </w:pPr>
            <w:r w:rsidRPr="009F28F9">
              <w:rPr>
                <w:rFonts w:ascii="Times" w:hAnsi="Times" w:cs="Calibri"/>
                <w:sz w:val="20"/>
                <w:szCs w:val="20"/>
              </w:rPr>
              <w:t>Profound mental retardation, other impairments of behaviour</w:t>
            </w:r>
          </w:p>
        </w:tc>
      </w:tr>
      <w:tr w:rsidR="009F28F9" w:rsidRPr="009F28F9" w14:paraId="70017FAA" w14:textId="77777777" w:rsidTr="00301992">
        <w:trPr>
          <w:trHeight w:val="87"/>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6A04F249" w14:textId="7786F968" w:rsidR="009F28F9" w:rsidRPr="009F28F9" w:rsidRDefault="009F28F9" w:rsidP="009F28F9">
            <w:pPr>
              <w:jc w:val="center"/>
              <w:rPr>
                <w:rFonts w:ascii="Times" w:hAnsi="Times"/>
                <w:sz w:val="20"/>
                <w:szCs w:val="20"/>
              </w:rPr>
            </w:pPr>
            <w:r w:rsidRPr="009F28F9">
              <w:rPr>
                <w:rFonts w:ascii="Times" w:hAnsi="Times" w:cs="Calibri"/>
                <w:sz w:val="20"/>
                <w:szCs w:val="20"/>
              </w:rPr>
              <w:t>F739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5ACFC691" w14:textId="101B055E" w:rsidR="009F28F9" w:rsidRPr="009F28F9" w:rsidRDefault="009F28F9" w:rsidP="009F28F9">
            <w:pPr>
              <w:rPr>
                <w:rFonts w:ascii="Times" w:hAnsi="Times"/>
                <w:sz w:val="20"/>
                <w:szCs w:val="20"/>
              </w:rPr>
            </w:pPr>
            <w:r w:rsidRPr="009F28F9">
              <w:rPr>
                <w:rFonts w:ascii="Times" w:hAnsi="Times" w:cs="Calibri"/>
                <w:sz w:val="20"/>
                <w:szCs w:val="20"/>
              </w:rPr>
              <w:t>Profound mental retardation without mention of impairment of behaviour</w:t>
            </w:r>
          </w:p>
        </w:tc>
      </w:tr>
      <w:tr w:rsidR="009F28F9" w:rsidRPr="009F28F9" w14:paraId="252A8A95"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79A40078" w14:textId="77A9A0EA" w:rsidR="009F28F9" w:rsidRPr="009F28F9" w:rsidRDefault="009F28F9" w:rsidP="009F28F9">
            <w:pPr>
              <w:jc w:val="center"/>
              <w:rPr>
                <w:rFonts w:ascii="Times" w:hAnsi="Times"/>
                <w:sz w:val="20"/>
                <w:szCs w:val="20"/>
              </w:rPr>
            </w:pPr>
            <w:r w:rsidRPr="009F28F9">
              <w:rPr>
                <w:rFonts w:ascii="Times" w:hAnsi="Times" w:cs="Calibri"/>
                <w:sz w:val="20"/>
                <w:szCs w:val="20"/>
              </w:rPr>
              <w:t>F780</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23B30098" w14:textId="418F32EF" w:rsidR="009F28F9" w:rsidRPr="009F28F9" w:rsidRDefault="009F28F9" w:rsidP="009F28F9">
            <w:pPr>
              <w:rPr>
                <w:rFonts w:ascii="Times" w:hAnsi="Times"/>
                <w:sz w:val="20"/>
                <w:szCs w:val="20"/>
              </w:rPr>
            </w:pPr>
            <w:r w:rsidRPr="009F28F9">
              <w:rPr>
                <w:rFonts w:ascii="Times" w:hAnsi="Times" w:cs="Calibri"/>
                <w:sz w:val="20"/>
                <w:szCs w:val="20"/>
              </w:rPr>
              <w:t>Other mental retardation with the statement of no, or minimal, impairment of behaviour</w:t>
            </w:r>
          </w:p>
        </w:tc>
      </w:tr>
      <w:tr w:rsidR="009F28F9" w:rsidRPr="009F28F9" w14:paraId="71BC15D9"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73C51C23" w14:textId="2DA1D377" w:rsidR="009F28F9" w:rsidRPr="009F28F9" w:rsidRDefault="009F28F9" w:rsidP="009F28F9">
            <w:pPr>
              <w:jc w:val="center"/>
              <w:rPr>
                <w:rFonts w:ascii="Times" w:hAnsi="Times"/>
                <w:sz w:val="20"/>
                <w:szCs w:val="20"/>
              </w:rPr>
            </w:pPr>
            <w:r w:rsidRPr="009F28F9">
              <w:rPr>
                <w:rFonts w:ascii="Times" w:hAnsi="Times" w:cs="Calibri"/>
                <w:sz w:val="20"/>
                <w:szCs w:val="20"/>
              </w:rPr>
              <w:t>F781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6BD5521D" w14:textId="343A5180" w:rsidR="009F28F9" w:rsidRPr="009F28F9" w:rsidRDefault="009F28F9" w:rsidP="009F28F9">
            <w:pPr>
              <w:rPr>
                <w:rFonts w:ascii="Times" w:hAnsi="Times"/>
                <w:sz w:val="20"/>
                <w:szCs w:val="20"/>
              </w:rPr>
            </w:pPr>
            <w:r w:rsidRPr="009F28F9">
              <w:rPr>
                <w:rFonts w:ascii="Times" w:hAnsi="Times" w:cs="Calibri"/>
                <w:sz w:val="20"/>
                <w:szCs w:val="20"/>
              </w:rPr>
              <w:t>Other mental retardation, significant impairment of behaviour requiring attention or treatment</w:t>
            </w:r>
          </w:p>
        </w:tc>
      </w:tr>
      <w:tr w:rsidR="009F28F9" w:rsidRPr="009F28F9" w14:paraId="50B91DA4" w14:textId="77777777" w:rsidTr="00301992">
        <w:trPr>
          <w:trHeight w:val="69"/>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3EC7F82D" w14:textId="3C556A1A" w:rsidR="009F28F9" w:rsidRPr="009F28F9" w:rsidRDefault="009F28F9" w:rsidP="009F28F9">
            <w:pPr>
              <w:jc w:val="center"/>
              <w:rPr>
                <w:rFonts w:ascii="Times" w:hAnsi="Times"/>
                <w:sz w:val="20"/>
                <w:szCs w:val="20"/>
              </w:rPr>
            </w:pPr>
            <w:r w:rsidRPr="009F28F9">
              <w:rPr>
                <w:rFonts w:ascii="Times" w:hAnsi="Times" w:cs="Calibri"/>
                <w:sz w:val="20"/>
                <w:szCs w:val="20"/>
              </w:rPr>
              <w:t>F788</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1888BCA1" w14:textId="33D42FAD" w:rsidR="009F28F9" w:rsidRPr="009F28F9" w:rsidRDefault="009F28F9" w:rsidP="009F28F9">
            <w:pPr>
              <w:rPr>
                <w:rFonts w:ascii="Times" w:hAnsi="Times"/>
                <w:sz w:val="20"/>
                <w:szCs w:val="20"/>
              </w:rPr>
            </w:pPr>
            <w:r w:rsidRPr="009F28F9">
              <w:rPr>
                <w:rFonts w:ascii="Times" w:hAnsi="Times" w:cs="Calibri"/>
                <w:sz w:val="20"/>
                <w:szCs w:val="20"/>
              </w:rPr>
              <w:t>Other mental retardation, other impairments of behaviour</w:t>
            </w:r>
          </w:p>
        </w:tc>
      </w:tr>
      <w:tr w:rsidR="009F28F9" w:rsidRPr="009F28F9" w14:paraId="38B7D693" w14:textId="77777777" w:rsidTr="00301992">
        <w:trPr>
          <w:trHeight w:val="116"/>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111B1D24" w14:textId="6E35DD95" w:rsidR="009F28F9" w:rsidRPr="009F28F9" w:rsidRDefault="009F28F9" w:rsidP="009F28F9">
            <w:pPr>
              <w:jc w:val="center"/>
              <w:rPr>
                <w:rFonts w:ascii="Times" w:hAnsi="Times"/>
                <w:sz w:val="20"/>
                <w:szCs w:val="20"/>
              </w:rPr>
            </w:pPr>
            <w:r w:rsidRPr="009F28F9">
              <w:rPr>
                <w:rFonts w:ascii="Times" w:hAnsi="Times" w:cs="Calibri"/>
                <w:sz w:val="20"/>
                <w:szCs w:val="20"/>
              </w:rPr>
              <w:t>F789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5839B3E9" w14:textId="23827FE3" w:rsidR="009F28F9" w:rsidRPr="009F28F9" w:rsidRDefault="009F28F9" w:rsidP="009F28F9">
            <w:pPr>
              <w:rPr>
                <w:rFonts w:ascii="Times" w:hAnsi="Times"/>
                <w:sz w:val="20"/>
                <w:szCs w:val="20"/>
              </w:rPr>
            </w:pPr>
            <w:r w:rsidRPr="009F28F9">
              <w:rPr>
                <w:rFonts w:ascii="Times" w:hAnsi="Times" w:cs="Calibri"/>
                <w:sz w:val="20"/>
                <w:szCs w:val="20"/>
              </w:rPr>
              <w:t>Other mental retardation without mention of impairment of behaviour</w:t>
            </w:r>
          </w:p>
        </w:tc>
      </w:tr>
      <w:tr w:rsidR="009F28F9" w:rsidRPr="009F28F9" w14:paraId="6C9F7ED8"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780F731A" w14:textId="6070EA86" w:rsidR="009F28F9" w:rsidRPr="009F28F9" w:rsidRDefault="009F28F9" w:rsidP="009F28F9">
            <w:pPr>
              <w:jc w:val="center"/>
              <w:rPr>
                <w:rFonts w:ascii="Times" w:hAnsi="Times"/>
                <w:sz w:val="20"/>
                <w:szCs w:val="20"/>
              </w:rPr>
            </w:pPr>
            <w:r w:rsidRPr="009F28F9">
              <w:rPr>
                <w:rFonts w:ascii="Times" w:hAnsi="Times" w:cs="Calibri"/>
                <w:sz w:val="20"/>
                <w:szCs w:val="20"/>
              </w:rPr>
              <w:t>F790</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03BFB56B" w14:textId="66E20652" w:rsidR="009F28F9" w:rsidRPr="009F28F9" w:rsidRDefault="009F28F9" w:rsidP="009F28F9">
            <w:pPr>
              <w:rPr>
                <w:rFonts w:ascii="Times" w:hAnsi="Times"/>
                <w:sz w:val="20"/>
                <w:szCs w:val="20"/>
              </w:rPr>
            </w:pPr>
            <w:r w:rsidRPr="009F28F9">
              <w:rPr>
                <w:rFonts w:ascii="Times" w:hAnsi="Times" w:cs="Calibri"/>
                <w:sz w:val="20"/>
                <w:szCs w:val="20"/>
              </w:rPr>
              <w:t>Unspecified mental retardation with the statement of no, or minimal, impairment of behaviour</w:t>
            </w:r>
          </w:p>
        </w:tc>
      </w:tr>
      <w:tr w:rsidR="009F28F9" w:rsidRPr="009F28F9" w14:paraId="072436F0"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4D8F3A22" w14:textId="08196A5C" w:rsidR="009F28F9" w:rsidRPr="009F28F9" w:rsidRDefault="009F28F9" w:rsidP="009F28F9">
            <w:pPr>
              <w:jc w:val="center"/>
              <w:rPr>
                <w:rFonts w:ascii="Times" w:hAnsi="Times"/>
                <w:sz w:val="20"/>
                <w:szCs w:val="20"/>
              </w:rPr>
            </w:pPr>
            <w:r w:rsidRPr="009F28F9">
              <w:rPr>
                <w:rFonts w:ascii="Times" w:hAnsi="Times" w:cs="Calibri"/>
                <w:sz w:val="20"/>
                <w:szCs w:val="20"/>
              </w:rPr>
              <w:t>F791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0AB61A86" w14:textId="5211F47B" w:rsidR="009F28F9" w:rsidRPr="009F28F9" w:rsidRDefault="009F28F9" w:rsidP="009F28F9">
            <w:pPr>
              <w:rPr>
                <w:rFonts w:ascii="Times" w:hAnsi="Times"/>
                <w:sz w:val="20"/>
                <w:szCs w:val="20"/>
              </w:rPr>
            </w:pPr>
            <w:r w:rsidRPr="009F28F9">
              <w:rPr>
                <w:rFonts w:ascii="Times" w:hAnsi="Times" w:cs="Calibri"/>
                <w:sz w:val="20"/>
                <w:szCs w:val="20"/>
              </w:rPr>
              <w:t>Unspecified mental retardation, significant impairment of behaviour requiring attention or treatment</w:t>
            </w:r>
          </w:p>
        </w:tc>
      </w:tr>
      <w:tr w:rsidR="009F28F9" w:rsidRPr="009F28F9" w14:paraId="1A9DEF10"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087825AB" w14:textId="15DD0135" w:rsidR="009F28F9" w:rsidRPr="009F28F9" w:rsidRDefault="009F28F9" w:rsidP="009F28F9">
            <w:pPr>
              <w:jc w:val="center"/>
              <w:rPr>
                <w:rFonts w:ascii="Times" w:hAnsi="Times"/>
                <w:sz w:val="20"/>
                <w:szCs w:val="20"/>
              </w:rPr>
            </w:pPr>
            <w:r w:rsidRPr="009F28F9">
              <w:rPr>
                <w:rFonts w:ascii="Times" w:hAnsi="Times" w:cs="Calibri"/>
                <w:sz w:val="20"/>
                <w:szCs w:val="20"/>
              </w:rPr>
              <w:t>F798</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0449B47E" w14:textId="5A83FEA8" w:rsidR="009F28F9" w:rsidRPr="009F28F9" w:rsidRDefault="009F28F9" w:rsidP="009F28F9">
            <w:pPr>
              <w:rPr>
                <w:rFonts w:ascii="Times" w:hAnsi="Times"/>
                <w:sz w:val="20"/>
                <w:szCs w:val="20"/>
              </w:rPr>
            </w:pPr>
            <w:r w:rsidRPr="009F28F9">
              <w:rPr>
                <w:rFonts w:ascii="Times" w:hAnsi="Times" w:cs="Calibri"/>
                <w:sz w:val="20"/>
                <w:szCs w:val="20"/>
              </w:rPr>
              <w:t>Unspecified mental retardation, other impairments of behaviour</w:t>
            </w:r>
          </w:p>
        </w:tc>
      </w:tr>
      <w:tr w:rsidR="009F28F9" w:rsidRPr="009F28F9" w14:paraId="37D32A0E"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75327E45" w14:textId="14CD59E9" w:rsidR="009F28F9" w:rsidRPr="009F28F9" w:rsidRDefault="009F28F9" w:rsidP="009F28F9">
            <w:pPr>
              <w:jc w:val="center"/>
              <w:rPr>
                <w:rFonts w:ascii="Times" w:hAnsi="Times"/>
                <w:sz w:val="20"/>
                <w:szCs w:val="20"/>
              </w:rPr>
            </w:pPr>
            <w:r w:rsidRPr="009F28F9">
              <w:rPr>
                <w:rFonts w:ascii="Times" w:hAnsi="Times" w:cs="Calibri"/>
                <w:sz w:val="20"/>
                <w:szCs w:val="20"/>
              </w:rPr>
              <w:t>F799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2D2321C4" w14:textId="24FF022F" w:rsidR="009F28F9" w:rsidRPr="009F28F9" w:rsidRDefault="009F28F9" w:rsidP="009F28F9">
            <w:pPr>
              <w:rPr>
                <w:rFonts w:ascii="Times" w:hAnsi="Times"/>
                <w:sz w:val="20"/>
                <w:szCs w:val="20"/>
              </w:rPr>
            </w:pPr>
            <w:r w:rsidRPr="009F28F9">
              <w:rPr>
                <w:rFonts w:ascii="Times" w:hAnsi="Times" w:cs="Calibri"/>
                <w:sz w:val="20"/>
                <w:szCs w:val="20"/>
              </w:rPr>
              <w:t>Unspecified mental retardation without mention of impairment of behaviour</w:t>
            </w:r>
          </w:p>
        </w:tc>
      </w:tr>
      <w:tr w:rsidR="009F28F9" w:rsidRPr="009F28F9" w14:paraId="6E25403B"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6EE4C15F" w14:textId="660383F0" w:rsidR="009F28F9" w:rsidRPr="009F28F9" w:rsidRDefault="009F28F9" w:rsidP="009F28F9">
            <w:pPr>
              <w:jc w:val="center"/>
              <w:rPr>
                <w:rFonts w:ascii="Times" w:hAnsi="Times"/>
                <w:sz w:val="20"/>
                <w:szCs w:val="20"/>
              </w:rPr>
            </w:pPr>
            <w:r w:rsidRPr="009F28F9">
              <w:rPr>
                <w:rFonts w:ascii="Times" w:hAnsi="Times" w:cs="Calibri"/>
                <w:sz w:val="20"/>
                <w:szCs w:val="20"/>
              </w:rPr>
              <w:t>F840</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58DB3FA3" w14:textId="2FE9773D" w:rsidR="009F28F9" w:rsidRPr="009F28F9" w:rsidRDefault="009F28F9" w:rsidP="009F28F9">
            <w:pPr>
              <w:rPr>
                <w:rFonts w:ascii="Times" w:hAnsi="Times"/>
                <w:sz w:val="20"/>
                <w:szCs w:val="20"/>
              </w:rPr>
            </w:pPr>
            <w:r w:rsidRPr="009F28F9">
              <w:rPr>
                <w:rFonts w:ascii="Times" w:hAnsi="Times" w:cs="Calibri"/>
                <w:sz w:val="20"/>
                <w:szCs w:val="20"/>
              </w:rPr>
              <w:t>Childhood autism</w:t>
            </w:r>
          </w:p>
        </w:tc>
      </w:tr>
      <w:tr w:rsidR="009F28F9" w:rsidRPr="009F28F9" w14:paraId="010028AF" w14:textId="77777777" w:rsidTr="00301992">
        <w:trPr>
          <w:trHeight w:val="79"/>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278E79A3" w14:textId="2A902BF7" w:rsidR="009F28F9" w:rsidRPr="009F28F9" w:rsidRDefault="009F28F9" w:rsidP="009F28F9">
            <w:pPr>
              <w:jc w:val="center"/>
              <w:rPr>
                <w:rFonts w:ascii="Times" w:hAnsi="Times"/>
                <w:sz w:val="20"/>
                <w:szCs w:val="20"/>
              </w:rPr>
            </w:pPr>
            <w:r w:rsidRPr="009F28F9">
              <w:rPr>
                <w:rFonts w:ascii="Times" w:hAnsi="Times" w:cs="Calibri"/>
                <w:sz w:val="20"/>
                <w:szCs w:val="20"/>
              </w:rPr>
              <w:t>F841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1FDD1F22" w14:textId="77F35D2C" w:rsidR="009F28F9" w:rsidRPr="009F28F9" w:rsidRDefault="009F28F9" w:rsidP="009F28F9">
            <w:pPr>
              <w:rPr>
                <w:rFonts w:ascii="Times" w:hAnsi="Times"/>
                <w:sz w:val="20"/>
                <w:szCs w:val="20"/>
              </w:rPr>
            </w:pPr>
            <w:r w:rsidRPr="009F28F9">
              <w:rPr>
                <w:rFonts w:ascii="Times" w:hAnsi="Times" w:cs="Calibri"/>
                <w:sz w:val="20"/>
                <w:szCs w:val="20"/>
              </w:rPr>
              <w:t>Atypical autism</w:t>
            </w:r>
          </w:p>
        </w:tc>
      </w:tr>
      <w:tr w:rsidR="009F28F9" w:rsidRPr="009F28F9" w14:paraId="5FA20D9D"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0E9DE3A2" w14:textId="4E4A54E6" w:rsidR="009F28F9" w:rsidRPr="009F28F9" w:rsidRDefault="009F28F9" w:rsidP="009F28F9">
            <w:pPr>
              <w:jc w:val="center"/>
              <w:rPr>
                <w:rFonts w:ascii="Times" w:hAnsi="Times"/>
                <w:sz w:val="20"/>
                <w:szCs w:val="20"/>
              </w:rPr>
            </w:pPr>
            <w:r w:rsidRPr="009F28F9">
              <w:rPr>
                <w:rFonts w:ascii="Times" w:hAnsi="Times" w:cs="Calibri"/>
                <w:sz w:val="20"/>
                <w:szCs w:val="20"/>
              </w:rPr>
              <w:t>F843</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5A328841" w14:textId="14A7D566" w:rsidR="009F28F9" w:rsidRPr="009F28F9" w:rsidRDefault="009F28F9" w:rsidP="009F28F9">
            <w:pPr>
              <w:rPr>
                <w:rFonts w:ascii="Times" w:hAnsi="Times"/>
                <w:sz w:val="20"/>
                <w:szCs w:val="20"/>
              </w:rPr>
            </w:pPr>
            <w:r w:rsidRPr="009F28F9">
              <w:rPr>
                <w:rFonts w:ascii="Times" w:hAnsi="Times" w:cs="Calibri"/>
                <w:sz w:val="20"/>
                <w:szCs w:val="20"/>
              </w:rPr>
              <w:t>Other childhood disintegrative disorder</w:t>
            </w:r>
          </w:p>
        </w:tc>
      </w:tr>
      <w:tr w:rsidR="009F28F9" w:rsidRPr="009F28F9" w14:paraId="664608B6"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2FDD0F31" w14:textId="05B2555E" w:rsidR="009F28F9" w:rsidRPr="009F28F9" w:rsidRDefault="009F28F9" w:rsidP="009F28F9">
            <w:pPr>
              <w:jc w:val="center"/>
              <w:rPr>
                <w:rFonts w:ascii="Times" w:hAnsi="Times"/>
                <w:sz w:val="20"/>
                <w:szCs w:val="20"/>
              </w:rPr>
            </w:pPr>
            <w:r w:rsidRPr="009F28F9">
              <w:rPr>
                <w:rFonts w:ascii="Times" w:hAnsi="Times" w:cs="Calibri"/>
                <w:sz w:val="20"/>
                <w:szCs w:val="20"/>
              </w:rPr>
              <w:t>F844</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4E9C8924" w14:textId="2581AA2D" w:rsidR="009F28F9" w:rsidRPr="009F28F9" w:rsidRDefault="009F28F9" w:rsidP="009F28F9">
            <w:pPr>
              <w:rPr>
                <w:rFonts w:ascii="Times" w:hAnsi="Times"/>
                <w:sz w:val="20"/>
                <w:szCs w:val="20"/>
              </w:rPr>
            </w:pPr>
            <w:r w:rsidRPr="009F28F9">
              <w:rPr>
                <w:rFonts w:ascii="Times" w:hAnsi="Times" w:cs="Calibri"/>
                <w:sz w:val="20"/>
                <w:szCs w:val="20"/>
              </w:rPr>
              <w:t>Overactive disorder associated with mental retardation and stereotyped movements</w:t>
            </w:r>
          </w:p>
        </w:tc>
      </w:tr>
      <w:tr w:rsidR="009F28F9" w:rsidRPr="009F28F9" w14:paraId="6558E393"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1A5FF42B" w14:textId="7A6A4E92" w:rsidR="009F28F9" w:rsidRPr="009F28F9" w:rsidRDefault="009F28F9" w:rsidP="009F28F9">
            <w:pPr>
              <w:jc w:val="center"/>
              <w:rPr>
                <w:rFonts w:ascii="Times" w:hAnsi="Times"/>
                <w:sz w:val="20"/>
                <w:szCs w:val="20"/>
              </w:rPr>
            </w:pPr>
            <w:r w:rsidRPr="009F28F9">
              <w:rPr>
                <w:rFonts w:ascii="Times" w:hAnsi="Times" w:cs="Calibri"/>
                <w:sz w:val="20"/>
                <w:szCs w:val="20"/>
              </w:rPr>
              <w:t>F845</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6E26E62B" w14:textId="5B552927" w:rsidR="009F28F9" w:rsidRPr="009F28F9" w:rsidRDefault="009F28F9" w:rsidP="009F28F9">
            <w:pPr>
              <w:rPr>
                <w:rFonts w:ascii="Times" w:hAnsi="Times"/>
                <w:sz w:val="20"/>
                <w:szCs w:val="20"/>
              </w:rPr>
            </w:pPr>
            <w:r w:rsidRPr="009F28F9">
              <w:rPr>
                <w:rFonts w:ascii="Times" w:hAnsi="Times" w:cs="Calibri"/>
                <w:sz w:val="20"/>
                <w:szCs w:val="20"/>
              </w:rPr>
              <w:t>Asperger’s syndrome</w:t>
            </w:r>
          </w:p>
        </w:tc>
      </w:tr>
      <w:tr w:rsidR="009F28F9" w:rsidRPr="009F28F9" w14:paraId="6FB2E65A"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18DACA10" w14:textId="6D18AF95" w:rsidR="009F28F9" w:rsidRPr="009F28F9" w:rsidRDefault="009F28F9" w:rsidP="009F28F9">
            <w:pPr>
              <w:jc w:val="center"/>
              <w:rPr>
                <w:rFonts w:ascii="Times" w:hAnsi="Times"/>
                <w:sz w:val="20"/>
                <w:szCs w:val="20"/>
              </w:rPr>
            </w:pPr>
            <w:r w:rsidRPr="009F28F9">
              <w:rPr>
                <w:rFonts w:ascii="Times" w:hAnsi="Times" w:cs="Calibri"/>
                <w:sz w:val="20"/>
                <w:szCs w:val="20"/>
              </w:rPr>
              <w:t>F848</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1C868542" w14:textId="6714CEFA" w:rsidR="009F28F9" w:rsidRPr="009F28F9" w:rsidRDefault="009F28F9" w:rsidP="009F28F9">
            <w:pPr>
              <w:rPr>
                <w:rFonts w:ascii="Times" w:hAnsi="Times"/>
                <w:sz w:val="20"/>
                <w:szCs w:val="20"/>
              </w:rPr>
            </w:pPr>
            <w:r w:rsidRPr="009F28F9">
              <w:rPr>
                <w:rFonts w:ascii="Times" w:hAnsi="Times" w:cs="Calibri"/>
                <w:sz w:val="20"/>
                <w:szCs w:val="20"/>
              </w:rPr>
              <w:t>Other pervasive developmental disorders</w:t>
            </w:r>
          </w:p>
        </w:tc>
      </w:tr>
      <w:tr w:rsidR="009F28F9" w:rsidRPr="009F28F9" w14:paraId="36F3A77F"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758F5FED" w14:textId="245543BC" w:rsidR="009F28F9" w:rsidRPr="009F28F9" w:rsidRDefault="009F28F9" w:rsidP="009F28F9">
            <w:pPr>
              <w:jc w:val="center"/>
              <w:rPr>
                <w:rFonts w:ascii="Times" w:hAnsi="Times"/>
                <w:sz w:val="20"/>
                <w:szCs w:val="20"/>
              </w:rPr>
            </w:pPr>
            <w:r w:rsidRPr="009F28F9">
              <w:rPr>
                <w:rFonts w:ascii="Times" w:hAnsi="Times" w:cs="Calibri"/>
                <w:sz w:val="20"/>
                <w:szCs w:val="20"/>
              </w:rPr>
              <w:t>F849</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186006DA" w14:textId="761440E3" w:rsidR="009F28F9" w:rsidRPr="009F28F9" w:rsidRDefault="009F28F9" w:rsidP="009F28F9">
            <w:pPr>
              <w:rPr>
                <w:rFonts w:ascii="Times" w:hAnsi="Times"/>
                <w:sz w:val="20"/>
                <w:szCs w:val="20"/>
              </w:rPr>
            </w:pPr>
            <w:r w:rsidRPr="009F28F9">
              <w:rPr>
                <w:rFonts w:ascii="Times" w:hAnsi="Times" w:cs="Calibri"/>
                <w:sz w:val="20"/>
                <w:szCs w:val="20"/>
              </w:rPr>
              <w:t>Pervasive developmental disorders, unspecified</w:t>
            </w:r>
          </w:p>
        </w:tc>
      </w:tr>
      <w:tr w:rsidR="009F28F9" w:rsidRPr="009F28F9" w14:paraId="200D10BF"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4D51838D" w14:textId="020A2A26" w:rsidR="009F28F9" w:rsidRPr="009F28F9" w:rsidRDefault="009F28F9" w:rsidP="009F28F9">
            <w:pPr>
              <w:jc w:val="center"/>
              <w:rPr>
                <w:rFonts w:ascii="Times" w:hAnsi="Times"/>
                <w:sz w:val="20"/>
                <w:szCs w:val="20"/>
              </w:rPr>
            </w:pPr>
            <w:r w:rsidRPr="009F28F9">
              <w:rPr>
                <w:rFonts w:ascii="Times" w:hAnsi="Times" w:cs="Calibri"/>
                <w:sz w:val="20"/>
                <w:szCs w:val="20"/>
              </w:rPr>
              <w:t>Q851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4B308938" w14:textId="5AFF93A6" w:rsidR="009F28F9" w:rsidRPr="009F28F9" w:rsidRDefault="009F28F9" w:rsidP="009F28F9">
            <w:pPr>
              <w:rPr>
                <w:rFonts w:ascii="Times" w:hAnsi="Times"/>
                <w:sz w:val="20"/>
                <w:szCs w:val="20"/>
              </w:rPr>
            </w:pPr>
            <w:r w:rsidRPr="009F28F9">
              <w:rPr>
                <w:rFonts w:ascii="Times" w:hAnsi="Times" w:cs="Calibri"/>
                <w:sz w:val="20"/>
                <w:szCs w:val="20"/>
              </w:rPr>
              <w:t>Tuberous sclerosis</w:t>
            </w:r>
          </w:p>
        </w:tc>
      </w:tr>
      <w:tr w:rsidR="009F28F9" w:rsidRPr="009F28F9" w14:paraId="60FDB995"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499CB838" w14:textId="19D028B7" w:rsidR="009F28F9" w:rsidRPr="009F28F9" w:rsidRDefault="009F28F9" w:rsidP="009F28F9">
            <w:pPr>
              <w:jc w:val="center"/>
              <w:rPr>
                <w:rFonts w:ascii="Times" w:hAnsi="Times"/>
                <w:sz w:val="20"/>
                <w:szCs w:val="20"/>
              </w:rPr>
            </w:pPr>
            <w:r w:rsidRPr="009F28F9">
              <w:rPr>
                <w:rFonts w:ascii="Times" w:hAnsi="Times" w:cs="Calibri"/>
                <w:sz w:val="20"/>
                <w:szCs w:val="20"/>
              </w:rPr>
              <w:t>Q860</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1C5416DC" w14:textId="61B6C40D" w:rsidR="009F28F9" w:rsidRPr="009F28F9" w:rsidRDefault="009F28F9" w:rsidP="009F28F9">
            <w:pPr>
              <w:rPr>
                <w:rFonts w:ascii="Times" w:hAnsi="Times"/>
                <w:sz w:val="20"/>
                <w:szCs w:val="20"/>
              </w:rPr>
            </w:pPr>
            <w:r w:rsidRPr="009F28F9">
              <w:rPr>
                <w:rFonts w:ascii="Times" w:hAnsi="Times" w:cs="Calibri"/>
                <w:sz w:val="20"/>
                <w:szCs w:val="20"/>
              </w:rPr>
              <w:t>Fetal alcohol syndrome</w:t>
            </w:r>
          </w:p>
        </w:tc>
      </w:tr>
      <w:tr w:rsidR="009F28F9" w:rsidRPr="009F28F9" w14:paraId="11EE6061" w14:textId="77777777" w:rsidTr="00301992">
        <w:trPr>
          <w:trHeight w:val="150"/>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16EEE665" w14:textId="3B8C232E" w:rsidR="009F28F9" w:rsidRPr="009F28F9" w:rsidRDefault="009F28F9" w:rsidP="009F28F9">
            <w:pPr>
              <w:jc w:val="center"/>
              <w:rPr>
                <w:rFonts w:ascii="Times" w:hAnsi="Times"/>
                <w:sz w:val="20"/>
                <w:szCs w:val="20"/>
              </w:rPr>
            </w:pPr>
            <w:r w:rsidRPr="009F28F9">
              <w:rPr>
                <w:rFonts w:ascii="Times" w:hAnsi="Times" w:cs="Calibri"/>
                <w:sz w:val="20"/>
                <w:szCs w:val="20"/>
              </w:rPr>
              <w:t>Q861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6609682C" w14:textId="0A2E6A3D" w:rsidR="009F28F9" w:rsidRPr="009F28F9" w:rsidRDefault="009F28F9" w:rsidP="009F28F9">
            <w:pPr>
              <w:rPr>
                <w:rFonts w:ascii="Times" w:hAnsi="Times"/>
                <w:sz w:val="20"/>
                <w:szCs w:val="20"/>
              </w:rPr>
            </w:pPr>
            <w:r w:rsidRPr="009F28F9">
              <w:rPr>
                <w:rFonts w:ascii="Times" w:hAnsi="Times" w:cs="Calibri"/>
                <w:sz w:val="20"/>
                <w:szCs w:val="20"/>
              </w:rPr>
              <w:t>Fetal hydantoin syndrome</w:t>
            </w:r>
          </w:p>
        </w:tc>
      </w:tr>
      <w:tr w:rsidR="009F28F9" w:rsidRPr="009F28F9" w14:paraId="49B6B92C"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03A6301B" w14:textId="31AE676D" w:rsidR="009F28F9" w:rsidRPr="009F28F9" w:rsidRDefault="009F28F9" w:rsidP="009F28F9">
            <w:pPr>
              <w:jc w:val="center"/>
              <w:rPr>
                <w:rFonts w:ascii="Times" w:hAnsi="Times"/>
                <w:sz w:val="20"/>
                <w:szCs w:val="20"/>
              </w:rPr>
            </w:pPr>
            <w:r w:rsidRPr="009F28F9">
              <w:rPr>
                <w:rFonts w:ascii="Times" w:hAnsi="Times" w:cs="Calibri"/>
                <w:sz w:val="20"/>
                <w:szCs w:val="20"/>
              </w:rPr>
              <w:t>Q871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199023B6" w14:textId="0AC27C18" w:rsidR="009F28F9" w:rsidRPr="009F28F9" w:rsidRDefault="009F28F9" w:rsidP="009F28F9">
            <w:pPr>
              <w:rPr>
                <w:rFonts w:ascii="Times" w:hAnsi="Times"/>
                <w:sz w:val="20"/>
                <w:szCs w:val="20"/>
              </w:rPr>
            </w:pPr>
            <w:proofErr w:type="spellStart"/>
            <w:r w:rsidRPr="009F28F9">
              <w:rPr>
                <w:rFonts w:ascii="Times" w:hAnsi="Times" w:cs="Calibri"/>
                <w:sz w:val="20"/>
                <w:szCs w:val="20"/>
              </w:rPr>
              <w:t>Aarskog</w:t>
            </w:r>
            <w:proofErr w:type="spellEnd"/>
            <w:r w:rsidRPr="009F28F9">
              <w:rPr>
                <w:rFonts w:ascii="Times" w:hAnsi="Times" w:cs="Calibri"/>
                <w:sz w:val="20"/>
                <w:szCs w:val="20"/>
              </w:rPr>
              <w:t>, Prader-Willi, de Lange, Seckel, etc.</w:t>
            </w:r>
          </w:p>
        </w:tc>
      </w:tr>
      <w:tr w:rsidR="009F28F9" w:rsidRPr="009F28F9" w14:paraId="0B529EEA"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67A0BDB9" w14:textId="621F60BC" w:rsidR="009F28F9" w:rsidRPr="009F28F9" w:rsidRDefault="009F28F9" w:rsidP="009F28F9">
            <w:pPr>
              <w:jc w:val="center"/>
              <w:rPr>
                <w:rFonts w:ascii="Times" w:hAnsi="Times"/>
                <w:sz w:val="20"/>
                <w:szCs w:val="20"/>
              </w:rPr>
            </w:pPr>
            <w:r w:rsidRPr="009F28F9">
              <w:rPr>
                <w:rFonts w:ascii="Times" w:hAnsi="Times" w:cs="Calibri"/>
                <w:sz w:val="20"/>
                <w:szCs w:val="20"/>
              </w:rPr>
              <w:t>Q8723</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1C9B427E" w14:textId="68CEF917" w:rsidR="009F28F9" w:rsidRPr="009F28F9" w:rsidRDefault="009F28F9" w:rsidP="009F28F9">
            <w:pPr>
              <w:rPr>
                <w:rFonts w:ascii="Times" w:hAnsi="Times"/>
                <w:sz w:val="20"/>
                <w:szCs w:val="20"/>
              </w:rPr>
            </w:pPr>
            <w:r w:rsidRPr="009F28F9">
              <w:rPr>
                <w:rFonts w:ascii="Times" w:hAnsi="Times" w:cs="Calibri"/>
                <w:sz w:val="20"/>
                <w:szCs w:val="20"/>
              </w:rPr>
              <w:t>Rubinstein-</w:t>
            </w:r>
            <w:proofErr w:type="spellStart"/>
            <w:r w:rsidRPr="009F28F9">
              <w:rPr>
                <w:rFonts w:ascii="Times" w:hAnsi="Times" w:cs="Calibri"/>
                <w:sz w:val="20"/>
                <w:szCs w:val="20"/>
              </w:rPr>
              <w:t>Taybi</w:t>
            </w:r>
            <w:proofErr w:type="spellEnd"/>
            <w:r w:rsidRPr="009F28F9">
              <w:rPr>
                <w:rFonts w:ascii="Times" w:hAnsi="Times" w:cs="Calibri"/>
                <w:sz w:val="20"/>
                <w:szCs w:val="20"/>
              </w:rPr>
              <w:t xml:space="preserve"> syndrome (include only if all 5 digits exist)</w:t>
            </w:r>
          </w:p>
        </w:tc>
      </w:tr>
      <w:tr w:rsidR="009F28F9" w:rsidRPr="009F28F9" w14:paraId="0F87067C" w14:textId="77777777" w:rsidTr="00301992">
        <w:trPr>
          <w:trHeight w:val="88"/>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51C18261" w14:textId="6736DDAA" w:rsidR="009F28F9" w:rsidRPr="009F28F9" w:rsidRDefault="009F28F9" w:rsidP="009F28F9">
            <w:pPr>
              <w:jc w:val="center"/>
              <w:rPr>
                <w:rFonts w:ascii="Times" w:hAnsi="Times"/>
                <w:sz w:val="20"/>
                <w:szCs w:val="20"/>
              </w:rPr>
            </w:pPr>
            <w:r w:rsidRPr="009F28F9">
              <w:rPr>
                <w:rFonts w:ascii="Times" w:hAnsi="Times" w:cs="Calibri"/>
                <w:sz w:val="20"/>
                <w:szCs w:val="20"/>
              </w:rPr>
              <w:t>Q8731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07B395D0" w14:textId="3EE2BBB1" w:rsidR="009F28F9" w:rsidRPr="009F28F9" w:rsidRDefault="009F28F9" w:rsidP="009F28F9">
            <w:pPr>
              <w:rPr>
                <w:rFonts w:ascii="Times" w:hAnsi="Times"/>
                <w:sz w:val="20"/>
                <w:szCs w:val="20"/>
              </w:rPr>
            </w:pPr>
            <w:proofErr w:type="spellStart"/>
            <w:r w:rsidRPr="009F28F9">
              <w:rPr>
                <w:rFonts w:ascii="Times" w:hAnsi="Times" w:cs="Calibri"/>
                <w:sz w:val="20"/>
                <w:szCs w:val="20"/>
              </w:rPr>
              <w:t>Sotos</w:t>
            </w:r>
            <w:proofErr w:type="spellEnd"/>
            <w:r w:rsidRPr="009F28F9">
              <w:rPr>
                <w:rFonts w:ascii="Times" w:hAnsi="Times" w:cs="Calibri"/>
                <w:sz w:val="20"/>
                <w:szCs w:val="20"/>
              </w:rPr>
              <w:t xml:space="preserve"> syndrome (include only if all 5 digits exist)</w:t>
            </w:r>
          </w:p>
        </w:tc>
      </w:tr>
      <w:tr w:rsidR="009F28F9" w:rsidRPr="009F28F9" w14:paraId="448A8FF5" w14:textId="77777777" w:rsidTr="00301992">
        <w:trPr>
          <w:trHeight w:val="61"/>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37B8FD3C" w14:textId="1B475596" w:rsidR="009F28F9" w:rsidRPr="009F28F9" w:rsidRDefault="009F28F9" w:rsidP="009F28F9">
            <w:pPr>
              <w:jc w:val="center"/>
              <w:rPr>
                <w:rFonts w:ascii="Times" w:hAnsi="Times"/>
                <w:sz w:val="20"/>
                <w:szCs w:val="20"/>
              </w:rPr>
            </w:pPr>
            <w:r w:rsidRPr="009F28F9">
              <w:rPr>
                <w:rFonts w:ascii="Times" w:hAnsi="Times" w:cs="Calibri"/>
                <w:sz w:val="20"/>
                <w:szCs w:val="20"/>
              </w:rPr>
              <w:t>Q878</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4ED7B6BF" w14:textId="1AAB1EA1" w:rsidR="009F28F9" w:rsidRPr="009F28F9" w:rsidRDefault="009F28F9" w:rsidP="009F28F9">
            <w:pPr>
              <w:rPr>
                <w:rFonts w:ascii="Times" w:hAnsi="Times"/>
                <w:sz w:val="20"/>
                <w:szCs w:val="20"/>
              </w:rPr>
            </w:pPr>
            <w:r w:rsidRPr="009F28F9">
              <w:rPr>
                <w:rFonts w:ascii="Times" w:hAnsi="Times" w:cs="Calibri"/>
                <w:sz w:val="20"/>
                <w:szCs w:val="20"/>
              </w:rPr>
              <w:t xml:space="preserve">Other </w:t>
            </w:r>
          </w:p>
        </w:tc>
      </w:tr>
      <w:tr w:rsidR="009F28F9" w:rsidRPr="009F28F9" w14:paraId="2D6533C7" w14:textId="77777777" w:rsidTr="00301992">
        <w:trPr>
          <w:trHeight w:val="68"/>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0FEB1C11" w14:textId="31C2D6BD" w:rsidR="009F28F9" w:rsidRPr="009F28F9" w:rsidRDefault="009F28F9" w:rsidP="009F28F9">
            <w:pPr>
              <w:jc w:val="center"/>
              <w:rPr>
                <w:rFonts w:ascii="Times" w:hAnsi="Times"/>
                <w:sz w:val="20"/>
                <w:szCs w:val="20"/>
              </w:rPr>
            </w:pPr>
            <w:r w:rsidRPr="009F28F9">
              <w:rPr>
                <w:rFonts w:ascii="Times" w:hAnsi="Times" w:cs="Calibri"/>
                <w:sz w:val="20"/>
                <w:szCs w:val="20"/>
              </w:rPr>
              <w:t>Q900 - Q939 except Q926</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49A08042" w14:textId="1AB4D8BE" w:rsidR="009F28F9" w:rsidRPr="009F28F9" w:rsidRDefault="009F28F9" w:rsidP="009F28F9">
            <w:pPr>
              <w:rPr>
                <w:rFonts w:ascii="Times" w:hAnsi="Times"/>
                <w:sz w:val="20"/>
                <w:szCs w:val="20"/>
              </w:rPr>
            </w:pPr>
            <w:r w:rsidRPr="009F28F9">
              <w:rPr>
                <w:rFonts w:ascii="Times" w:hAnsi="Times" w:cs="Calibri"/>
                <w:sz w:val="20"/>
                <w:szCs w:val="20"/>
              </w:rPr>
              <w:t>All Down syndrome types, cri du chat, etc. (except extra marker chromosomes)</w:t>
            </w:r>
          </w:p>
        </w:tc>
      </w:tr>
      <w:tr w:rsidR="009F28F9" w:rsidRPr="009F28F9" w14:paraId="0660BD52" w14:textId="77777777" w:rsidTr="00301992">
        <w:trPr>
          <w:trHeight w:val="96"/>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5C8B0B0D" w14:textId="26EBC0D3" w:rsidR="009F28F9" w:rsidRPr="009F28F9" w:rsidRDefault="009F28F9" w:rsidP="009F28F9">
            <w:pPr>
              <w:jc w:val="center"/>
              <w:rPr>
                <w:rFonts w:ascii="Times" w:hAnsi="Times"/>
                <w:sz w:val="20"/>
                <w:szCs w:val="20"/>
              </w:rPr>
            </w:pPr>
            <w:r w:rsidRPr="009F28F9">
              <w:rPr>
                <w:rFonts w:ascii="Times" w:hAnsi="Times" w:cs="Calibri"/>
                <w:sz w:val="20"/>
                <w:szCs w:val="20"/>
              </w:rPr>
              <w:t>Q971</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66A94248" w14:textId="3D51234A" w:rsidR="009F28F9" w:rsidRPr="009F28F9" w:rsidRDefault="009F28F9" w:rsidP="009F28F9">
            <w:pPr>
              <w:rPr>
                <w:rFonts w:ascii="Times" w:hAnsi="Times"/>
                <w:sz w:val="20"/>
                <w:szCs w:val="20"/>
              </w:rPr>
            </w:pPr>
            <w:r w:rsidRPr="009F28F9">
              <w:rPr>
                <w:rFonts w:ascii="Times" w:hAnsi="Times" w:cs="Calibri"/>
                <w:sz w:val="20"/>
                <w:szCs w:val="20"/>
              </w:rPr>
              <w:t>Female with more than three X chromosomes</w:t>
            </w:r>
          </w:p>
        </w:tc>
      </w:tr>
      <w:tr w:rsidR="009F28F9" w:rsidRPr="009F28F9" w14:paraId="7E2EA6E8" w14:textId="77777777" w:rsidTr="00301992">
        <w:trPr>
          <w:trHeight w:val="96"/>
        </w:trPr>
        <w:tc>
          <w:tcPr>
            <w:tcW w:w="1701" w:type="dxa"/>
            <w:tcBorders>
              <w:top w:val="single" w:sz="4" w:space="0" w:color="BFBFBF" w:themeColor="background1" w:themeShade="BF"/>
              <w:bottom w:val="single" w:sz="4" w:space="0" w:color="BFBFBF" w:themeColor="background1" w:themeShade="BF"/>
              <w:right w:val="single" w:sz="12" w:space="0" w:color="D9D9D9" w:themeColor="background1" w:themeShade="D9"/>
            </w:tcBorders>
          </w:tcPr>
          <w:p w14:paraId="4F631CD4" w14:textId="5EC6213E" w:rsidR="009F28F9" w:rsidRPr="009F28F9" w:rsidRDefault="009F28F9" w:rsidP="009F28F9">
            <w:pPr>
              <w:jc w:val="center"/>
              <w:rPr>
                <w:rFonts w:ascii="Times" w:hAnsi="Times" w:cs="Calibri"/>
                <w:sz w:val="20"/>
                <w:szCs w:val="20"/>
              </w:rPr>
            </w:pPr>
            <w:r w:rsidRPr="009F28F9">
              <w:rPr>
                <w:rFonts w:ascii="Times" w:hAnsi="Times" w:cs="Calibri"/>
                <w:sz w:val="20"/>
                <w:szCs w:val="20"/>
              </w:rPr>
              <w:t>Q992</w:t>
            </w:r>
          </w:p>
        </w:tc>
        <w:tc>
          <w:tcPr>
            <w:tcW w:w="10893" w:type="dxa"/>
            <w:tcBorders>
              <w:top w:val="single" w:sz="4" w:space="0" w:color="BFBFBF" w:themeColor="background1" w:themeShade="BF"/>
              <w:left w:val="single" w:sz="12" w:space="0" w:color="D9D9D9" w:themeColor="background1" w:themeShade="D9"/>
              <w:bottom w:val="single" w:sz="4" w:space="0" w:color="BFBFBF" w:themeColor="background1" w:themeShade="BF"/>
            </w:tcBorders>
          </w:tcPr>
          <w:p w14:paraId="2855C9E2" w14:textId="71F6373D" w:rsidR="009F28F9" w:rsidRPr="009F28F9" w:rsidRDefault="009F28F9" w:rsidP="009F28F9">
            <w:pPr>
              <w:rPr>
                <w:rFonts w:ascii="Times" w:hAnsi="Times" w:cs="Calibri"/>
                <w:sz w:val="20"/>
                <w:szCs w:val="20"/>
              </w:rPr>
            </w:pPr>
            <w:r w:rsidRPr="009F28F9">
              <w:rPr>
                <w:rFonts w:ascii="Times" w:hAnsi="Times" w:cs="Calibri"/>
                <w:sz w:val="20"/>
                <w:szCs w:val="20"/>
              </w:rPr>
              <w:t>Fragile x syndrome</w:t>
            </w:r>
          </w:p>
        </w:tc>
      </w:tr>
      <w:tr w:rsidR="009F28F9" w:rsidRPr="009F28F9" w14:paraId="042C1544" w14:textId="77777777" w:rsidTr="00301992">
        <w:trPr>
          <w:trHeight w:val="96"/>
        </w:trPr>
        <w:tc>
          <w:tcPr>
            <w:tcW w:w="1701" w:type="dxa"/>
            <w:tcBorders>
              <w:top w:val="single" w:sz="4" w:space="0" w:color="BFBFBF" w:themeColor="background1" w:themeShade="BF"/>
              <w:bottom w:val="single" w:sz="12" w:space="0" w:color="000000" w:themeColor="text1"/>
              <w:right w:val="single" w:sz="12" w:space="0" w:color="D9D9D9" w:themeColor="background1" w:themeShade="D9"/>
            </w:tcBorders>
          </w:tcPr>
          <w:p w14:paraId="78C4C55D" w14:textId="2A38960A" w:rsidR="009F28F9" w:rsidRPr="009F28F9" w:rsidRDefault="009F28F9" w:rsidP="009F28F9">
            <w:pPr>
              <w:jc w:val="center"/>
              <w:rPr>
                <w:rFonts w:ascii="Times" w:hAnsi="Times" w:cs="Calibri"/>
                <w:sz w:val="20"/>
                <w:szCs w:val="20"/>
              </w:rPr>
            </w:pPr>
            <w:r w:rsidRPr="009F28F9">
              <w:rPr>
                <w:rFonts w:ascii="Times" w:hAnsi="Times" w:cs="Calibri"/>
                <w:sz w:val="20"/>
                <w:szCs w:val="20"/>
              </w:rPr>
              <w:t>Q998</w:t>
            </w:r>
          </w:p>
        </w:tc>
        <w:tc>
          <w:tcPr>
            <w:tcW w:w="10893" w:type="dxa"/>
            <w:tcBorders>
              <w:top w:val="single" w:sz="4" w:space="0" w:color="BFBFBF" w:themeColor="background1" w:themeShade="BF"/>
              <w:left w:val="single" w:sz="12" w:space="0" w:color="D9D9D9" w:themeColor="background1" w:themeShade="D9"/>
              <w:bottom w:val="single" w:sz="12" w:space="0" w:color="000000" w:themeColor="text1"/>
            </w:tcBorders>
          </w:tcPr>
          <w:p w14:paraId="2FD47227" w14:textId="57E0CA49" w:rsidR="009F28F9" w:rsidRPr="009F28F9" w:rsidRDefault="009F28F9" w:rsidP="009F28F9">
            <w:pPr>
              <w:rPr>
                <w:rFonts w:ascii="Times" w:hAnsi="Times" w:cs="Calibri"/>
                <w:sz w:val="20"/>
                <w:szCs w:val="20"/>
              </w:rPr>
            </w:pPr>
            <w:r w:rsidRPr="009F28F9">
              <w:rPr>
                <w:rFonts w:ascii="Times" w:hAnsi="Times" w:cs="Calibri"/>
                <w:sz w:val="20"/>
                <w:szCs w:val="20"/>
              </w:rPr>
              <w:t>Other specified chromosome abnormalities</w:t>
            </w:r>
          </w:p>
        </w:tc>
      </w:tr>
    </w:tbl>
    <w:p w14:paraId="58D182D9" w14:textId="319DDF64" w:rsidR="002876D4" w:rsidRDefault="002876D4" w:rsidP="002876D4"/>
    <w:p w14:paraId="108FCB1F" w14:textId="7770208A" w:rsidR="0062072E" w:rsidRDefault="0062072E" w:rsidP="002876D4"/>
    <w:p w14:paraId="239D4023" w14:textId="0C7AC9CE" w:rsidR="0062072E" w:rsidRDefault="0062072E" w:rsidP="002876D4"/>
    <w:p w14:paraId="5D9C98A9" w14:textId="32C053D0" w:rsidR="0062072E" w:rsidRDefault="0062072E" w:rsidP="002876D4"/>
    <w:p w14:paraId="175C2BA8" w14:textId="19946F96" w:rsidR="0062072E" w:rsidRDefault="0062072E" w:rsidP="002876D4"/>
    <w:p w14:paraId="6E899618" w14:textId="7A16D99F" w:rsidR="0062072E" w:rsidRDefault="0062072E" w:rsidP="002876D4"/>
    <w:p w14:paraId="59A79F39" w14:textId="2B8F2FF5" w:rsidR="0062072E" w:rsidRDefault="0062072E" w:rsidP="002876D4"/>
    <w:p w14:paraId="2F2F9396" w14:textId="597432D1" w:rsidR="0062072E" w:rsidRDefault="0062072E" w:rsidP="002876D4"/>
    <w:p w14:paraId="59CE6AF8" w14:textId="501EB1CF" w:rsidR="0062072E" w:rsidRDefault="0062072E" w:rsidP="002876D4"/>
    <w:p w14:paraId="44984524" w14:textId="24A8DBB9" w:rsidR="0062072E" w:rsidRDefault="0062072E" w:rsidP="002876D4"/>
    <w:p w14:paraId="7D021D79" w14:textId="48890956" w:rsidR="0062072E" w:rsidRDefault="0062072E" w:rsidP="002876D4"/>
    <w:p w14:paraId="4C3806E0" w14:textId="1B48BAFD" w:rsidR="0062072E" w:rsidRDefault="0062072E" w:rsidP="002876D4"/>
    <w:p w14:paraId="503A4C75" w14:textId="0E980F36" w:rsidR="0062072E" w:rsidRDefault="0062072E" w:rsidP="002876D4"/>
    <w:p w14:paraId="7A8C3EB0" w14:textId="339D7382" w:rsidR="0062072E" w:rsidRDefault="0062072E" w:rsidP="002876D4"/>
    <w:p w14:paraId="3A6516E5" w14:textId="028571F2" w:rsidR="0062072E" w:rsidRDefault="0062072E" w:rsidP="002876D4"/>
    <w:p w14:paraId="5471031D" w14:textId="619D9667" w:rsidR="0062072E" w:rsidRDefault="0062072E" w:rsidP="002876D4"/>
    <w:p w14:paraId="1A69AE8C" w14:textId="77777777" w:rsidR="0062072E" w:rsidRDefault="0062072E" w:rsidP="002876D4"/>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654"/>
        <w:gridCol w:w="2614"/>
        <w:gridCol w:w="2885"/>
        <w:gridCol w:w="2644"/>
      </w:tblGrid>
      <w:tr w:rsidR="00301992" w:rsidRPr="0062072E" w14:paraId="0E3146A4" w14:textId="77777777" w:rsidTr="004E4118">
        <w:trPr>
          <w:trHeight w:val="562"/>
        </w:trPr>
        <w:tc>
          <w:tcPr>
            <w:tcW w:w="12849" w:type="dxa"/>
            <w:gridSpan w:val="4"/>
            <w:tcBorders>
              <w:top w:val="nil"/>
              <w:bottom w:val="nil"/>
            </w:tcBorders>
            <w:shd w:val="clear" w:color="auto" w:fill="F2F2F2" w:themeFill="background1" w:themeFillShade="F2"/>
          </w:tcPr>
          <w:p w14:paraId="2FEF6638" w14:textId="7E173457" w:rsidR="00301992" w:rsidRPr="0062072E" w:rsidRDefault="00301992" w:rsidP="00656914">
            <w:pPr>
              <w:pStyle w:val="Heading1"/>
              <w:rPr>
                <w:rFonts w:ascii="Times" w:hAnsi="Times"/>
                <w:sz w:val="20"/>
                <w:szCs w:val="20"/>
              </w:rPr>
            </w:pPr>
            <w:bookmarkStart w:id="6" w:name="_Toc98675835"/>
            <w:r w:rsidRPr="0062072E">
              <w:rPr>
                <w:rFonts w:ascii="Times" w:hAnsi="Times"/>
                <w:b/>
                <w:bCs/>
                <w:color w:val="000000" w:themeColor="text1"/>
                <w:sz w:val="20"/>
                <w:szCs w:val="20"/>
              </w:rPr>
              <w:lastRenderedPageBreak/>
              <w:t xml:space="preserve">e-Table </w:t>
            </w:r>
            <w:r w:rsidR="004E4118" w:rsidRPr="0062072E">
              <w:rPr>
                <w:rFonts w:ascii="Times" w:hAnsi="Times"/>
                <w:b/>
                <w:bCs/>
                <w:color w:val="000000" w:themeColor="text1"/>
                <w:sz w:val="20"/>
                <w:szCs w:val="20"/>
              </w:rPr>
              <w:t>3</w:t>
            </w:r>
            <w:r w:rsidRPr="0062072E">
              <w:rPr>
                <w:rFonts w:ascii="Times" w:hAnsi="Times"/>
                <w:b/>
                <w:bCs/>
                <w:color w:val="000000" w:themeColor="text1"/>
                <w:sz w:val="20"/>
                <w:szCs w:val="20"/>
              </w:rPr>
              <w:t>.</w:t>
            </w:r>
            <w:r w:rsidRPr="0062072E">
              <w:rPr>
                <w:rFonts w:ascii="Times" w:hAnsi="Times"/>
                <w:color w:val="000000" w:themeColor="text1"/>
                <w:sz w:val="20"/>
                <w:szCs w:val="20"/>
              </w:rPr>
              <w:t xml:space="preserve"> </w:t>
            </w:r>
            <w:r w:rsidR="004E4118" w:rsidRPr="0062072E">
              <w:rPr>
                <w:rFonts w:ascii="Times" w:hAnsi="Times"/>
                <w:color w:val="000000" w:themeColor="text1"/>
                <w:sz w:val="20"/>
                <w:szCs w:val="20"/>
              </w:rPr>
              <w:t>Diagnostic criteria for codes in e-Table 2 to identify individuals with IDD</w:t>
            </w:r>
            <w:bookmarkEnd w:id="6"/>
          </w:p>
        </w:tc>
      </w:tr>
      <w:tr w:rsidR="00301992" w:rsidRPr="0062072E" w14:paraId="487AEFBA" w14:textId="77777777" w:rsidTr="004E4118">
        <w:trPr>
          <w:trHeight w:val="61"/>
        </w:trPr>
        <w:tc>
          <w:tcPr>
            <w:tcW w:w="1956" w:type="dxa"/>
            <w:tcBorders>
              <w:top w:val="nil"/>
              <w:bottom w:val="single" w:sz="6" w:space="0" w:color="BFBFBF" w:themeColor="background1" w:themeShade="BF"/>
              <w:right w:val="single" w:sz="6" w:space="0" w:color="BFBFBF" w:themeColor="background1" w:themeShade="BF"/>
            </w:tcBorders>
          </w:tcPr>
          <w:p w14:paraId="3E77F493" w14:textId="6F077758" w:rsidR="00301992" w:rsidRPr="0062072E" w:rsidRDefault="004E4118" w:rsidP="00656914">
            <w:pPr>
              <w:jc w:val="center"/>
              <w:rPr>
                <w:rFonts w:ascii="Times" w:hAnsi="Times"/>
                <w:b/>
                <w:bCs/>
                <w:sz w:val="20"/>
                <w:szCs w:val="20"/>
              </w:rPr>
            </w:pPr>
            <w:r w:rsidRPr="0062072E">
              <w:rPr>
                <w:rFonts w:ascii="Times" w:hAnsi="Times"/>
                <w:b/>
                <w:bCs/>
                <w:sz w:val="20"/>
                <w:szCs w:val="20"/>
              </w:rPr>
              <w:t>Database</w:t>
            </w:r>
          </w:p>
        </w:tc>
        <w:tc>
          <w:tcPr>
            <w:tcW w:w="3631"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Pr>
          <w:p w14:paraId="3A10B7B6" w14:textId="4856DB17" w:rsidR="00301992" w:rsidRPr="0062072E" w:rsidRDefault="004E4118" w:rsidP="00656914">
            <w:pPr>
              <w:rPr>
                <w:rFonts w:ascii="Times" w:hAnsi="Times"/>
                <w:b/>
                <w:bCs/>
                <w:sz w:val="20"/>
                <w:szCs w:val="20"/>
              </w:rPr>
            </w:pPr>
            <w:r w:rsidRPr="0062072E">
              <w:rPr>
                <w:rFonts w:ascii="Times" w:hAnsi="Times"/>
                <w:b/>
                <w:bCs/>
                <w:sz w:val="20"/>
                <w:szCs w:val="20"/>
              </w:rPr>
              <w:t>Year of Inception</w:t>
            </w:r>
          </w:p>
        </w:tc>
        <w:tc>
          <w:tcPr>
            <w:tcW w:w="3631"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tcPr>
          <w:p w14:paraId="2E648A19" w14:textId="0959FEFE" w:rsidR="00301992" w:rsidRPr="0062072E" w:rsidRDefault="004E4118" w:rsidP="00656914">
            <w:pPr>
              <w:rPr>
                <w:rFonts w:ascii="Times" w:hAnsi="Times"/>
                <w:b/>
                <w:bCs/>
                <w:sz w:val="20"/>
                <w:szCs w:val="20"/>
              </w:rPr>
            </w:pPr>
            <w:r w:rsidRPr="0062072E">
              <w:rPr>
                <w:rFonts w:ascii="Times" w:hAnsi="Times"/>
                <w:b/>
                <w:bCs/>
                <w:sz w:val="20"/>
                <w:szCs w:val="20"/>
              </w:rPr>
              <w:t>Diagnoses</w:t>
            </w:r>
          </w:p>
        </w:tc>
        <w:tc>
          <w:tcPr>
            <w:tcW w:w="3631" w:type="dxa"/>
            <w:tcBorders>
              <w:top w:val="nil"/>
              <w:left w:val="single" w:sz="6" w:space="0" w:color="BFBFBF" w:themeColor="background1" w:themeShade="BF"/>
              <w:bottom w:val="single" w:sz="6" w:space="0" w:color="BFBFBF" w:themeColor="background1" w:themeShade="BF"/>
            </w:tcBorders>
          </w:tcPr>
          <w:p w14:paraId="1AEE713D" w14:textId="6A8F604D" w:rsidR="00301992" w:rsidRPr="0062072E" w:rsidRDefault="004E4118" w:rsidP="00656914">
            <w:pPr>
              <w:rPr>
                <w:rFonts w:ascii="Times" w:hAnsi="Times"/>
                <w:b/>
                <w:bCs/>
                <w:sz w:val="20"/>
                <w:szCs w:val="20"/>
              </w:rPr>
            </w:pPr>
            <w:r w:rsidRPr="0062072E">
              <w:rPr>
                <w:rFonts w:ascii="Times" w:hAnsi="Times"/>
                <w:b/>
                <w:bCs/>
                <w:sz w:val="20"/>
                <w:szCs w:val="20"/>
              </w:rPr>
              <w:t>Criteria</w:t>
            </w:r>
          </w:p>
        </w:tc>
      </w:tr>
      <w:tr w:rsidR="004E4118" w:rsidRPr="0062072E" w14:paraId="41AA68CB" w14:textId="77777777" w:rsidTr="00B31E3E">
        <w:trPr>
          <w:trHeight w:val="61"/>
        </w:trPr>
        <w:tc>
          <w:tcPr>
            <w:tcW w:w="1956" w:type="dxa"/>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7AB24559" w14:textId="77777777" w:rsidR="004E4118" w:rsidRPr="0062072E" w:rsidRDefault="004E4118" w:rsidP="004E4118">
            <w:pPr>
              <w:rPr>
                <w:rFonts w:ascii="Times" w:hAnsi="Times"/>
                <w:sz w:val="20"/>
                <w:szCs w:val="20"/>
              </w:rPr>
            </w:pPr>
            <w:r w:rsidRPr="0062072E">
              <w:rPr>
                <w:rFonts w:ascii="Times" w:hAnsi="Times"/>
                <w:sz w:val="20"/>
                <w:szCs w:val="20"/>
              </w:rPr>
              <w:t>Discharge Abstract Database</w:t>
            </w:r>
          </w:p>
          <w:p w14:paraId="2F4B7FBF" w14:textId="1EFE3AE2" w:rsidR="004E4118" w:rsidRPr="0062072E" w:rsidRDefault="004E4118" w:rsidP="0062072E">
            <w:pPr>
              <w:rPr>
                <w:rFonts w:ascii="Times" w:hAnsi="Times"/>
                <w:sz w:val="20"/>
                <w:szCs w:val="20"/>
              </w:rPr>
            </w:pPr>
          </w:p>
        </w:tc>
        <w:tc>
          <w:tcPr>
            <w:tcW w:w="3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7E111B4" w14:textId="4B5139A7" w:rsidR="004E4118" w:rsidRPr="0062072E" w:rsidRDefault="004E4118" w:rsidP="004E4118">
            <w:pPr>
              <w:rPr>
                <w:rFonts w:ascii="Times" w:hAnsi="Times"/>
                <w:sz w:val="20"/>
                <w:szCs w:val="20"/>
              </w:rPr>
            </w:pPr>
            <w:r w:rsidRPr="0062072E">
              <w:rPr>
                <w:rFonts w:ascii="Times" w:hAnsi="Times"/>
                <w:sz w:val="20"/>
                <w:szCs w:val="20"/>
              </w:rPr>
              <w:t>1988</w:t>
            </w:r>
          </w:p>
        </w:tc>
        <w:tc>
          <w:tcPr>
            <w:tcW w:w="3631"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6070D8D1" w14:textId="061D9B21" w:rsidR="004E4118" w:rsidRPr="0062072E" w:rsidRDefault="004E4118" w:rsidP="004E4118">
            <w:pPr>
              <w:rPr>
                <w:rFonts w:ascii="Times" w:hAnsi="Times"/>
                <w:sz w:val="20"/>
                <w:szCs w:val="20"/>
              </w:rPr>
            </w:pPr>
            <w:r w:rsidRPr="0062072E">
              <w:rPr>
                <w:rFonts w:ascii="Times" w:hAnsi="Times"/>
                <w:sz w:val="20"/>
                <w:szCs w:val="20"/>
              </w:rPr>
              <w:t xml:space="preserve">Discharges with any diagnosis listed in </w:t>
            </w:r>
            <w:r w:rsidRPr="0062072E">
              <w:rPr>
                <w:rFonts w:ascii="Times" w:hAnsi="Times"/>
                <w:b/>
                <w:bCs/>
                <w:sz w:val="20"/>
                <w:szCs w:val="20"/>
              </w:rPr>
              <w:t>Table 1</w:t>
            </w:r>
            <w:r w:rsidRPr="0062072E">
              <w:rPr>
                <w:rFonts w:ascii="Times" w:hAnsi="Times"/>
                <w:sz w:val="20"/>
                <w:szCs w:val="20"/>
              </w:rPr>
              <w:t xml:space="preserve"> (above)</w:t>
            </w:r>
          </w:p>
        </w:tc>
        <w:tc>
          <w:tcPr>
            <w:tcW w:w="3631" w:type="dxa"/>
            <w:vMerge w:val="restart"/>
            <w:tcBorders>
              <w:top w:val="single" w:sz="6" w:space="0" w:color="BFBFBF" w:themeColor="background1" w:themeShade="BF"/>
              <w:left w:val="single" w:sz="6" w:space="0" w:color="BFBFBF" w:themeColor="background1" w:themeShade="BF"/>
            </w:tcBorders>
          </w:tcPr>
          <w:p w14:paraId="38D50433" w14:textId="77777777" w:rsidR="004E4118" w:rsidRPr="0062072E" w:rsidRDefault="004E4118" w:rsidP="004E4118">
            <w:pPr>
              <w:rPr>
                <w:rFonts w:ascii="Times" w:hAnsi="Times"/>
                <w:sz w:val="20"/>
                <w:szCs w:val="20"/>
              </w:rPr>
            </w:pPr>
            <w:r w:rsidRPr="0062072E">
              <w:rPr>
                <w:rFonts w:ascii="Times" w:hAnsi="Times"/>
                <w:sz w:val="20"/>
                <w:szCs w:val="20"/>
              </w:rPr>
              <w:t>-any diagnostic field</w:t>
            </w:r>
          </w:p>
          <w:p w14:paraId="5F0EEFBE" w14:textId="77777777" w:rsidR="004E4118" w:rsidRPr="0062072E" w:rsidRDefault="004E4118" w:rsidP="004E4118">
            <w:pPr>
              <w:rPr>
                <w:rFonts w:ascii="Times" w:hAnsi="Times"/>
                <w:sz w:val="20"/>
                <w:szCs w:val="20"/>
              </w:rPr>
            </w:pPr>
            <w:r w:rsidRPr="0062072E">
              <w:rPr>
                <w:rFonts w:ascii="Times" w:hAnsi="Times"/>
                <w:sz w:val="20"/>
                <w:szCs w:val="20"/>
              </w:rPr>
              <w:t>-for all facilities submitting to DAD, SDS and NACRS</w:t>
            </w:r>
          </w:p>
          <w:p w14:paraId="7E709FAB" w14:textId="5B103658" w:rsidR="004E4118" w:rsidRPr="0062072E" w:rsidRDefault="004E4118" w:rsidP="004E4118">
            <w:pPr>
              <w:rPr>
                <w:rFonts w:ascii="Times" w:hAnsi="Times"/>
                <w:sz w:val="20"/>
                <w:szCs w:val="20"/>
              </w:rPr>
            </w:pPr>
            <w:r w:rsidRPr="0062072E">
              <w:rPr>
                <w:rFonts w:ascii="Times" w:hAnsi="Times"/>
                <w:sz w:val="20"/>
                <w:szCs w:val="20"/>
              </w:rPr>
              <w:t>-from inception database to just before accrual period (December 31, 2012)</w:t>
            </w:r>
          </w:p>
        </w:tc>
      </w:tr>
      <w:tr w:rsidR="004E4118" w:rsidRPr="0062072E" w14:paraId="6E45E305" w14:textId="77777777" w:rsidTr="00B31E3E">
        <w:trPr>
          <w:trHeight w:val="87"/>
        </w:trPr>
        <w:tc>
          <w:tcPr>
            <w:tcW w:w="1956" w:type="dxa"/>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1801C482" w14:textId="77777777" w:rsidR="004E4118" w:rsidRPr="0062072E" w:rsidRDefault="004E4118" w:rsidP="004E4118">
            <w:pPr>
              <w:rPr>
                <w:rFonts w:ascii="Times" w:hAnsi="Times"/>
                <w:sz w:val="20"/>
                <w:szCs w:val="20"/>
              </w:rPr>
            </w:pPr>
            <w:r w:rsidRPr="0062072E">
              <w:rPr>
                <w:rFonts w:ascii="Times" w:hAnsi="Times"/>
                <w:sz w:val="20"/>
                <w:szCs w:val="20"/>
              </w:rPr>
              <w:t>Same Day Surgery Database</w:t>
            </w:r>
          </w:p>
          <w:p w14:paraId="41830F62" w14:textId="23DAE134" w:rsidR="004E4118" w:rsidRPr="0062072E" w:rsidRDefault="004E4118" w:rsidP="0062072E">
            <w:pPr>
              <w:rPr>
                <w:rFonts w:ascii="Times" w:hAnsi="Times"/>
                <w:sz w:val="20"/>
                <w:szCs w:val="20"/>
              </w:rPr>
            </w:pPr>
          </w:p>
        </w:tc>
        <w:tc>
          <w:tcPr>
            <w:tcW w:w="3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20EFE6" w14:textId="21CE8D87" w:rsidR="004E4118" w:rsidRPr="0062072E" w:rsidRDefault="004E4118" w:rsidP="004E4118">
            <w:pPr>
              <w:rPr>
                <w:rFonts w:ascii="Times" w:hAnsi="Times"/>
                <w:sz w:val="20"/>
                <w:szCs w:val="20"/>
              </w:rPr>
            </w:pPr>
            <w:r w:rsidRPr="0062072E">
              <w:rPr>
                <w:rFonts w:ascii="Times" w:hAnsi="Times"/>
                <w:sz w:val="20"/>
                <w:szCs w:val="20"/>
              </w:rPr>
              <w:t>1991</w:t>
            </w:r>
          </w:p>
        </w:tc>
        <w:tc>
          <w:tcPr>
            <w:tcW w:w="3631" w:type="dxa"/>
            <w:vMerge/>
            <w:tcBorders>
              <w:left w:val="single" w:sz="6" w:space="0" w:color="BFBFBF" w:themeColor="background1" w:themeShade="BF"/>
              <w:right w:val="single" w:sz="6" w:space="0" w:color="BFBFBF" w:themeColor="background1" w:themeShade="BF"/>
            </w:tcBorders>
          </w:tcPr>
          <w:p w14:paraId="23A035DB" w14:textId="77777777" w:rsidR="004E4118" w:rsidRPr="0062072E" w:rsidRDefault="004E4118" w:rsidP="004E4118">
            <w:pPr>
              <w:rPr>
                <w:rFonts w:ascii="Times" w:hAnsi="Times"/>
                <w:sz w:val="20"/>
                <w:szCs w:val="20"/>
              </w:rPr>
            </w:pPr>
          </w:p>
        </w:tc>
        <w:tc>
          <w:tcPr>
            <w:tcW w:w="3631" w:type="dxa"/>
            <w:vMerge/>
            <w:tcBorders>
              <w:left w:val="single" w:sz="6" w:space="0" w:color="BFBFBF" w:themeColor="background1" w:themeShade="BF"/>
            </w:tcBorders>
          </w:tcPr>
          <w:p w14:paraId="5BF2020F" w14:textId="1E7AEE9E" w:rsidR="004E4118" w:rsidRPr="0062072E" w:rsidRDefault="004E4118" w:rsidP="004E4118">
            <w:pPr>
              <w:rPr>
                <w:rFonts w:ascii="Times" w:hAnsi="Times"/>
                <w:sz w:val="20"/>
                <w:szCs w:val="20"/>
              </w:rPr>
            </w:pPr>
          </w:p>
        </w:tc>
      </w:tr>
      <w:tr w:rsidR="004E4118" w:rsidRPr="0062072E" w14:paraId="5D33F6A0" w14:textId="77777777" w:rsidTr="00B31E3E">
        <w:trPr>
          <w:trHeight w:val="61"/>
        </w:trPr>
        <w:tc>
          <w:tcPr>
            <w:tcW w:w="1956" w:type="dxa"/>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0A233466" w14:textId="0C18384E" w:rsidR="004E4118" w:rsidRPr="0062072E" w:rsidRDefault="004E4118" w:rsidP="0062072E">
            <w:pPr>
              <w:rPr>
                <w:rFonts w:ascii="Times" w:hAnsi="Times"/>
                <w:sz w:val="20"/>
                <w:szCs w:val="20"/>
              </w:rPr>
            </w:pPr>
            <w:r w:rsidRPr="0062072E">
              <w:rPr>
                <w:rFonts w:ascii="Times" w:hAnsi="Times"/>
                <w:sz w:val="20"/>
                <w:szCs w:val="20"/>
              </w:rPr>
              <w:t>National Ambulatory Care Reporting System</w:t>
            </w:r>
          </w:p>
        </w:tc>
        <w:tc>
          <w:tcPr>
            <w:tcW w:w="3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EB617B9" w14:textId="1834CE06" w:rsidR="004E4118" w:rsidRPr="0062072E" w:rsidRDefault="004E4118" w:rsidP="004E4118">
            <w:pPr>
              <w:rPr>
                <w:rFonts w:ascii="Times" w:hAnsi="Times"/>
                <w:sz w:val="20"/>
                <w:szCs w:val="20"/>
              </w:rPr>
            </w:pPr>
            <w:r w:rsidRPr="0062072E">
              <w:rPr>
                <w:rFonts w:ascii="Times" w:hAnsi="Times"/>
                <w:sz w:val="20"/>
                <w:szCs w:val="20"/>
              </w:rPr>
              <w:t>2002</w:t>
            </w:r>
          </w:p>
        </w:tc>
        <w:tc>
          <w:tcPr>
            <w:tcW w:w="3631"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7AB8CC1A" w14:textId="77777777" w:rsidR="004E4118" w:rsidRPr="0062072E" w:rsidRDefault="004E4118" w:rsidP="004E4118">
            <w:pPr>
              <w:rPr>
                <w:rFonts w:ascii="Times" w:hAnsi="Times"/>
                <w:sz w:val="20"/>
                <w:szCs w:val="20"/>
              </w:rPr>
            </w:pPr>
          </w:p>
        </w:tc>
        <w:tc>
          <w:tcPr>
            <w:tcW w:w="3631" w:type="dxa"/>
            <w:vMerge/>
            <w:tcBorders>
              <w:left w:val="single" w:sz="6" w:space="0" w:color="BFBFBF" w:themeColor="background1" w:themeShade="BF"/>
              <w:bottom w:val="single" w:sz="6" w:space="0" w:color="BFBFBF" w:themeColor="background1" w:themeShade="BF"/>
            </w:tcBorders>
          </w:tcPr>
          <w:p w14:paraId="039DF105" w14:textId="34AA922A" w:rsidR="004E4118" w:rsidRPr="0062072E" w:rsidRDefault="004E4118" w:rsidP="004E4118">
            <w:pPr>
              <w:rPr>
                <w:rFonts w:ascii="Times" w:hAnsi="Times"/>
                <w:sz w:val="20"/>
                <w:szCs w:val="20"/>
              </w:rPr>
            </w:pPr>
          </w:p>
        </w:tc>
      </w:tr>
      <w:tr w:rsidR="004E4118" w:rsidRPr="0062072E" w14:paraId="60C86AE8" w14:textId="77777777" w:rsidTr="004E4118">
        <w:trPr>
          <w:trHeight w:val="61"/>
        </w:trPr>
        <w:tc>
          <w:tcPr>
            <w:tcW w:w="1956" w:type="dxa"/>
            <w:tcBorders>
              <w:top w:val="single" w:sz="6" w:space="0" w:color="BFBFBF" w:themeColor="background1" w:themeShade="BF"/>
              <w:bottom w:val="single" w:sz="6" w:space="0" w:color="BFBFBF" w:themeColor="background1" w:themeShade="BF"/>
              <w:right w:val="single" w:sz="6" w:space="0" w:color="BFBFBF" w:themeColor="background1" w:themeShade="BF"/>
            </w:tcBorders>
          </w:tcPr>
          <w:p w14:paraId="3CD06CCF" w14:textId="77777777" w:rsidR="004E4118" w:rsidRPr="0062072E" w:rsidRDefault="004E4118" w:rsidP="004E4118">
            <w:pPr>
              <w:rPr>
                <w:rFonts w:ascii="Times" w:hAnsi="Times"/>
                <w:sz w:val="20"/>
                <w:szCs w:val="20"/>
              </w:rPr>
            </w:pPr>
            <w:r w:rsidRPr="0062072E">
              <w:rPr>
                <w:rFonts w:ascii="Times" w:hAnsi="Times"/>
                <w:sz w:val="20"/>
                <w:szCs w:val="20"/>
              </w:rPr>
              <w:t>Ontario Mental Health Reporting System</w:t>
            </w:r>
          </w:p>
          <w:p w14:paraId="2D893F9A" w14:textId="1A25A7AA" w:rsidR="004E4118" w:rsidRPr="0062072E" w:rsidRDefault="004E4118" w:rsidP="0062072E">
            <w:pPr>
              <w:rPr>
                <w:rFonts w:ascii="Times" w:hAnsi="Times"/>
                <w:sz w:val="20"/>
                <w:szCs w:val="20"/>
              </w:rPr>
            </w:pPr>
          </w:p>
        </w:tc>
        <w:tc>
          <w:tcPr>
            <w:tcW w:w="3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9B7DB8B" w14:textId="479EC22D" w:rsidR="004E4118" w:rsidRPr="0062072E" w:rsidRDefault="004E4118" w:rsidP="004E4118">
            <w:pPr>
              <w:rPr>
                <w:rFonts w:ascii="Times" w:hAnsi="Times"/>
                <w:sz w:val="20"/>
                <w:szCs w:val="20"/>
              </w:rPr>
            </w:pPr>
            <w:r w:rsidRPr="0062072E">
              <w:rPr>
                <w:rFonts w:ascii="Times" w:hAnsi="Times"/>
                <w:sz w:val="20"/>
                <w:szCs w:val="20"/>
              </w:rPr>
              <w:t>2005</w:t>
            </w:r>
          </w:p>
        </w:tc>
        <w:tc>
          <w:tcPr>
            <w:tcW w:w="363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08C16D5" w14:textId="77777777" w:rsidR="004E4118" w:rsidRPr="0062072E" w:rsidRDefault="004E4118" w:rsidP="004E4118">
            <w:pPr>
              <w:rPr>
                <w:rFonts w:ascii="Times" w:hAnsi="Times"/>
                <w:sz w:val="20"/>
                <w:szCs w:val="20"/>
              </w:rPr>
            </w:pPr>
            <w:r w:rsidRPr="0062072E">
              <w:rPr>
                <w:rFonts w:ascii="Times" w:hAnsi="Times"/>
                <w:sz w:val="20"/>
                <w:szCs w:val="20"/>
              </w:rPr>
              <w:t xml:space="preserve">Q3=1 </w:t>
            </w:r>
          </w:p>
          <w:p w14:paraId="0954C518" w14:textId="02E928D9" w:rsidR="004E4118" w:rsidRPr="0062072E" w:rsidRDefault="004E4118" w:rsidP="004E4118">
            <w:pPr>
              <w:rPr>
                <w:rFonts w:ascii="Times" w:hAnsi="Times"/>
                <w:sz w:val="20"/>
                <w:szCs w:val="20"/>
              </w:rPr>
            </w:pPr>
            <w:r w:rsidRPr="0062072E">
              <w:rPr>
                <w:rFonts w:ascii="Times" w:hAnsi="Times"/>
                <w:b/>
                <w:bCs/>
                <w:sz w:val="20"/>
                <w:szCs w:val="20"/>
              </w:rPr>
              <w:t>or</w:t>
            </w:r>
            <w:r w:rsidRPr="0062072E">
              <w:rPr>
                <w:rFonts w:ascii="Times" w:hAnsi="Times"/>
                <w:sz w:val="20"/>
                <w:szCs w:val="20"/>
              </w:rPr>
              <w:t xml:space="preserve"> Q2a_retired_2016, Q2b_retired_2016 or Q2c_retired_2016 is 299 to 299.80 before fiscal year 2016; Q2a_retired_2019, Q2b_retired_2019 or Q2c_retired_2019 is 299 to 299.80 between fiscal year 2016 and fiscal year 2018 inclusive</w:t>
            </w:r>
          </w:p>
          <w:p w14:paraId="1419E9C9" w14:textId="77777777" w:rsidR="004E4118" w:rsidRPr="0062072E" w:rsidRDefault="004E4118" w:rsidP="004E4118">
            <w:pPr>
              <w:rPr>
                <w:rFonts w:ascii="Times" w:hAnsi="Times"/>
                <w:sz w:val="20"/>
                <w:szCs w:val="20"/>
              </w:rPr>
            </w:pPr>
            <w:r w:rsidRPr="0062072E">
              <w:rPr>
                <w:rFonts w:ascii="Times" w:hAnsi="Times"/>
                <w:b/>
                <w:bCs/>
                <w:sz w:val="20"/>
                <w:szCs w:val="20"/>
              </w:rPr>
              <w:t>or</w:t>
            </w:r>
            <w:r w:rsidRPr="0062072E">
              <w:rPr>
                <w:rFonts w:ascii="Times" w:hAnsi="Times"/>
                <w:sz w:val="20"/>
                <w:szCs w:val="20"/>
              </w:rPr>
              <w:t xml:space="preserve"> Q2d_retired_2016 is 317 to 319.99 for before fiscal year 2016; Q2d_retired_2019 is 317 to 319.99 between fiscal year 2016 and fiscal year 2018 inclusive</w:t>
            </w:r>
          </w:p>
          <w:p w14:paraId="6D6E1F10" w14:textId="412A831C" w:rsidR="004E4118" w:rsidRPr="0062072E" w:rsidRDefault="004E4118" w:rsidP="004E4118">
            <w:pPr>
              <w:rPr>
                <w:rFonts w:ascii="Times" w:hAnsi="Times"/>
                <w:sz w:val="20"/>
                <w:szCs w:val="20"/>
              </w:rPr>
            </w:pPr>
            <w:r w:rsidRPr="0062072E">
              <w:rPr>
                <w:rFonts w:ascii="Times" w:hAnsi="Times"/>
                <w:b/>
                <w:bCs/>
                <w:sz w:val="20"/>
                <w:szCs w:val="20"/>
              </w:rPr>
              <w:t xml:space="preserve">or </w:t>
            </w:r>
            <w:r w:rsidRPr="0062072E">
              <w:rPr>
                <w:rFonts w:ascii="Times" w:hAnsi="Times"/>
                <w:sz w:val="20"/>
                <w:szCs w:val="20"/>
              </w:rPr>
              <w:t>I11h-I11m = any one of the following ICD-10 codes: Q851, Q860, Q861, Q871, Q8723, Q8731, Q878, Q900-Q939 (but not Q926), Q971, Q992, Q998</w:t>
            </w:r>
          </w:p>
        </w:tc>
        <w:tc>
          <w:tcPr>
            <w:tcW w:w="3631" w:type="dxa"/>
            <w:tcBorders>
              <w:top w:val="single" w:sz="6" w:space="0" w:color="BFBFBF" w:themeColor="background1" w:themeShade="BF"/>
              <w:left w:val="single" w:sz="6" w:space="0" w:color="BFBFBF" w:themeColor="background1" w:themeShade="BF"/>
              <w:bottom w:val="single" w:sz="6" w:space="0" w:color="BFBFBF" w:themeColor="background1" w:themeShade="BF"/>
            </w:tcBorders>
          </w:tcPr>
          <w:p w14:paraId="16F4A0C4" w14:textId="77777777" w:rsidR="004E4118" w:rsidRPr="0062072E" w:rsidRDefault="004E4118" w:rsidP="004E4118">
            <w:pPr>
              <w:rPr>
                <w:rFonts w:ascii="Times" w:hAnsi="Times"/>
                <w:sz w:val="20"/>
                <w:szCs w:val="20"/>
              </w:rPr>
            </w:pPr>
            <w:r w:rsidRPr="0062072E">
              <w:rPr>
                <w:rFonts w:ascii="Times" w:hAnsi="Times"/>
                <w:sz w:val="20"/>
                <w:szCs w:val="20"/>
              </w:rPr>
              <w:t>-for all faculties submitting to OMHRS</w:t>
            </w:r>
          </w:p>
          <w:p w14:paraId="0559CADE" w14:textId="41C83FA4" w:rsidR="004E4118" w:rsidRPr="0062072E" w:rsidRDefault="004E4118" w:rsidP="004E4118">
            <w:pPr>
              <w:rPr>
                <w:rFonts w:ascii="Times" w:hAnsi="Times"/>
                <w:sz w:val="20"/>
                <w:szCs w:val="20"/>
              </w:rPr>
            </w:pPr>
            <w:r w:rsidRPr="0062072E">
              <w:rPr>
                <w:rFonts w:ascii="Times" w:hAnsi="Times"/>
                <w:sz w:val="20"/>
                <w:szCs w:val="20"/>
              </w:rPr>
              <w:t>-from inception of database to just before accrual period (December 31, 2012)</w:t>
            </w:r>
          </w:p>
        </w:tc>
      </w:tr>
      <w:tr w:rsidR="004E4118" w:rsidRPr="0062072E" w14:paraId="2A4F4185" w14:textId="77777777" w:rsidTr="004E4118">
        <w:trPr>
          <w:trHeight w:val="96"/>
        </w:trPr>
        <w:tc>
          <w:tcPr>
            <w:tcW w:w="1956" w:type="dxa"/>
            <w:tcBorders>
              <w:top w:val="nil"/>
              <w:bottom w:val="single" w:sz="12" w:space="0" w:color="000000" w:themeColor="text1"/>
              <w:right w:val="single" w:sz="6" w:space="0" w:color="BFBFBF" w:themeColor="background1" w:themeShade="BF"/>
            </w:tcBorders>
          </w:tcPr>
          <w:p w14:paraId="1D81DA33" w14:textId="3A9C9113" w:rsidR="004E4118" w:rsidRPr="0062072E" w:rsidRDefault="004E4118" w:rsidP="004E4118">
            <w:pPr>
              <w:jc w:val="center"/>
              <w:rPr>
                <w:rFonts w:ascii="Times" w:hAnsi="Times" w:cs="Calibri"/>
                <w:sz w:val="20"/>
                <w:szCs w:val="20"/>
              </w:rPr>
            </w:pPr>
            <w:r w:rsidRPr="0062072E">
              <w:rPr>
                <w:rFonts w:ascii="Times" w:hAnsi="Times"/>
                <w:sz w:val="20"/>
                <w:szCs w:val="20"/>
              </w:rPr>
              <w:t>Ontario Health Insurance Plan</w:t>
            </w:r>
          </w:p>
        </w:tc>
        <w:tc>
          <w:tcPr>
            <w:tcW w:w="3631" w:type="dxa"/>
            <w:tcBorders>
              <w:top w:val="nil"/>
              <w:left w:val="single" w:sz="6" w:space="0" w:color="BFBFBF" w:themeColor="background1" w:themeShade="BF"/>
              <w:bottom w:val="single" w:sz="12" w:space="0" w:color="000000" w:themeColor="text1"/>
              <w:right w:val="single" w:sz="6" w:space="0" w:color="BFBFBF" w:themeColor="background1" w:themeShade="BF"/>
            </w:tcBorders>
          </w:tcPr>
          <w:p w14:paraId="7B50F24A" w14:textId="2376624A" w:rsidR="004E4118" w:rsidRPr="0062072E" w:rsidRDefault="004E4118" w:rsidP="004E4118">
            <w:pPr>
              <w:rPr>
                <w:rFonts w:ascii="Times" w:hAnsi="Times" w:cs="Calibri"/>
                <w:sz w:val="20"/>
                <w:szCs w:val="20"/>
              </w:rPr>
            </w:pPr>
            <w:r w:rsidRPr="0062072E">
              <w:rPr>
                <w:rFonts w:ascii="Times" w:hAnsi="Times"/>
                <w:sz w:val="20"/>
                <w:szCs w:val="20"/>
              </w:rPr>
              <w:t>1991</w:t>
            </w:r>
          </w:p>
        </w:tc>
        <w:tc>
          <w:tcPr>
            <w:tcW w:w="3631" w:type="dxa"/>
            <w:tcBorders>
              <w:top w:val="nil"/>
              <w:left w:val="single" w:sz="6" w:space="0" w:color="BFBFBF" w:themeColor="background1" w:themeShade="BF"/>
              <w:bottom w:val="single" w:sz="12" w:space="0" w:color="000000" w:themeColor="text1"/>
              <w:right w:val="single" w:sz="6" w:space="0" w:color="BFBFBF" w:themeColor="background1" w:themeShade="BF"/>
            </w:tcBorders>
          </w:tcPr>
          <w:p w14:paraId="6B6BEA44" w14:textId="0FA5894D" w:rsidR="004E4118" w:rsidRPr="0062072E" w:rsidRDefault="004E4118" w:rsidP="004E4118">
            <w:pPr>
              <w:rPr>
                <w:rFonts w:ascii="Times" w:hAnsi="Times" w:cs="Calibri"/>
                <w:sz w:val="20"/>
                <w:szCs w:val="20"/>
              </w:rPr>
            </w:pPr>
            <w:r w:rsidRPr="0062072E">
              <w:rPr>
                <w:rFonts w:ascii="Times" w:hAnsi="Times"/>
                <w:sz w:val="20"/>
                <w:szCs w:val="20"/>
              </w:rPr>
              <w:t>299, 319</w:t>
            </w:r>
          </w:p>
        </w:tc>
        <w:tc>
          <w:tcPr>
            <w:tcW w:w="3631" w:type="dxa"/>
            <w:tcBorders>
              <w:top w:val="nil"/>
              <w:left w:val="single" w:sz="6" w:space="0" w:color="BFBFBF" w:themeColor="background1" w:themeShade="BF"/>
              <w:bottom w:val="single" w:sz="12" w:space="0" w:color="000000" w:themeColor="text1"/>
            </w:tcBorders>
          </w:tcPr>
          <w:p w14:paraId="5C910F56" w14:textId="77777777" w:rsidR="004E4118" w:rsidRPr="0062072E" w:rsidRDefault="004E4118" w:rsidP="004E4118">
            <w:pPr>
              <w:rPr>
                <w:rFonts w:ascii="Times" w:hAnsi="Times"/>
                <w:sz w:val="20"/>
                <w:szCs w:val="20"/>
              </w:rPr>
            </w:pPr>
            <w:r w:rsidRPr="0062072E">
              <w:rPr>
                <w:rFonts w:ascii="Times" w:hAnsi="Times"/>
                <w:sz w:val="20"/>
                <w:szCs w:val="20"/>
              </w:rPr>
              <w:t>-for all providers submitting to OHIP</w:t>
            </w:r>
          </w:p>
          <w:p w14:paraId="199CAAC0" w14:textId="44063135" w:rsidR="004E4118" w:rsidRPr="0062072E" w:rsidRDefault="004E4118" w:rsidP="004E4118">
            <w:pPr>
              <w:rPr>
                <w:rFonts w:ascii="Times" w:hAnsi="Times" w:cs="Calibri"/>
                <w:sz w:val="20"/>
                <w:szCs w:val="20"/>
              </w:rPr>
            </w:pPr>
            <w:r w:rsidRPr="0062072E">
              <w:rPr>
                <w:rFonts w:ascii="Times" w:hAnsi="Times"/>
                <w:sz w:val="20"/>
                <w:szCs w:val="20"/>
              </w:rPr>
              <w:t>-from June 1991 to right before accrual period (December 2012)</w:t>
            </w:r>
          </w:p>
        </w:tc>
      </w:tr>
    </w:tbl>
    <w:p w14:paraId="39CB88CA" w14:textId="68BAC393" w:rsidR="00CB640B" w:rsidRDefault="00CB640B" w:rsidP="00A77A15"/>
    <w:p w14:paraId="5FEDCEB8" w14:textId="41204D66" w:rsidR="002D4386" w:rsidRDefault="002D4386" w:rsidP="00A77A15"/>
    <w:p w14:paraId="0F4612C1" w14:textId="0E4A41A5" w:rsidR="002D4386" w:rsidRDefault="002D4386" w:rsidP="00A77A15"/>
    <w:p w14:paraId="51C50E03" w14:textId="0FB77657" w:rsidR="002D4386" w:rsidRDefault="002D4386" w:rsidP="00A77A15"/>
    <w:p w14:paraId="0C4394A4" w14:textId="17AA116D" w:rsidR="002D4386" w:rsidRDefault="002D4386" w:rsidP="00A77A15"/>
    <w:p w14:paraId="726B3EC3" w14:textId="1753B993" w:rsidR="002D4386" w:rsidRDefault="002D4386" w:rsidP="00A77A15"/>
    <w:p w14:paraId="02030443" w14:textId="48C7393C" w:rsidR="002D4386" w:rsidRDefault="002D4386" w:rsidP="00A77A15"/>
    <w:p w14:paraId="33287054" w14:textId="77777777" w:rsidR="002D4386" w:rsidRDefault="002D4386" w:rsidP="00A77A15"/>
    <w:p w14:paraId="59237272" w14:textId="77777777" w:rsidR="00B55D8B" w:rsidRDefault="00B55D8B" w:rsidP="00A77A15"/>
    <w:p w14:paraId="20E410F2" w14:textId="77777777" w:rsidR="00B55D8B" w:rsidRDefault="00B55D8B" w:rsidP="00A77A15"/>
    <w:p w14:paraId="372CD6EE" w14:textId="4108A760" w:rsidR="00B55D8B" w:rsidRPr="00B55D8B" w:rsidRDefault="00B55D8B" w:rsidP="00B55D8B">
      <w:pPr>
        <w:pStyle w:val="Heading1"/>
        <w:rPr>
          <w:rFonts w:ascii="Times" w:hAnsi="Times"/>
          <w:b/>
          <w:bCs/>
          <w:color w:val="000000" w:themeColor="text1"/>
          <w:sz w:val="24"/>
          <w:szCs w:val="24"/>
        </w:rPr>
      </w:pPr>
      <w:bookmarkStart w:id="7" w:name="_Toc98675836"/>
      <w:r w:rsidRPr="00B55D8B">
        <w:rPr>
          <w:rFonts w:ascii="Times" w:hAnsi="Times"/>
          <w:b/>
          <w:bCs/>
          <w:color w:val="000000" w:themeColor="text1"/>
          <w:sz w:val="24"/>
          <w:szCs w:val="24"/>
        </w:rPr>
        <w:lastRenderedPageBreak/>
        <w:t>High Dimensional Propensity Score Matching</w:t>
      </w:r>
      <w:bookmarkEnd w:id="7"/>
    </w:p>
    <w:p w14:paraId="0409D822" w14:textId="77777777" w:rsidR="00B55D8B" w:rsidRPr="00B55D8B" w:rsidRDefault="00B55D8B" w:rsidP="00A77A15">
      <w:pPr>
        <w:rPr>
          <w:rFonts w:ascii="Times" w:hAnsi="Times"/>
          <w:b/>
        </w:rPr>
      </w:pPr>
    </w:p>
    <w:p w14:paraId="2AC2E629" w14:textId="77777777" w:rsidR="00B55D8B" w:rsidRDefault="00B55D8B" w:rsidP="00B55D8B">
      <w:pPr>
        <w:ind w:firstLine="720"/>
        <w:rPr>
          <w:rFonts w:ascii="Times" w:hAnsi="Times"/>
          <w:bCs/>
        </w:rPr>
      </w:pPr>
      <w:r>
        <w:rPr>
          <w:rFonts w:ascii="Times" w:hAnsi="Times"/>
          <w:bCs/>
        </w:rPr>
        <w:t>This method balances exposure groups through the use of large health administrative datasets in order to capture unmeasured confounders by proxy.</w:t>
      </w:r>
      <w:r>
        <w:rPr>
          <w:rFonts w:ascii="Times" w:hAnsi="Times"/>
          <w:bCs/>
        </w:rPr>
        <w:fldChar w:fldCharType="begin"/>
      </w:r>
      <w:r>
        <w:rPr>
          <w:rFonts w:ascii="Times" w:hAnsi="Times"/>
          <w:bCs/>
        </w:rPr>
        <w:instrText xml:space="preserve"> ADDIN ZOTERO_ITEM CSL_CITATION {"citationID":"x6BMhwZ1","properties":{"formattedCitation":"\\super 1\\nosupersub{}","plainCitation":"1","noteIndex":0},"citationItems":[{"id":213,"uris":["http://zotero.org/users/2406365/items/AUV958YI"],"uri":["http://zotero.org/users/2406365/items/AUV958YI"],"itemData":{"id":213,"type":"article-journal","abstract":"Administrative healthcare databases are increasingly being used for research purposes. When used to estimate the effects of treatments and interventions, an important limitation of these databases is the lack of information on important confounding variables. The high-dimensional propensity score (hdPS) is an algorithm that generates a large number of empirically-derived covariates using administrative healthcare databases. The hdPS has been described as enabling adjustment by proxy, in which a large number of empirically-derived covariates may serve as proxies for unmeasured confounding variables. We examined the validity of this assumption using samples of patients hospitalized with acute myocardial infarction (AMI) and congestive heart failure (CHF), for whom both administrative data and detailed clinical data were available. We considered three treatments in AMI patients: angiotensin-converting enzyme inhibitors, beta-blockers, and statins, while the first two treatments were also considered in CHF patients. We considered three propensity scores: (a) one derived using detailed clinical data; (b) the hdPS derived from administrative data; and (c) one derived from administrative data using expert opinion. Using each propensity score, we estimated inverse probability of treatment (IPT) weights. For each sample and treatment combination, and for each of the two propensity scores derived using administrative data, there were clinical variables not measured in administrative data that remained imbalanced after incorporating the IPT weights. However, the propensity score derived using clinical data always resulted in all clinical variables being balanced. When estimating hazard ratios, for some samples and treatment combinations, the hazard ratios estimated using the hdPS were more similar to those obtained using the clinical propensity score than were those obtained using the expert-derived propensity score. However, for other combinations, the effects estimated using the expert-derived propensity score were more similar to those obtained using the clinical propensity score than were those derived using the hdPS.","container-title":"Statistical Methods in Medical Research","DOI":"10.1177/0962280219842362","ISSN":"0962-2802, 1477-0334","issue":"2","journalAbbreviation":"Stat Methods Med Res","language":"en","page":"568-588","source":"DOI.org (Crossref)","title":"Comparing the high-dimensional propensity score for use with administrative data with propensity scores derived from high-quality clinical data","volume":"29","author":[{"family":"Austin","given":"Peter C"},{"family":"Wu","given":"C Fangyun"},{"family":"Lee","given":"Douglas S"},{"family":"Tu","given":"Jack V"}],"issued":{"date-parts":[["2020",2]]}}}],"schema":"https://github.com/citation-style-language/schema/raw/master/csl-citation.json"} </w:instrText>
      </w:r>
      <w:r>
        <w:rPr>
          <w:rFonts w:ascii="Times" w:hAnsi="Times"/>
          <w:bCs/>
        </w:rPr>
        <w:fldChar w:fldCharType="separate"/>
      </w:r>
      <w:r w:rsidRPr="00B55D8B">
        <w:rPr>
          <w:rFonts w:ascii="Times" w:hAnsi="Times" w:cs="Times New Roman"/>
          <w:vertAlign w:val="superscript"/>
          <w:lang w:val="en-US"/>
        </w:rPr>
        <w:t>1</w:t>
      </w:r>
      <w:r>
        <w:rPr>
          <w:rFonts w:ascii="Times" w:hAnsi="Times"/>
          <w:bCs/>
        </w:rPr>
        <w:fldChar w:fldCharType="end"/>
      </w:r>
      <w:r>
        <w:rPr>
          <w:rFonts w:ascii="Times" w:hAnsi="Times"/>
          <w:bCs/>
        </w:rPr>
        <w:t xml:space="preserve"> Using the HDPS algorithm available at ICES, we captured the following data dimensions during the six months prior to index for all individuals in the cohort: all medication drug claims for controlled substances (1 dimension), all hospitalization and emergency department diagnoses and procedures (4 dimensions), and all physician procedures and diagnoses in the outpatient setting (2 dimensions). The algorithm gathered the top 200 most prevalent covariates from each dimension and converted each into three binary variables based on how often the covariates recurred (once, sporadic, frequent). The covariates were then prioritized using a multiplicative bias based on the prevalence of the covariate among the IDD and general population group, as well as the association between covariate and the outcome. The top 500 covariates with the highest bias terms were used to estimate the high-dimensional propensity score, along with age, sex, income quintile and rurality. Once we calculated the HDPS estimate for </w:t>
      </w:r>
      <w:proofErr w:type="gramStart"/>
      <w:r>
        <w:rPr>
          <w:rFonts w:ascii="Times" w:hAnsi="Times"/>
          <w:bCs/>
        </w:rPr>
        <w:t>each individual</w:t>
      </w:r>
      <w:proofErr w:type="gramEnd"/>
      <w:r>
        <w:rPr>
          <w:rFonts w:ascii="Times" w:hAnsi="Times"/>
          <w:bCs/>
        </w:rPr>
        <w:t xml:space="preserve"> in the cohort, we matched the IDD group to the general population group using the same criteria listed above for the propensity score matching.</w:t>
      </w:r>
    </w:p>
    <w:p w14:paraId="53475D97" w14:textId="77777777" w:rsidR="00B55D8B" w:rsidRDefault="00B55D8B" w:rsidP="00B55D8B">
      <w:pPr>
        <w:ind w:firstLine="720"/>
        <w:rPr>
          <w:rFonts w:ascii="Times" w:hAnsi="Times"/>
          <w:bCs/>
        </w:rPr>
      </w:pPr>
    </w:p>
    <w:p w14:paraId="30D21599" w14:textId="77777777" w:rsidR="00B55D8B" w:rsidRDefault="00B55D8B" w:rsidP="00B55D8B">
      <w:pPr>
        <w:ind w:firstLine="720"/>
        <w:rPr>
          <w:rFonts w:ascii="Times" w:hAnsi="Times"/>
          <w:bCs/>
        </w:rPr>
      </w:pPr>
    </w:p>
    <w:p w14:paraId="014983CD" w14:textId="77777777" w:rsidR="00B55D8B" w:rsidRDefault="00B55D8B" w:rsidP="00B55D8B">
      <w:pPr>
        <w:pStyle w:val="Bibliography"/>
        <w:rPr>
          <w:rFonts w:ascii="Times" w:hAnsi="Times"/>
          <w:bCs/>
        </w:rPr>
      </w:pPr>
      <w:r>
        <w:rPr>
          <w:rFonts w:ascii="Times" w:hAnsi="Times"/>
          <w:bCs/>
        </w:rPr>
        <w:t xml:space="preserve">Reference:   </w:t>
      </w:r>
    </w:p>
    <w:p w14:paraId="0AF9EFA0" w14:textId="3E6D46FF" w:rsidR="00B55D8B" w:rsidRPr="00B55D8B" w:rsidRDefault="00B55D8B" w:rsidP="00B55D8B">
      <w:pPr>
        <w:pStyle w:val="Bibliography"/>
        <w:spacing w:line="240" w:lineRule="auto"/>
        <w:contextualSpacing/>
        <w:rPr>
          <w:rFonts w:ascii="Times" w:hAnsi="Times"/>
          <w:lang w:val="en-US"/>
        </w:rPr>
      </w:pPr>
      <w:r>
        <w:rPr>
          <w:rFonts w:ascii="Times" w:hAnsi="Times"/>
          <w:bCs/>
        </w:rPr>
        <w:fldChar w:fldCharType="begin"/>
      </w:r>
      <w:r>
        <w:rPr>
          <w:rFonts w:ascii="Times" w:hAnsi="Times"/>
          <w:bCs/>
        </w:rPr>
        <w:instrText xml:space="preserve"> ADDIN ZOTERO_BIBL {"uncited":[],"omitted":[],"custom":[]} CSL_BIBLIOGRAPHY </w:instrText>
      </w:r>
      <w:r>
        <w:rPr>
          <w:rFonts w:ascii="Times" w:hAnsi="Times"/>
          <w:bCs/>
        </w:rPr>
        <w:fldChar w:fldCharType="separate"/>
      </w:r>
      <w:r w:rsidRPr="00B55D8B">
        <w:rPr>
          <w:rFonts w:ascii="Times" w:hAnsi="Times"/>
          <w:lang w:val="en-US"/>
        </w:rPr>
        <w:t>1.</w:t>
      </w:r>
      <w:r w:rsidRPr="00B55D8B">
        <w:rPr>
          <w:rFonts w:ascii="Times" w:hAnsi="Times"/>
          <w:lang w:val="en-US"/>
        </w:rPr>
        <w:tab/>
        <w:t xml:space="preserve">Austin, P. C., Wu, C. F., Lee, D. S. &amp; Tu, J. V. Comparing the high-dimensional propensity score for use with administrative data with propensity scores derived from high-quality clinical data. </w:t>
      </w:r>
      <w:r w:rsidRPr="00B55D8B">
        <w:rPr>
          <w:rFonts w:ascii="Times" w:hAnsi="Times"/>
          <w:i/>
          <w:iCs/>
          <w:lang w:val="en-US"/>
        </w:rPr>
        <w:t>Stat. Methods Med. Res.</w:t>
      </w:r>
      <w:r w:rsidRPr="00B55D8B">
        <w:rPr>
          <w:rFonts w:ascii="Times" w:hAnsi="Times"/>
          <w:lang w:val="en-US"/>
        </w:rPr>
        <w:t xml:space="preserve"> </w:t>
      </w:r>
      <w:r w:rsidRPr="00B55D8B">
        <w:rPr>
          <w:rFonts w:ascii="Times" w:hAnsi="Times"/>
          <w:b/>
          <w:bCs/>
          <w:lang w:val="en-US"/>
        </w:rPr>
        <w:t>29</w:t>
      </w:r>
      <w:r w:rsidRPr="00B55D8B">
        <w:rPr>
          <w:rFonts w:ascii="Times" w:hAnsi="Times"/>
          <w:lang w:val="en-US"/>
        </w:rPr>
        <w:t>, 568–588 (2020).</w:t>
      </w:r>
    </w:p>
    <w:p w14:paraId="0634F90F" w14:textId="5EBD3B24" w:rsidR="00B55D8B" w:rsidRDefault="00B55D8B" w:rsidP="00B55D8B">
      <w:pPr>
        <w:ind w:firstLine="720"/>
        <w:contextualSpacing/>
        <w:sectPr w:rsidR="00B55D8B" w:rsidSect="00A8420C">
          <w:pgSz w:w="12240" w:h="15840"/>
          <w:pgMar w:top="1440" w:right="1440" w:bottom="1440" w:left="1003" w:header="708" w:footer="708" w:gutter="0"/>
          <w:cols w:space="708"/>
          <w:docGrid w:linePitch="360"/>
        </w:sectPr>
      </w:pPr>
      <w:r>
        <w:rPr>
          <w:rFonts w:ascii="Times" w:hAnsi="Times"/>
          <w:bCs/>
        </w:rPr>
        <w:fldChar w:fldCharType="end"/>
      </w:r>
    </w:p>
    <w:tbl>
      <w:tblPr>
        <w:tblStyle w:val="TableGrid"/>
        <w:tblW w:w="12954"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ayout w:type="fixed"/>
        <w:tblLook w:val="04A0" w:firstRow="1" w:lastRow="0" w:firstColumn="1" w:lastColumn="0" w:noHBand="0" w:noVBand="1"/>
      </w:tblPr>
      <w:tblGrid>
        <w:gridCol w:w="4905"/>
        <w:gridCol w:w="1907"/>
        <w:gridCol w:w="1909"/>
        <w:gridCol w:w="410"/>
        <w:gridCol w:w="1774"/>
        <w:gridCol w:w="53"/>
        <w:gridCol w:w="83"/>
        <w:gridCol w:w="1906"/>
        <w:gridCol w:w="7"/>
      </w:tblGrid>
      <w:tr w:rsidR="002D4386" w:rsidRPr="00382D46" w14:paraId="41B75D14" w14:textId="77777777" w:rsidTr="0061100A">
        <w:trPr>
          <w:trHeight w:val="285"/>
        </w:trPr>
        <w:tc>
          <w:tcPr>
            <w:tcW w:w="12954" w:type="dxa"/>
            <w:gridSpan w:val="9"/>
            <w:tcBorders>
              <w:top w:val="nil"/>
              <w:bottom w:val="nil"/>
            </w:tcBorders>
            <w:vAlign w:val="bottom"/>
          </w:tcPr>
          <w:p w14:paraId="0573ACC3" w14:textId="19CECB5F" w:rsidR="002D4386" w:rsidRPr="00382D46" w:rsidRDefault="002D4386" w:rsidP="002D4386">
            <w:pPr>
              <w:pStyle w:val="Heading1"/>
              <w:rPr>
                <w:rFonts w:ascii="Times" w:hAnsi="Times"/>
                <w:b/>
                <w:color w:val="000000" w:themeColor="text1"/>
                <w:sz w:val="22"/>
                <w:szCs w:val="22"/>
              </w:rPr>
            </w:pPr>
            <w:bookmarkStart w:id="8" w:name="_Toc98675837"/>
            <w:r w:rsidRPr="00382D46">
              <w:rPr>
                <w:rFonts w:ascii="Times" w:hAnsi="Times"/>
                <w:b/>
                <w:color w:val="000000" w:themeColor="text1"/>
                <w:sz w:val="22"/>
                <w:szCs w:val="22"/>
              </w:rPr>
              <w:lastRenderedPageBreak/>
              <w:t>e-Table 4.</w:t>
            </w:r>
            <w:r w:rsidRPr="00382D46">
              <w:rPr>
                <w:rFonts w:ascii="Times" w:hAnsi="Times"/>
                <w:color w:val="000000" w:themeColor="text1"/>
                <w:sz w:val="22"/>
                <w:szCs w:val="22"/>
              </w:rPr>
              <w:t xml:space="preserve"> Cohort characteristics stratified by IDD diagnosis, before and after high dimensional propensity score matching</w:t>
            </w:r>
            <w:bookmarkEnd w:id="8"/>
          </w:p>
        </w:tc>
      </w:tr>
      <w:tr w:rsidR="002D4386" w:rsidRPr="00382D46" w14:paraId="70E5D006" w14:textId="77777777" w:rsidTr="009B2F45">
        <w:trPr>
          <w:gridAfter w:val="1"/>
          <w:wAfter w:w="7" w:type="dxa"/>
          <w:trHeight w:val="285"/>
        </w:trPr>
        <w:tc>
          <w:tcPr>
            <w:tcW w:w="4905" w:type="dxa"/>
            <w:tcBorders>
              <w:top w:val="single" w:sz="12" w:space="0" w:color="auto"/>
              <w:bottom w:val="nil"/>
              <w:right w:val="nil"/>
            </w:tcBorders>
            <w:vAlign w:val="bottom"/>
          </w:tcPr>
          <w:p w14:paraId="327A907F" w14:textId="77777777" w:rsidR="002D4386" w:rsidRPr="00382D46" w:rsidRDefault="002D4386" w:rsidP="00656914">
            <w:pPr>
              <w:rPr>
                <w:rFonts w:ascii="Times" w:hAnsi="Times" w:cs="Calibri"/>
                <w:color w:val="000000"/>
                <w:sz w:val="22"/>
                <w:szCs w:val="22"/>
              </w:rPr>
            </w:pPr>
          </w:p>
        </w:tc>
        <w:tc>
          <w:tcPr>
            <w:tcW w:w="3816" w:type="dxa"/>
            <w:gridSpan w:val="2"/>
            <w:tcBorders>
              <w:top w:val="single" w:sz="12" w:space="0" w:color="auto"/>
              <w:left w:val="nil"/>
              <w:bottom w:val="nil"/>
              <w:right w:val="nil"/>
            </w:tcBorders>
            <w:vAlign w:val="center"/>
          </w:tcPr>
          <w:p w14:paraId="230635E0" w14:textId="77777777" w:rsidR="002D4386" w:rsidRPr="00382D46" w:rsidRDefault="002D4386" w:rsidP="002D4386">
            <w:pPr>
              <w:jc w:val="center"/>
              <w:rPr>
                <w:rFonts w:ascii="Times" w:hAnsi="Times" w:cs="Calibri"/>
                <w:b/>
                <w:bCs/>
                <w:color w:val="000000"/>
                <w:sz w:val="22"/>
                <w:szCs w:val="22"/>
              </w:rPr>
            </w:pPr>
            <w:r w:rsidRPr="00382D46">
              <w:rPr>
                <w:rFonts w:ascii="Times" w:hAnsi="Times" w:cs="Calibri"/>
                <w:b/>
                <w:bCs/>
                <w:color w:val="000000"/>
                <w:sz w:val="22"/>
                <w:szCs w:val="22"/>
              </w:rPr>
              <w:t>Unmatched Cohort</w:t>
            </w:r>
          </w:p>
        </w:tc>
        <w:tc>
          <w:tcPr>
            <w:tcW w:w="410" w:type="dxa"/>
            <w:tcBorders>
              <w:top w:val="single" w:sz="12" w:space="0" w:color="auto"/>
              <w:left w:val="nil"/>
              <w:bottom w:val="nil"/>
              <w:right w:val="nil"/>
            </w:tcBorders>
            <w:vAlign w:val="center"/>
          </w:tcPr>
          <w:p w14:paraId="404D8EC4" w14:textId="77777777" w:rsidR="002D4386" w:rsidRPr="00382D46" w:rsidRDefault="002D4386" w:rsidP="002D4386">
            <w:pPr>
              <w:jc w:val="center"/>
              <w:rPr>
                <w:rFonts w:ascii="Times" w:hAnsi="Times" w:cs="Calibri"/>
                <w:b/>
                <w:bCs/>
                <w:color w:val="000000"/>
                <w:sz w:val="22"/>
                <w:szCs w:val="22"/>
              </w:rPr>
            </w:pPr>
          </w:p>
        </w:tc>
        <w:tc>
          <w:tcPr>
            <w:tcW w:w="3816" w:type="dxa"/>
            <w:gridSpan w:val="4"/>
            <w:tcBorders>
              <w:top w:val="single" w:sz="12" w:space="0" w:color="auto"/>
              <w:left w:val="nil"/>
              <w:bottom w:val="single" w:sz="12" w:space="0" w:color="auto"/>
            </w:tcBorders>
            <w:vAlign w:val="center"/>
          </w:tcPr>
          <w:p w14:paraId="7A6ADE79" w14:textId="5C3BE2DD" w:rsidR="002D4386" w:rsidRPr="00382D46" w:rsidRDefault="002D4386" w:rsidP="002D4386">
            <w:pPr>
              <w:jc w:val="center"/>
              <w:rPr>
                <w:rFonts w:ascii="Times" w:hAnsi="Times" w:cs="Calibri"/>
                <w:b/>
                <w:bCs/>
                <w:color w:val="000000"/>
                <w:sz w:val="22"/>
                <w:szCs w:val="22"/>
              </w:rPr>
            </w:pPr>
            <w:r w:rsidRPr="00382D46">
              <w:rPr>
                <w:rFonts w:ascii="Times" w:hAnsi="Times" w:cs="Calibri"/>
                <w:b/>
                <w:bCs/>
                <w:color w:val="000000"/>
                <w:sz w:val="22"/>
                <w:szCs w:val="22"/>
              </w:rPr>
              <w:t>High Dimensional Propensity Score Matched Cohort</w:t>
            </w:r>
          </w:p>
        </w:tc>
      </w:tr>
      <w:tr w:rsidR="001A31C1" w:rsidRPr="00382D46" w14:paraId="437B1002" w14:textId="77777777" w:rsidTr="009B2F45">
        <w:trPr>
          <w:trHeight w:val="285"/>
        </w:trPr>
        <w:tc>
          <w:tcPr>
            <w:tcW w:w="4905" w:type="dxa"/>
            <w:vMerge w:val="restart"/>
            <w:tcBorders>
              <w:top w:val="nil"/>
              <w:bottom w:val="nil"/>
              <w:right w:val="nil"/>
            </w:tcBorders>
            <w:vAlign w:val="bottom"/>
          </w:tcPr>
          <w:p w14:paraId="3B6A70FD" w14:textId="77777777" w:rsidR="001A31C1" w:rsidRPr="00382D46" w:rsidRDefault="001A31C1" w:rsidP="001A31C1">
            <w:pPr>
              <w:rPr>
                <w:rFonts w:ascii="Times" w:hAnsi="Times" w:cs="Calibri"/>
                <w:color w:val="000000"/>
                <w:sz w:val="22"/>
                <w:szCs w:val="22"/>
              </w:rPr>
            </w:pPr>
            <w:r w:rsidRPr="00382D46">
              <w:rPr>
                <w:rFonts w:ascii="Times" w:hAnsi="Times" w:cs="Calibri"/>
                <w:color w:val="000000"/>
                <w:sz w:val="22"/>
                <w:szCs w:val="22"/>
              </w:rPr>
              <w:t> </w:t>
            </w:r>
          </w:p>
        </w:tc>
        <w:tc>
          <w:tcPr>
            <w:tcW w:w="1907" w:type="dxa"/>
            <w:tcBorders>
              <w:top w:val="single" w:sz="12" w:space="0" w:color="auto"/>
              <w:left w:val="nil"/>
              <w:bottom w:val="nil"/>
              <w:right w:val="nil"/>
            </w:tcBorders>
            <w:vAlign w:val="center"/>
          </w:tcPr>
          <w:p w14:paraId="7D7D68A8" w14:textId="08823303" w:rsidR="001A31C1" w:rsidRPr="00382D46" w:rsidRDefault="001A31C1" w:rsidP="001A31C1">
            <w:pPr>
              <w:jc w:val="center"/>
              <w:rPr>
                <w:rFonts w:ascii="Times" w:hAnsi="Times" w:cs="Calibri"/>
                <w:b/>
                <w:bCs/>
                <w:color w:val="000000"/>
                <w:sz w:val="22"/>
                <w:szCs w:val="22"/>
              </w:rPr>
            </w:pPr>
            <w:r w:rsidRPr="00382D46">
              <w:rPr>
                <w:rFonts w:ascii="Times" w:hAnsi="Times" w:cs="Calibri"/>
                <w:b/>
                <w:bCs/>
                <w:color w:val="000000"/>
                <w:sz w:val="22"/>
                <w:szCs w:val="22"/>
              </w:rPr>
              <w:t>IDD</w:t>
            </w:r>
          </w:p>
        </w:tc>
        <w:tc>
          <w:tcPr>
            <w:tcW w:w="1909" w:type="dxa"/>
            <w:tcBorders>
              <w:top w:val="single" w:sz="12" w:space="0" w:color="auto"/>
              <w:left w:val="nil"/>
              <w:bottom w:val="nil"/>
              <w:right w:val="nil"/>
            </w:tcBorders>
            <w:vAlign w:val="center"/>
          </w:tcPr>
          <w:p w14:paraId="4F24F190" w14:textId="3BC7D85C" w:rsidR="001A31C1" w:rsidRPr="00382D46" w:rsidRDefault="001A31C1" w:rsidP="001A31C1">
            <w:pPr>
              <w:jc w:val="center"/>
              <w:rPr>
                <w:rFonts w:ascii="Times" w:hAnsi="Times" w:cs="Calibri"/>
                <w:b/>
                <w:bCs/>
                <w:color w:val="000000"/>
                <w:sz w:val="22"/>
                <w:szCs w:val="22"/>
              </w:rPr>
            </w:pPr>
            <w:r w:rsidRPr="00382D46">
              <w:rPr>
                <w:rFonts w:ascii="Times" w:hAnsi="Times" w:cs="Calibri"/>
                <w:b/>
                <w:bCs/>
                <w:color w:val="000000"/>
                <w:sz w:val="22"/>
                <w:szCs w:val="22"/>
              </w:rPr>
              <w:t>No IDD</w:t>
            </w:r>
          </w:p>
        </w:tc>
        <w:tc>
          <w:tcPr>
            <w:tcW w:w="410" w:type="dxa"/>
            <w:tcBorders>
              <w:top w:val="nil"/>
              <w:left w:val="nil"/>
              <w:bottom w:val="nil"/>
              <w:right w:val="nil"/>
            </w:tcBorders>
            <w:vAlign w:val="center"/>
          </w:tcPr>
          <w:p w14:paraId="5753F6F4" w14:textId="77777777" w:rsidR="001A31C1" w:rsidRPr="00382D46" w:rsidRDefault="001A31C1" w:rsidP="001A31C1">
            <w:pPr>
              <w:jc w:val="center"/>
              <w:rPr>
                <w:rFonts w:ascii="Times" w:hAnsi="Times" w:cs="Calibri"/>
                <w:b/>
                <w:bCs/>
                <w:color w:val="000000"/>
                <w:sz w:val="22"/>
                <w:szCs w:val="22"/>
              </w:rPr>
            </w:pPr>
          </w:p>
        </w:tc>
        <w:tc>
          <w:tcPr>
            <w:tcW w:w="1910" w:type="dxa"/>
            <w:gridSpan w:val="3"/>
            <w:tcBorders>
              <w:top w:val="single" w:sz="12" w:space="0" w:color="auto"/>
              <w:left w:val="nil"/>
              <w:bottom w:val="nil"/>
              <w:right w:val="nil"/>
            </w:tcBorders>
            <w:vAlign w:val="center"/>
          </w:tcPr>
          <w:p w14:paraId="4B35E015" w14:textId="0911D9A1" w:rsidR="001A31C1" w:rsidRPr="00382D46" w:rsidRDefault="001A31C1" w:rsidP="001A31C1">
            <w:pPr>
              <w:jc w:val="center"/>
              <w:rPr>
                <w:rFonts w:ascii="Times" w:hAnsi="Times" w:cs="Calibri"/>
                <w:b/>
                <w:bCs/>
                <w:color w:val="000000"/>
                <w:sz w:val="22"/>
                <w:szCs w:val="22"/>
              </w:rPr>
            </w:pPr>
            <w:r w:rsidRPr="00382D46">
              <w:rPr>
                <w:rFonts w:ascii="Times" w:hAnsi="Times" w:cs="Calibri"/>
                <w:b/>
                <w:bCs/>
                <w:color w:val="000000"/>
                <w:sz w:val="22"/>
                <w:szCs w:val="22"/>
              </w:rPr>
              <w:t>IDD</w:t>
            </w:r>
          </w:p>
        </w:tc>
        <w:tc>
          <w:tcPr>
            <w:tcW w:w="1913" w:type="dxa"/>
            <w:gridSpan w:val="2"/>
            <w:tcBorders>
              <w:top w:val="single" w:sz="12" w:space="0" w:color="auto"/>
              <w:left w:val="nil"/>
              <w:bottom w:val="nil"/>
            </w:tcBorders>
            <w:vAlign w:val="center"/>
          </w:tcPr>
          <w:p w14:paraId="6CE25F9E" w14:textId="22DA94DE" w:rsidR="001A31C1" w:rsidRPr="00382D46" w:rsidRDefault="001A31C1" w:rsidP="001A31C1">
            <w:pPr>
              <w:jc w:val="center"/>
              <w:rPr>
                <w:rFonts w:ascii="Times" w:hAnsi="Times" w:cs="Calibri"/>
                <w:b/>
                <w:bCs/>
                <w:color w:val="000000"/>
                <w:sz w:val="22"/>
                <w:szCs w:val="22"/>
              </w:rPr>
            </w:pPr>
            <w:r w:rsidRPr="00382D46">
              <w:rPr>
                <w:rFonts w:ascii="Times" w:hAnsi="Times" w:cs="Calibri"/>
                <w:b/>
                <w:bCs/>
                <w:color w:val="000000"/>
                <w:sz w:val="22"/>
                <w:szCs w:val="22"/>
              </w:rPr>
              <w:t>No IDD</w:t>
            </w:r>
          </w:p>
        </w:tc>
      </w:tr>
      <w:tr w:rsidR="001A31C1" w:rsidRPr="00382D46" w14:paraId="5267DAA3" w14:textId="77777777" w:rsidTr="009D76A0">
        <w:trPr>
          <w:trHeight w:val="285"/>
        </w:trPr>
        <w:tc>
          <w:tcPr>
            <w:tcW w:w="4905" w:type="dxa"/>
            <w:vMerge/>
            <w:tcBorders>
              <w:top w:val="nil"/>
              <w:bottom w:val="nil"/>
              <w:right w:val="nil"/>
            </w:tcBorders>
            <w:vAlign w:val="bottom"/>
          </w:tcPr>
          <w:p w14:paraId="6321EDDF" w14:textId="77777777" w:rsidR="001A31C1" w:rsidRPr="00382D46" w:rsidRDefault="001A31C1" w:rsidP="001A31C1">
            <w:pPr>
              <w:rPr>
                <w:rFonts w:ascii="Times" w:hAnsi="Times"/>
                <w:sz w:val="22"/>
                <w:szCs w:val="22"/>
              </w:rPr>
            </w:pPr>
          </w:p>
        </w:tc>
        <w:tc>
          <w:tcPr>
            <w:tcW w:w="1907" w:type="dxa"/>
            <w:tcBorders>
              <w:top w:val="nil"/>
              <w:left w:val="nil"/>
              <w:bottom w:val="nil"/>
              <w:right w:val="nil"/>
            </w:tcBorders>
            <w:vAlign w:val="bottom"/>
          </w:tcPr>
          <w:p w14:paraId="27AF795A" w14:textId="7BA12DCE" w:rsidR="001A31C1" w:rsidRPr="00382D46" w:rsidRDefault="001A31C1" w:rsidP="001A31C1">
            <w:pPr>
              <w:jc w:val="center"/>
              <w:rPr>
                <w:rFonts w:ascii="Times" w:hAnsi="Times" w:cs="Calibri"/>
                <w:b/>
                <w:bCs/>
                <w:color w:val="000000"/>
                <w:sz w:val="22"/>
                <w:szCs w:val="22"/>
              </w:rPr>
            </w:pPr>
            <w:r w:rsidRPr="00382D46">
              <w:rPr>
                <w:rFonts w:ascii="Times" w:hAnsi="Times" w:cs="Calibri"/>
                <w:b/>
                <w:bCs/>
                <w:color w:val="000000"/>
                <w:sz w:val="22"/>
                <w:szCs w:val="22"/>
              </w:rPr>
              <w:t xml:space="preserve"> N=20,684</w:t>
            </w:r>
          </w:p>
        </w:tc>
        <w:tc>
          <w:tcPr>
            <w:tcW w:w="1909" w:type="dxa"/>
            <w:tcBorders>
              <w:top w:val="nil"/>
              <w:left w:val="nil"/>
              <w:bottom w:val="nil"/>
              <w:right w:val="nil"/>
            </w:tcBorders>
            <w:vAlign w:val="bottom"/>
          </w:tcPr>
          <w:p w14:paraId="11CF3668" w14:textId="1D6B0593" w:rsidR="001A31C1" w:rsidRPr="00382D46" w:rsidRDefault="001A31C1" w:rsidP="001A31C1">
            <w:pPr>
              <w:jc w:val="center"/>
              <w:rPr>
                <w:rFonts w:ascii="Times" w:hAnsi="Times"/>
                <w:sz w:val="22"/>
                <w:szCs w:val="22"/>
              </w:rPr>
            </w:pPr>
            <w:r w:rsidRPr="00382D46">
              <w:rPr>
                <w:rFonts w:ascii="Times" w:hAnsi="Times" w:cs="Calibri"/>
                <w:b/>
                <w:bCs/>
                <w:color w:val="000000"/>
                <w:sz w:val="22"/>
                <w:szCs w:val="22"/>
              </w:rPr>
              <w:t>N=3,931,095</w:t>
            </w:r>
          </w:p>
        </w:tc>
        <w:tc>
          <w:tcPr>
            <w:tcW w:w="410" w:type="dxa"/>
            <w:tcBorders>
              <w:top w:val="nil"/>
              <w:left w:val="nil"/>
              <w:bottom w:val="nil"/>
              <w:right w:val="nil"/>
            </w:tcBorders>
            <w:vAlign w:val="center"/>
          </w:tcPr>
          <w:p w14:paraId="5566FCE9" w14:textId="77777777" w:rsidR="001A31C1" w:rsidRPr="00382D46" w:rsidRDefault="001A31C1" w:rsidP="001A31C1">
            <w:pPr>
              <w:jc w:val="center"/>
              <w:rPr>
                <w:rFonts w:ascii="Times" w:hAnsi="Times"/>
                <w:sz w:val="22"/>
                <w:szCs w:val="22"/>
              </w:rPr>
            </w:pPr>
          </w:p>
        </w:tc>
        <w:tc>
          <w:tcPr>
            <w:tcW w:w="1910" w:type="dxa"/>
            <w:gridSpan w:val="3"/>
            <w:tcBorders>
              <w:top w:val="nil"/>
              <w:left w:val="nil"/>
              <w:bottom w:val="nil"/>
              <w:right w:val="nil"/>
            </w:tcBorders>
            <w:vAlign w:val="bottom"/>
          </w:tcPr>
          <w:p w14:paraId="6B015B45" w14:textId="243607E5" w:rsidR="001A31C1" w:rsidRPr="00382D46" w:rsidRDefault="001A31C1" w:rsidP="001A31C1">
            <w:pPr>
              <w:jc w:val="center"/>
              <w:rPr>
                <w:rFonts w:ascii="Times" w:hAnsi="Times" w:cs="Calibri"/>
                <w:b/>
                <w:bCs/>
                <w:color w:val="000000"/>
                <w:sz w:val="22"/>
                <w:szCs w:val="22"/>
              </w:rPr>
            </w:pPr>
            <w:r w:rsidRPr="00382D46">
              <w:rPr>
                <w:rFonts w:ascii="Times" w:hAnsi="Times" w:cs="Calibri"/>
                <w:b/>
                <w:bCs/>
                <w:color w:val="000000"/>
                <w:sz w:val="22"/>
                <w:szCs w:val="22"/>
              </w:rPr>
              <w:t>N=19,156</w:t>
            </w:r>
          </w:p>
        </w:tc>
        <w:tc>
          <w:tcPr>
            <w:tcW w:w="1913" w:type="dxa"/>
            <w:gridSpan w:val="2"/>
            <w:tcBorders>
              <w:top w:val="nil"/>
              <w:left w:val="nil"/>
              <w:bottom w:val="nil"/>
            </w:tcBorders>
            <w:vAlign w:val="bottom"/>
          </w:tcPr>
          <w:p w14:paraId="2E176419" w14:textId="38F06F18" w:rsidR="001A31C1" w:rsidRPr="00382D46" w:rsidRDefault="001A31C1" w:rsidP="001A31C1">
            <w:pPr>
              <w:jc w:val="center"/>
              <w:rPr>
                <w:rFonts w:ascii="Times" w:hAnsi="Times" w:cs="Calibri"/>
                <w:b/>
                <w:bCs/>
                <w:color w:val="000000"/>
                <w:sz w:val="22"/>
                <w:szCs w:val="22"/>
              </w:rPr>
            </w:pPr>
            <w:r w:rsidRPr="00382D46">
              <w:rPr>
                <w:rFonts w:ascii="Times" w:hAnsi="Times" w:cs="Calibri"/>
                <w:b/>
                <w:bCs/>
                <w:color w:val="000000"/>
                <w:sz w:val="22"/>
                <w:szCs w:val="22"/>
              </w:rPr>
              <w:t>N=72,007</w:t>
            </w:r>
          </w:p>
        </w:tc>
      </w:tr>
      <w:tr w:rsidR="009B2F45" w:rsidRPr="00382D46" w14:paraId="19B54935" w14:textId="77777777" w:rsidTr="009B2F45">
        <w:trPr>
          <w:trHeight w:val="273"/>
        </w:trPr>
        <w:tc>
          <w:tcPr>
            <w:tcW w:w="9131" w:type="dxa"/>
            <w:gridSpan w:val="4"/>
            <w:tcBorders>
              <w:top w:val="nil"/>
              <w:bottom w:val="single" w:sz="4" w:space="0" w:color="000000" w:themeColor="text1"/>
              <w:right w:val="nil"/>
            </w:tcBorders>
          </w:tcPr>
          <w:p w14:paraId="753B8AF5" w14:textId="77777777" w:rsidR="009B2F45" w:rsidRPr="00382D46" w:rsidRDefault="009B2F45" w:rsidP="009B2F45">
            <w:pPr>
              <w:rPr>
                <w:rFonts w:ascii="Times" w:hAnsi="Times" w:cs="Calibri"/>
                <w:color w:val="000000"/>
                <w:sz w:val="22"/>
                <w:szCs w:val="22"/>
              </w:rPr>
            </w:pPr>
            <w:r w:rsidRPr="00382D46">
              <w:rPr>
                <w:rFonts w:ascii="Times" w:hAnsi="Times" w:cs="Calibri"/>
                <w:b/>
                <w:bCs/>
                <w:color w:val="000000"/>
                <w:sz w:val="22"/>
                <w:szCs w:val="22"/>
              </w:rPr>
              <w:t>Demographics</w:t>
            </w:r>
          </w:p>
        </w:tc>
        <w:tc>
          <w:tcPr>
            <w:tcW w:w="1774" w:type="dxa"/>
            <w:tcBorders>
              <w:top w:val="nil"/>
              <w:left w:val="nil"/>
              <w:bottom w:val="single" w:sz="4" w:space="0" w:color="000000" w:themeColor="text1"/>
              <w:right w:val="nil"/>
            </w:tcBorders>
          </w:tcPr>
          <w:p w14:paraId="084EE0DA" w14:textId="72B88714" w:rsidR="009B2F45" w:rsidRPr="00382D46" w:rsidRDefault="009B2F45" w:rsidP="009B2F45">
            <w:pPr>
              <w:rPr>
                <w:rFonts w:ascii="Times" w:hAnsi="Times" w:cs="Calibri"/>
                <w:b/>
                <w:bCs/>
                <w:color w:val="000000"/>
                <w:sz w:val="22"/>
                <w:szCs w:val="22"/>
              </w:rPr>
            </w:pPr>
          </w:p>
        </w:tc>
        <w:tc>
          <w:tcPr>
            <w:tcW w:w="2049" w:type="dxa"/>
            <w:gridSpan w:val="4"/>
            <w:tcBorders>
              <w:top w:val="nil"/>
              <w:left w:val="nil"/>
              <w:bottom w:val="single" w:sz="4" w:space="0" w:color="000000" w:themeColor="text1"/>
            </w:tcBorders>
          </w:tcPr>
          <w:p w14:paraId="5514CACF" w14:textId="77777777" w:rsidR="009B2F45" w:rsidRPr="00382D46" w:rsidRDefault="009B2F45" w:rsidP="009B2F45">
            <w:pPr>
              <w:rPr>
                <w:rFonts w:ascii="Times" w:hAnsi="Times" w:cs="Calibri"/>
                <w:b/>
                <w:bCs/>
                <w:color w:val="000000"/>
                <w:sz w:val="22"/>
                <w:szCs w:val="22"/>
              </w:rPr>
            </w:pPr>
          </w:p>
        </w:tc>
      </w:tr>
      <w:tr w:rsidR="00382D46" w:rsidRPr="00382D46" w14:paraId="2647800B" w14:textId="77777777" w:rsidTr="00AC16B4">
        <w:trPr>
          <w:trHeight w:val="273"/>
        </w:trPr>
        <w:tc>
          <w:tcPr>
            <w:tcW w:w="4905" w:type="dxa"/>
            <w:tcBorders>
              <w:top w:val="single" w:sz="4" w:space="0" w:color="000000" w:themeColor="text1"/>
              <w:bottom w:val="single" w:sz="4" w:space="0" w:color="BFBFBF" w:themeColor="background1" w:themeShade="BF"/>
              <w:right w:val="nil"/>
            </w:tcBorders>
            <w:vAlign w:val="bottom"/>
          </w:tcPr>
          <w:p w14:paraId="5AC64035"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Age, mean ± SD</w:t>
            </w:r>
          </w:p>
        </w:tc>
        <w:tc>
          <w:tcPr>
            <w:tcW w:w="1907" w:type="dxa"/>
            <w:tcBorders>
              <w:top w:val="single" w:sz="4" w:space="0" w:color="000000" w:themeColor="text1"/>
              <w:left w:val="nil"/>
              <w:bottom w:val="single" w:sz="4" w:space="0" w:color="BFBFBF" w:themeColor="background1" w:themeShade="BF"/>
              <w:right w:val="nil"/>
            </w:tcBorders>
            <w:vAlign w:val="bottom"/>
          </w:tcPr>
          <w:p w14:paraId="029A15D0" w14:textId="4EAA7F80" w:rsidR="00382D46" w:rsidRPr="00382D46" w:rsidRDefault="00382D46" w:rsidP="00382D46">
            <w:pPr>
              <w:jc w:val="center"/>
              <w:rPr>
                <w:rFonts w:ascii="Times" w:hAnsi="Times"/>
                <w:sz w:val="22"/>
                <w:szCs w:val="22"/>
              </w:rPr>
            </w:pPr>
            <w:r w:rsidRPr="00382D46">
              <w:rPr>
                <w:rFonts w:ascii="Times" w:hAnsi="Times" w:cs="Calibri"/>
                <w:color w:val="000000"/>
                <w:sz w:val="22"/>
                <w:szCs w:val="22"/>
              </w:rPr>
              <w:t>37.2 ± 17.0</w:t>
            </w:r>
          </w:p>
        </w:tc>
        <w:tc>
          <w:tcPr>
            <w:tcW w:w="1909" w:type="dxa"/>
            <w:tcBorders>
              <w:top w:val="single" w:sz="4" w:space="0" w:color="000000" w:themeColor="text1"/>
              <w:left w:val="nil"/>
              <w:bottom w:val="single" w:sz="4" w:space="0" w:color="BFBFBF" w:themeColor="background1" w:themeShade="BF"/>
              <w:right w:val="nil"/>
            </w:tcBorders>
            <w:vAlign w:val="bottom"/>
          </w:tcPr>
          <w:p w14:paraId="6C4376E5" w14:textId="1DC9808B"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 xml:space="preserve">49.7 ± 18.7 </w:t>
            </w:r>
            <w:r w:rsidRPr="00382D46">
              <w:rPr>
                <w:rFonts w:ascii="Times" w:hAnsi="Times" w:cs="Calibri"/>
                <w:color w:val="000000"/>
                <w:sz w:val="22"/>
                <w:szCs w:val="22"/>
                <w:vertAlign w:val="superscript"/>
              </w:rPr>
              <w:t>1</w:t>
            </w:r>
          </w:p>
        </w:tc>
        <w:tc>
          <w:tcPr>
            <w:tcW w:w="410" w:type="dxa"/>
            <w:tcBorders>
              <w:top w:val="single" w:sz="4" w:space="0" w:color="000000" w:themeColor="text1"/>
              <w:left w:val="nil"/>
              <w:bottom w:val="single" w:sz="4" w:space="0" w:color="BFBFBF" w:themeColor="background1" w:themeShade="BF"/>
              <w:right w:val="nil"/>
            </w:tcBorders>
            <w:vAlign w:val="center"/>
          </w:tcPr>
          <w:p w14:paraId="73352115" w14:textId="77777777" w:rsidR="00382D46" w:rsidRPr="00382D46" w:rsidRDefault="00382D46" w:rsidP="00382D46">
            <w:pPr>
              <w:jc w:val="center"/>
              <w:rPr>
                <w:rFonts w:ascii="Times" w:hAnsi="Times"/>
                <w:sz w:val="22"/>
                <w:szCs w:val="22"/>
              </w:rPr>
            </w:pPr>
          </w:p>
        </w:tc>
        <w:tc>
          <w:tcPr>
            <w:tcW w:w="1910" w:type="dxa"/>
            <w:gridSpan w:val="3"/>
            <w:tcBorders>
              <w:top w:val="single" w:sz="4" w:space="0" w:color="000000" w:themeColor="text1"/>
              <w:left w:val="nil"/>
              <w:bottom w:val="single" w:sz="4" w:space="0" w:color="BFBFBF" w:themeColor="background1" w:themeShade="BF"/>
              <w:right w:val="nil"/>
            </w:tcBorders>
            <w:vAlign w:val="bottom"/>
          </w:tcPr>
          <w:p w14:paraId="58431724" w14:textId="7F12A76C" w:rsidR="00382D46" w:rsidRPr="00382D46" w:rsidRDefault="00382D46" w:rsidP="00382D46">
            <w:pPr>
              <w:jc w:val="center"/>
              <w:rPr>
                <w:rFonts w:ascii="Times" w:hAnsi="Times"/>
                <w:sz w:val="22"/>
                <w:szCs w:val="22"/>
              </w:rPr>
            </w:pPr>
            <w:r w:rsidRPr="00382D46">
              <w:rPr>
                <w:rFonts w:ascii="Times" w:hAnsi="Times" w:cs="Calibri"/>
                <w:color w:val="000000"/>
                <w:sz w:val="22"/>
                <w:szCs w:val="22"/>
              </w:rPr>
              <w:t xml:space="preserve">36.9 ± 17.0 </w:t>
            </w:r>
          </w:p>
        </w:tc>
        <w:tc>
          <w:tcPr>
            <w:tcW w:w="1913" w:type="dxa"/>
            <w:gridSpan w:val="2"/>
            <w:tcBorders>
              <w:top w:val="single" w:sz="4" w:space="0" w:color="000000" w:themeColor="text1"/>
              <w:left w:val="nil"/>
              <w:bottom w:val="single" w:sz="4" w:space="0" w:color="BFBFBF" w:themeColor="background1" w:themeShade="BF"/>
            </w:tcBorders>
            <w:vAlign w:val="bottom"/>
          </w:tcPr>
          <w:p w14:paraId="20DBAB4E" w14:textId="6E17A70E" w:rsidR="00382D46" w:rsidRPr="00382D46" w:rsidRDefault="00382D46" w:rsidP="00382D46">
            <w:pPr>
              <w:jc w:val="center"/>
              <w:rPr>
                <w:rFonts w:ascii="Times" w:hAnsi="Times"/>
                <w:sz w:val="22"/>
                <w:szCs w:val="22"/>
              </w:rPr>
            </w:pPr>
            <w:r w:rsidRPr="00382D46">
              <w:rPr>
                <w:rFonts w:ascii="Times" w:hAnsi="Times" w:cs="Calibri"/>
                <w:color w:val="000000"/>
                <w:sz w:val="22"/>
                <w:szCs w:val="22"/>
              </w:rPr>
              <w:t>36.9 ± 17.0</w:t>
            </w:r>
          </w:p>
        </w:tc>
      </w:tr>
      <w:tr w:rsidR="00382D46" w:rsidRPr="00382D46" w14:paraId="6DEAFA2F" w14:textId="77777777" w:rsidTr="00AC16B4">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2007DC06"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Male, No. (%)</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6890843B" w14:textId="1AA64486"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11,943 (57.7)</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0B2DB22A" w14:textId="3DE64B22"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 xml:space="preserve">1,829,924 (46.5) </w:t>
            </w:r>
            <w:r w:rsidRPr="00382D46">
              <w:rPr>
                <w:rFonts w:ascii="Times" w:hAnsi="Times" w:cs="Calibri"/>
                <w:color w:val="000000"/>
                <w:sz w:val="22"/>
                <w:szCs w:val="22"/>
                <w:vertAlign w:val="superscript"/>
              </w:rPr>
              <w:t>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7318A9DB"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14392408" w14:textId="2AC2D841"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11,054 (57.7)</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6F2808EA" w14:textId="5CC6F9A3"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41,548 (57.7)</w:t>
            </w:r>
          </w:p>
        </w:tc>
      </w:tr>
      <w:tr w:rsidR="001A31C1" w:rsidRPr="00382D46" w14:paraId="3A5053D1" w14:textId="77777777" w:rsidTr="009B2F45">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6A8CBC9B" w14:textId="77777777" w:rsidR="001A31C1" w:rsidRPr="00382D46" w:rsidRDefault="001A31C1" w:rsidP="001A31C1">
            <w:pPr>
              <w:rPr>
                <w:rFonts w:ascii="Times" w:hAnsi="Times"/>
                <w:sz w:val="22"/>
                <w:szCs w:val="22"/>
              </w:rPr>
            </w:pPr>
            <w:r w:rsidRPr="00382D46">
              <w:rPr>
                <w:rFonts w:ascii="Times" w:hAnsi="Times" w:cs="Calibri"/>
                <w:color w:val="000000"/>
                <w:sz w:val="22"/>
                <w:szCs w:val="22"/>
              </w:rPr>
              <w:t>Income Quintile, No. (%)</w:t>
            </w:r>
          </w:p>
        </w:tc>
        <w:tc>
          <w:tcPr>
            <w:tcW w:w="1907" w:type="dxa"/>
            <w:tcBorders>
              <w:top w:val="single" w:sz="4" w:space="0" w:color="BFBFBF" w:themeColor="background1" w:themeShade="BF"/>
              <w:left w:val="nil"/>
              <w:bottom w:val="single" w:sz="4" w:space="0" w:color="BFBFBF" w:themeColor="background1" w:themeShade="BF"/>
              <w:right w:val="nil"/>
            </w:tcBorders>
            <w:vAlign w:val="center"/>
          </w:tcPr>
          <w:p w14:paraId="342C76ED" w14:textId="77777777" w:rsidR="001A31C1" w:rsidRPr="00382D46" w:rsidRDefault="001A31C1" w:rsidP="001A31C1">
            <w:pPr>
              <w:jc w:val="center"/>
              <w:rPr>
                <w:rFonts w:ascii="Times" w:hAnsi="Times"/>
                <w:sz w:val="22"/>
                <w:szCs w:val="22"/>
              </w:rPr>
            </w:pPr>
          </w:p>
        </w:tc>
        <w:tc>
          <w:tcPr>
            <w:tcW w:w="1909" w:type="dxa"/>
            <w:tcBorders>
              <w:top w:val="single" w:sz="4" w:space="0" w:color="BFBFBF" w:themeColor="background1" w:themeShade="BF"/>
              <w:left w:val="nil"/>
              <w:bottom w:val="single" w:sz="4" w:space="0" w:color="BFBFBF" w:themeColor="background1" w:themeShade="BF"/>
              <w:right w:val="nil"/>
            </w:tcBorders>
            <w:vAlign w:val="center"/>
          </w:tcPr>
          <w:p w14:paraId="28DB3C2A" w14:textId="77777777" w:rsidR="001A31C1" w:rsidRPr="00382D46" w:rsidRDefault="001A31C1" w:rsidP="001A31C1">
            <w:pPr>
              <w:jc w:val="center"/>
              <w:rPr>
                <w:rFonts w:ascii="Times" w:hAnsi="Times"/>
                <w:sz w:val="22"/>
                <w:szCs w:val="22"/>
              </w:rPr>
            </w:pP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7D9FD778" w14:textId="77777777" w:rsidR="001A31C1" w:rsidRPr="00382D46" w:rsidRDefault="001A31C1" w:rsidP="001A31C1">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center"/>
          </w:tcPr>
          <w:p w14:paraId="781A09FB" w14:textId="77777777" w:rsidR="001A31C1" w:rsidRPr="00382D46" w:rsidRDefault="001A31C1" w:rsidP="001A31C1">
            <w:pPr>
              <w:jc w:val="center"/>
              <w:rPr>
                <w:rFonts w:ascii="Times" w:hAnsi="Times"/>
                <w:sz w:val="22"/>
                <w:szCs w:val="22"/>
              </w:rPr>
            </w:pPr>
          </w:p>
        </w:tc>
        <w:tc>
          <w:tcPr>
            <w:tcW w:w="1913" w:type="dxa"/>
            <w:gridSpan w:val="2"/>
            <w:tcBorders>
              <w:top w:val="single" w:sz="4" w:space="0" w:color="BFBFBF" w:themeColor="background1" w:themeShade="BF"/>
              <w:left w:val="nil"/>
              <w:bottom w:val="single" w:sz="4" w:space="0" w:color="BFBFBF" w:themeColor="background1" w:themeShade="BF"/>
            </w:tcBorders>
            <w:vAlign w:val="center"/>
          </w:tcPr>
          <w:p w14:paraId="19FDD7E6" w14:textId="77777777" w:rsidR="001A31C1" w:rsidRPr="00382D46" w:rsidRDefault="001A31C1" w:rsidP="001A31C1">
            <w:pPr>
              <w:jc w:val="center"/>
              <w:rPr>
                <w:rFonts w:ascii="Times" w:hAnsi="Times"/>
                <w:sz w:val="22"/>
                <w:szCs w:val="22"/>
              </w:rPr>
            </w:pPr>
          </w:p>
        </w:tc>
      </w:tr>
      <w:tr w:rsidR="00382D46" w:rsidRPr="00382D46" w14:paraId="2766ADFD" w14:textId="77777777" w:rsidTr="00AC16B4">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36AC5AC8"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 xml:space="preserve">     1</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0D238D0A" w14:textId="2DA102E4"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6,053 (29.3)</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27E67F11" w14:textId="21B26618"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764,644 (19.5)</w:t>
            </w:r>
            <w:r w:rsidRPr="00382D46">
              <w:rPr>
                <w:rFonts w:ascii="Times" w:hAnsi="Times" w:cs="Calibri"/>
                <w:color w:val="000000"/>
                <w:sz w:val="22"/>
                <w:szCs w:val="22"/>
                <w:vertAlign w:val="superscript"/>
              </w:rPr>
              <w:t xml:space="preserve"> 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50A57F20"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780AC131" w14:textId="2574012E"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5,533 (28.8)</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4FA27B72" w14:textId="29C433DF" w:rsidR="00382D46" w:rsidRPr="00382D46" w:rsidRDefault="00382D46" w:rsidP="00382D46">
            <w:pPr>
              <w:jc w:val="center"/>
              <w:rPr>
                <w:rFonts w:ascii="Times" w:hAnsi="Times" w:cs="Calibri"/>
                <w:color w:val="000000"/>
                <w:sz w:val="22"/>
                <w:szCs w:val="22"/>
                <w:vertAlign w:val="superscript"/>
              </w:rPr>
            </w:pPr>
            <w:r w:rsidRPr="00382D46">
              <w:rPr>
                <w:rFonts w:ascii="Times" w:hAnsi="Times" w:cs="Calibri"/>
                <w:color w:val="000000"/>
                <w:sz w:val="22"/>
                <w:szCs w:val="22"/>
              </w:rPr>
              <w:t>20,594 (28.6)</w:t>
            </w:r>
          </w:p>
        </w:tc>
      </w:tr>
      <w:tr w:rsidR="00382D46" w:rsidRPr="00382D46" w14:paraId="4AD37B7B" w14:textId="77777777" w:rsidTr="00AC16B4">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292D9A21"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 xml:space="preserve">     2</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557EA7F2" w14:textId="2237645A"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4,457 (21.5)</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76FDE573" w14:textId="37E27CCF" w:rsidR="00382D46" w:rsidRPr="00382D46" w:rsidRDefault="00382D46" w:rsidP="00382D46">
            <w:pPr>
              <w:jc w:val="center"/>
              <w:rPr>
                <w:rFonts w:ascii="Times" w:hAnsi="Times"/>
                <w:sz w:val="22"/>
                <w:szCs w:val="22"/>
              </w:rPr>
            </w:pPr>
            <w:r w:rsidRPr="00382D46">
              <w:rPr>
                <w:rFonts w:ascii="Times" w:hAnsi="Times" w:cs="Calibri"/>
                <w:color w:val="000000"/>
                <w:sz w:val="22"/>
                <w:szCs w:val="22"/>
              </w:rPr>
              <w:t>784,699 (20.0)</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05585442"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28A5159C" w14:textId="0A54410B"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4,142 (21.6)</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603ACCE6" w14:textId="6152FEBF"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15,121 (21.0)</w:t>
            </w:r>
          </w:p>
        </w:tc>
      </w:tr>
      <w:tr w:rsidR="00382D46" w:rsidRPr="00382D46" w14:paraId="3B130EFA" w14:textId="77777777" w:rsidTr="00AC16B4">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2E34F50D"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 xml:space="preserve">     3</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40A9C59F" w14:textId="15C2C3F7"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3,592 (17.4)</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4C0F2CB1" w14:textId="3C0203FA" w:rsidR="00382D46" w:rsidRPr="00382D46" w:rsidRDefault="00382D46" w:rsidP="00382D46">
            <w:pPr>
              <w:jc w:val="center"/>
              <w:rPr>
                <w:rFonts w:ascii="Times" w:hAnsi="Times"/>
                <w:sz w:val="22"/>
                <w:szCs w:val="22"/>
              </w:rPr>
            </w:pPr>
            <w:r w:rsidRPr="00382D46">
              <w:rPr>
                <w:rFonts w:ascii="Times" w:hAnsi="Times" w:cs="Calibri"/>
                <w:color w:val="000000"/>
                <w:sz w:val="22"/>
                <w:szCs w:val="22"/>
              </w:rPr>
              <w:t>789,542 (20.1)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7D326A86"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122D89EC" w14:textId="548C5191"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3,378 (17.6)</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7810E44B" w14:textId="02F4275E"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12,961 (18.0)</w:t>
            </w:r>
          </w:p>
        </w:tc>
      </w:tr>
      <w:tr w:rsidR="00382D46" w:rsidRPr="00382D46" w14:paraId="02874EB1" w14:textId="77777777" w:rsidTr="00AC16B4">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65325EDD"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 xml:space="preserve">     4</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586E4084" w14:textId="48B72B7C"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3,328 (16.1)</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18ADE7F0" w14:textId="061EDEEB"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796,431 (20.3)</w:t>
            </w:r>
            <w:r w:rsidRPr="00382D46">
              <w:rPr>
                <w:rFonts w:ascii="Times" w:hAnsi="Times" w:cs="Calibri"/>
                <w:color w:val="000000"/>
                <w:sz w:val="22"/>
                <w:szCs w:val="22"/>
                <w:vertAlign w:val="superscript"/>
              </w:rPr>
              <w:t xml:space="preserve"> 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62A7AFD0"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56109F4B" w14:textId="1AFF5B1C"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3,094 (16.2)</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56BBED31" w14:textId="12447B57"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11,953 (16.6)</w:t>
            </w:r>
          </w:p>
        </w:tc>
      </w:tr>
      <w:tr w:rsidR="00382D46" w:rsidRPr="00382D46" w14:paraId="2D42A924" w14:textId="77777777" w:rsidTr="00AC16B4">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1BE28045"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 xml:space="preserve">     5</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5B5F91BC" w14:textId="52FDA04C"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3,225 (15.6)</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7C66D2C1" w14:textId="5345A192"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790,458 (20.1)</w:t>
            </w:r>
            <w:r w:rsidRPr="00382D46">
              <w:rPr>
                <w:rFonts w:ascii="Times" w:hAnsi="Times" w:cs="Calibri"/>
                <w:color w:val="000000"/>
                <w:sz w:val="22"/>
                <w:szCs w:val="22"/>
                <w:vertAlign w:val="superscript"/>
              </w:rPr>
              <w:t xml:space="preserve"> 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0FB020D0"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72E79836" w14:textId="703C3C9C"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3,009 (15.7)</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39C748DA" w14:textId="37A4317D" w:rsidR="00382D46" w:rsidRPr="00382D46" w:rsidRDefault="00382D46" w:rsidP="00382D46">
            <w:pPr>
              <w:jc w:val="center"/>
              <w:rPr>
                <w:rFonts w:ascii="Times" w:hAnsi="Times" w:cs="Calibri"/>
                <w:color w:val="000000"/>
                <w:sz w:val="22"/>
                <w:szCs w:val="22"/>
                <w:vertAlign w:val="superscript"/>
              </w:rPr>
            </w:pPr>
            <w:r w:rsidRPr="00382D46">
              <w:rPr>
                <w:rFonts w:ascii="Times" w:hAnsi="Times" w:cs="Calibri"/>
                <w:color w:val="000000"/>
                <w:sz w:val="22"/>
                <w:szCs w:val="22"/>
              </w:rPr>
              <w:t>11,449 (15.9)</w:t>
            </w:r>
          </w:p>
        </w:tc>
      </w:tr>
      <w:tr w:rsidR="00382D46" w:rsidRPr="00382D46" w14:paraId="640C2DB6" w14:textId="77777777" w:rsidTr="00AC16B4">
        <w:trPr>
          <w:trHeight w:val="285"/>
        </w:trPr>
        <w:tc>
          <w:tcPr>
            <w:tcW w:w="4905" w:type="dxa"/>
            <w:tcBorders>
              <w:top w:val="single" w:sz="4" w:space="0" w:color="BFBFBF" w:themeColor="background1" w:themeShade="BF"/>
              <w:bottom w:val="single" w:sz="4" w:space="0" w:color="BFBFBF" w:themeColor="background1" w:themeShade="BF"/>
              <w:right w:val="nil"/>
            </w:tcBorders>
            <w:vAlign w:val="bottom"/>
          </w:tcPr>
          <w:p w14:paraId="715F8AAA"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Rural Residence</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79578B9F" w14:textId="083DF569"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2,549 (12.3)</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2E945A4F" w14:textId="31817284" w:rsidR="00382D46" w:rsidRPr="00382D46" w:rsidRDefault="00382D46" w:rsidP="00382D46">
            <w:pPr>
              <w:jc w:val="center"/>
              <w:rPr>
                <w:rFonts w:ascii="Times" w:hAnsi="Times"/>
                <w:sz w:val="22"/>
                <w:szCs w:val="22"/>
              </w:rPr>
            </w:pPr>
            <w:r w:rsidRPr="00382D46">
              <w:rPr>
                <w:rFonts w:ascii="Times" w:hAnsi="Times" w:cs="Calibri"/>
                <w:color w:val="000000"/>
                <w:sz w:val="22"/>
                <w:szCs w:val="22"/>
              </w:rPr>
              <w:t>437,599 (11.1)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0C5952CF"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59CA74F6" w14:textId="19750913"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2,363 (12.3)</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46F5F030" w14:textId="5DF7BB08"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9,073 (12.6)</w:t>
            </w:r>
          </w:p>
        </w:tc>
      </w:tr>
      <w:tr w:rsidR="002D4386" w:rsidRPr="00382D46" w14:paraId="1062A46A" w14:textId="77777777" w:rsidTr="009B2F45">
        <w:trPr>
          <w:gridAfter w:val="3"/>
          <w:wAfter w:w="1996" w:type="dxa"/>
          <w:trHeight w:val="273"/>
        </w:trPr>
        <w:tc>
          <w:tcPr>
            <w:tcW w:w="10958" w:type="dxa"/>
            <w:gridSpan w:val="6"/>
            <w:tcBorders>
              <w:top w:val="single" w:sz="4" w:space="0" w:color="BFBFBF" w:themeColor="background1" w:themeShade="BF"/>
              <w:bottom w:val="single" w:sz="4" w:space="0" w:color="000000" w:themeColor="text1"/>
            </w:tcBorders>
          </w:tcPr>
          <w:p w14:paraId="42429BDF" w14:textId="77777777" w:rsidR="002D4386" w:rsidRPr="00382D46" w:rsidRDefault="002D4386" w:rsidP="00656914">
            <w:pPr>
              <w:rPr>
                <w:rFonts w:ascii="Times" w:hAnsi="Times" w:cs="Calibri"/>
                <w:b/>
                <w:bCs/>
                <w:color w:val="000000"/>
                <w:sz w:val="22"/>
                <w:szCs w:val="22"/>
              </w:rPr>
            </w:pPr>
            <w:r w:rsidRPr="00382D46">
              <w:rPr>
                <w:rFonts w:ascii="Times" w:hAnsi="Times" w:cs="Calibri"/>
                <w:b/>
                <w:bCs/>
                <w:color w:val="000000"/>
                <w:sz w:val="22"/>
                <w:szCs w:val="22"/>
              </w:rPr>
              <w:t>Health Services Utilization, mean ± SD</w:t>
            </w:r>
          </w:p>
        </w:tc>
      </w:tr>
      <w:tr w:rsidR="00382D46" w:rsidRPr="00382D46" w14:paraId="412EDC4B" w14:textId="77777777" w:rsidTr="00C842DF">
        <w:trPr>
          <w:trHeight w:val="273"/>
        </w:trPr>
        <w:tc>
          <w:tcPr>
            <w:tcW w:w="4905" w:type="dxa"/>
            <w:tcBorders>
              <w:top w:val="single" w:sz="4" w:space="0" w:color="000000" w:themeColor="text1"/>
              <w:bottom w:val="single" w:sz="4" w:space="0" w:color="BFBFBF" w:themeColor="background1" w:themeShade="BF"/>
              <w:right w:val="nil"/>
            </w:tcBorders>
            <w:vAlign w:val="bottom"/>
          </w:tcPr>
          <w:p w14:paraId="334A274A"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Number of ED Visits</w:t>
            </w:r>
          </w:p>
        </w:tc>
        <w:tc>
          <w:tcPr>
            <w:tcW w:w="1907" w:type="dxa"/>
            <w:tcBorders>
              <w:top w:val="single" w:sz="4" w:space="0" w:color="000000" w:themeColor="text1"/>
              <w:left w:val="nil"/>
              <w:bottom w:val="single" w:sz="4" w:space="0" w:color="BFBFBF" w:themeColor="background1" w:themeShade="BF"/>
              <w:right w:val="nil"/>
            </w:tcBorders>
            <w:vAlign w:val="bottom"/>
          </w:tcPr>
          <w:p w14:paraId="3ED1FEE0" w14:textId="1F28AC09"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1.7 ± 4.2</w:t>
            </w:r>
          </w:p>
        </w:tc>
        <w:tc>
          <w:tcPr>
            <w:tcW w:w="1909" w:type="dxa"/>
            <w:tcBorders>
              <w:top w:val="single" w:sz="4" w:space="0" w:color="000000" w:themeColor="text1"/>
              <w:left w:val="nil"/>
              <w:bottom w:val="single" w:sz="4" w:space="0" w:color="BFBFBF" w:themeColor="background1" w:themeShade="BF"/>
              <w:right w:val="nil"/>
            </w:tcBorders>
            <w:vAlign w:val="bottom"/>
          </w:tcPr>
          <w:p w14:paraId="192BABAC" w14:textId="6A0339D0"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0.7 ± 1.3</w:t>
            </w:r>
            <w:r>
              <w:rPr>
                <w:rFonts w:ascii="Times" w:hAnsi="Times" w:cs="Calibri"/>
                <w:color w:val="000000"/>
                <w:sz w:val="22"/>
                <w:szCs w:val="22"/>
              </w:rPr>
              <w:t xml:space="preserve"> </w:t>
            </w:r>
            <w:r w:rsidRPr="00382D46">
              <w:rPr>
                <w:rFonts w:ascii="Times" w:hAnsi="Times" w:cs="Calibri"/>
                <w:color w:val="000000"/>
                <w:sz w:val="22"/>
                <w:szCs w:val="22"/>
                <w:vertAlign w:val="superscript"/>
              </w:rPr>
              <w:t>1</w:t>
            </w:r>
          </w:p>
        </w:tc>
        <w:tc>
          <w:tcPr>
            <w:tcW w:w="410" w:type="dxa"/>
            <w:tcBorders>
              <w:top w:val="single" w:sz="4" w:space="0" w:color="000000" w:themeColor="text1"/>
              <w:left w:val="nil"/>
              <w:bottom w:val="single" w:sz="4" w:space="0" w:color="BFBFBF" w:themeColor="background1" w:themeShade="BF"/>
              <w:right w:val="nil"/>
            </w:tcBorders>
            <w:vAlign w:val="center"/>
          </w:tcPr>
          <w:p w14:paraId="3B65A639" w14:textId="77777777" w:rsidR="00382D46" w:rsidRPr="00382D46" w:rsidRDefault="00382D46" w:rsidP="00382D46">
            <w:pPr>
              <w:jc w:val="center"/>
              <w:rPr>
                <w:rFonts w:ascii="Times" w:hAnsi="Times"/>
                <w:sz w:val="22"/>
                <w:szCs w:val="22"/>
              </w:rPr>
            </w:pPr>
          </w:p>
        </w:tc>
        <w:tc>
          <w:tcPr>
            <w:tcW w:w="1910" w:type="dxa"/>
            <w:gridSpan w:val="3"/>
            <w:tcBorders>
              <w:top w:val="single" w:sz="4" w:space="0" w:color="000000" w:themeColor="text1"/>
              <w:left w:val="nil"/>
              <w:bottom w:val="single" w:sz="4" w:space="0" w:color="BFBFBF" w:themeColor="background1" w:themeShade="BF"/>
              <w:right w:val="nil"/>
            </w:tcBorders>
            <w:vAlign w:val="bottom"/>
          </w:tcPr>
          <w:p w14:paraId="45A6B026" w14:textId="7F49A84B"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1.4 ± 2.9</w:t>
            </w:r>
          </w:p>
        </w:tc>
        <w:tc>
          <w:tcPr>
            <w:tcW w:w="1913" w:type="dxa"/>
            <w:gridSpan w:val="2"/>
            <w:tcBorders>
              <w:top w:val="single" w:sz="4" w:space="0" w:color="000000" w:themeColor="text1"/>
              <w:left w:val="nil"/>
              <w:bottom w:val="single" w:sz="4" w:space="0" w:color="BFBFBF" w:themeColor="background1" w:themeShade="BF"/>
            </w:tcBorders>
            <w:vAlign w:val="bottom"/>
          </w:tcPr>
          <w:p w14:paraId="26C07AAC" w14:textId="35CE7ED7"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1.2 ± 2.2</w:t>
            </w:r>
          </w:p>
        </w:tc>
      </w:tr>
      <w:tr w:rsidR="00382D46" w:rsidRPr="00382D46" w14:paraId="76A9B439" w14:textId="77777777" w:rsidTr="00C842DF">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3DC611D9"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Number of Physician Office Visits (any reason)</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72A77B2F" w14:textId="2952E7BD"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7.9 ± 8.4</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1E2DB39C" w14:textId="11EC8175" w:rsidR="00382D46" w:rsidRPr="00382D46" w:rsidRDefault="00382D46" w:rsidP="00382D46">
            <w:pPr>
              <w:jc w:val="center"/>
              <w:rPr>
                <w:rFonts w:ascii="Times" w:hAnsi="Times"/>
                <w:sz w:val="22"/>
                <w:szCs w:val="22"/>
              </w:rPr>
            </w:pPr>
            <w:r w:rsidRPr="00382D46">
              <w:rPr>
                <w:rFonts w:ascii="Times" w:hAnsi="Times" w:cs="Calibri"/>
                <w:color w:val="000000"/>
                <w:sz w:val="22"/>
                <w:szCs w:val="22"/>
              </w:rPr>
              <w:t>7.2 ± 7.0</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5A503320"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51C62917" w14:textId="5B467E3D"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7.5 ± 7.9</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3A2348B9" w14:textId="6C95EBBF"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7.4 ± 8.0</w:t>
            </w:r>
          </w:p>
        </w:tc>
      </w:tr>
      <w:tr w:rsidR="00382D46" w:rsidRPr="00382D46" w14:paraId="0269044C" w14:textId="77777777" w:rsidTr="004245B4">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6773F8CC" w14:textId="7C0373B6" w:rsidR="00382D46" w:rsidRPr="00382D46" w:rsidRDefault="00382D46" w:rsidP="00382D46">
            <w:pPr>
              <w:rPr>
                <w:rFonts w:ascii="Times" w:hAnsi="Times"/>
                <w:sz w:val="22"/>
                <w:szCs w:val="22"/>
              </w:rPr>
            </w:pPr>
            <w:r w:rsidRPr="00382D46">
              <w:rPr>
                <w:rFonts w:ascii="Times" w:hAnsi="Times" w:cs="Calibri"/>
                <w:color w:val="000000"/>
                <w:sz w:val="22"/>
                <w:szCs w:val="22"/>
              </w:rPr>
              <w:t>Number of Physician Office Visits (mental health)</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671CA151" w14:textId="5DA7B4D2"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 xml:space="preserve">1.8 ± 4.8 </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5065A041" w14:textId="24519D10"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0.5 ± 2.4</w:t>
            </w:r>
            <w:r>
              <w:rPr>
                <w:rFonts w:ascii="Times" w:hAnsi="Times" w:cs="Calibri"/>
                <w:color w:val="000000"/>
                <w:sz w:val="22"/>
                <w:szCs w:val="22"/>
              </w:rPr>
              <w:t xml:space="preserve"> </w:t>
            </w:r>
            <w:r w:rsidRPr="00382D46">
              <w:rPr>
                <w:rFonts w:ascii="Times" w:hAnsi="Times" w:cs="Calibri"/>
                <w:color w:val="000000"/>
                <w:sz w:val="22"/>
                <w:szCs w:val="22"/>
                <w:vertAlign w:val="superscript"/>
              </w:rPr>
              <w:t>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65C1B2CE"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52F576D4" w14:textId="6C475638"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1.6 ± 4.2</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2DDC95BB" w14:textId="7348F455"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1.4 ± 4.2</w:t>
            </w:r>
          </w:p>
        </w:tc>
      </w:tr>
      <w:tr w:rsidR="00382D46" w:rsidRPr="00382D46" w14:paraId="3C6C679D" w14:textId="77777777" w:rsidTr="00C842DF">
        <w:trPr>
          <w:trHeight w:val="56"/>
        </w:trPr>
        <w:tc>
          <w:tcPr>
            <w:tcW w:w="4905" w:type="dxa"/>
            <w:tcBorders>
              <w:top w:val="single" w:sz="4" w:space="0" w:color="BFBFBF" w:themeColor="background1" w:themeShade="BF"/>
              <w:bottom w:val="single" w:sz="4" w:space="0" w:color="BFBFBF" w:themeColor="background1" w:themeShade="BF"/>
              <w:right w:val="nil"/>
            </w:tcBorders>
            <w:vAlign w:val="bottom"/>
          </w:tcPr>
          <w:p w14:paraId="11D69787" w14:textId="0EB89C8A" w:rsidR="00382D46" w:rsidRPr="00382D46" w:rsidRDefault="00382D46" w:rsidP="00382D46">
            <w:pPr>
              <w:rPr>
                <w:rFonts w:ascii="Times" w:hAnsi="Times"/>
                <w:sz w:val="22"/>
                <w:szCs w:val="22"/>
              </w:rPr>
            </w:pPr>
            <w:r w:rsidRPr="00382D46">
              <w:rPr>
                <w:rFonts w:ascii="Times" w:hAnsi="Times" w:cs="Calibri"/>
                <w:color w:val="000000"/>
                <w:sz w:val="22"/>
                <w:szCs w:val="22"/>
              </w:rPr>
              <w:t>Previous Hospitalization (N, %)</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707FC732" w14:textId="0EC42F7C"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2,467 (11.9)</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7109BFFF" w14:textId="1965BB4E"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304,221 (7.7)</w:t>
            </w:r>
            <w:r w:rsidRPr="00382D46">
              <w:rPr>
                <w:rFonts w:ascii="Times" w:hAnsi="Times" w:cs="Calibri"/>
                <w:color w:val="000000"/>
                <w:sz w:val="22"/>
                <w:szCs w:val="22"/>
                <w:vertAlign w:val="superscript"/>
              </w:rPr>
              <w:t xml:space="preserve"> 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1E179D23"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0AF4192A" w14:textId="2DB304B1"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2,015 (10.5)</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517624BE" w14:textId="54CC8129"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6,985 (9.7)</w:t>
            </w:r>
          </w:p>
        </w:tc>
      </w:tr>
      <w:tr w:rsidR="00382D46" w:rsidRPr="00382D46" w14:paraId="72F5FBA7" w14:textId="77777777" w:rsidTr="00C842DF">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25CFBCAA" w14:textId="2995022A" w:rsidR="00382D46" w:rsidRPr="00382D46" w:rsidRDefault="00382D46" w:rsidP="00382D46">
            <w:pPr>
              <w:rPr>
                <w:rFonts w:ascii="Times" w:hAnsi="Times"/>
                <w:sz w:val="22"/>
                <w:szCs w:val="22"/>
              </w:rPr>
            </w:pPr>
            <w:r w:rsidRPr="00382D46">
              <w:rPr>
                <w:rFonts w:ascii="Times" w:hAnsi="Times" w:cs="Calibri"/>
                <w:color w:val="000000"/>
                <w:sz w:val="22"/>
                <w:szCs w:val="22"/>
              </w:rPr>
              <w:t>Previous Mental Health Hospitalization (N, %)</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2D859C4D" w14:textId="22414BE4"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1,222 (5.9)</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79CA07F1" w14:textId="03A6D21C"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12,925 (0.3)</w:t>
            </w:r>
            <w:r w:rsidRPr="00382D46">
              <w:rPr>
                <w:rFonts w:ascii="Times" w:hAnsi="Times" w:cs="Calibri"/>
                <w:color w:val="000000"/>
                <w:sz w:val="22"/>
                <w:szCs w:val="22"/>
                <w:vertAlign w:val="superscript"/>
              </w:rPr>
              <w:t xml:space="preserve"> 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569F9DD0"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447618BE" w14:textId="10F37416"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934 (4.9)</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01A0053F" w14:textId="6EB15688" w:rsidR="00382D46" w:rsidRPr="00382D46" w:rsidRDefault="00382D46" w:rsidP="00382D46">
            <w:pPr>
              <w:jc w:val="center"/>
              <w:rPr>
                <w:rFonts w:ascii="Times" w:hAnsi="Times" w:cs="Calibri"/>
                <w:color w:val="000000"/>
                <w:sz w:val="22"/>
                <w:szCs w:val="22"/>
                <w:vertAlign w:val="superscript"/>
              </w:rPr>
            </w:pPr>
            <w:r w:rsidRPr="00382D46">
              <w:rPr>
                <w:rFonts w:ascii="Times" w:hAnsi="Times" w:cs="Calibri"/>
                <w:color w:val="000000"/>
                <w:sz w:val="22"/>
                <w:szCs w:val="22"/>
              </w:rPr>
              <w:t>1,656 (2.3)</w:t>
            </w:r>
            <w:r w:rsidRPr="00382D46">
              <w:rPr>
                <w:rFonts w:ascii="Times" w:hAnsi="Times" w:cs="Calibri"/>
                <w:color w:val="000000"/>
                <w:sz w:val="22"/>
                <w:szCs w:val="22"/>
                <w:vertAlign w:val="superscript"/>
              </w:rPr>
              <w:t xml:space="preserve"> 1</w:t>
            </w:r>
          </w:p>
        </w:tc>
      </w:tr>
      <w:tr w:rsidR="002D4386" w:rsidRPr="00382D46" w14:paraId="3F95A640" w14:textId="77777777" w:rsidTr="009B2F45">
        <w:trPr>
          <w:gridAfter w:val="3"/>
          <w:wAfter w:w="1996" w:type="dxa"/>
          <w:trHeight w:val="273"/>
        </w:trPr>
        <w:tc>
          <w:tcPr>
            <w:tcW w:w="10958" w:type="dxa"/>
            <w:gridSpan w:val="6"/>
            <w:tcBorders>
              <w:top w:val="single" w:sz="4" w:space="0" w:color="BFBFBF" w:themeColor="background1" w:themeShade="BF"/>
              <w:bottom w:val="single" w:sz="4" w:space="0" w:color="000000" w:themeColor="text1"/>
            </w:tcBorders>
          </w:tcPr>
          <w:p w14:paraId="61C43798" w14:textId="77777777" w:rsidR="002D4386" w:rsidRPr="00382D46" w:rsidRDefault="002D4386" w:rsidP="00656914">
            <w:pPr>
              <w:rPr>
                <w:rFonts w:ascii="Times" w:hAnsi="Times" w:cs="Calibri"/>
                <w:b/>
                <w:bCs/>
                <w:color w:val="000000"/>
                <w:sz w:val="22"/>
                <w:szCs w:val="22"/>
              </w:rPr>
            </w:pPr>
            <w:r w:rsidRPr="00382D46">
              <w:rPr>
                <w:rFonts w:ascii="Times" w:hAnsi="Times" w:cs="Calibri"/>
                <w:b/>
                <w:bCs/>
                <w:color w:val="000000"/>
                <w:sz w:val="22"/>
                <w:szCs w:val="22"/>
              </w:rPr>
              <w:t>Comorbidities and Medication Use, No. (%)</w:t>
            </w:r>
          </w:p>
        </w:tc>
      </w:tr>
      <w:tr w:rsidR="00382D46" w:rsidRPr="00382D46" w14:paraId="11D3508D" w14:textId="77777777" w:rsidTr="00C97FA0">
        <w:trPr>
          <w:trHeight w:val="273"/>
        </w:trPr>
        <w:tc>
          <w:tcPr>
            <w:tcW w:w="4905" w:type="dxa"/>
            <w:tcBorders>
              <w:top w:val="single" w:sz="4" w:space="0" w:color="000000" w:themeColor="text1"/>
              <w:bottom w:val="single" w:sz="4" w:space="0" w:color="BFBFBF" w:themeColor="background1" w:themeShade="BF"/>
              <w:right w:val="nil"/>
            </w:tcBorders>
            <w:vAlign w:val="bottom"/>
          </w:tcPr>
          <w:p w14:paraId="6B17AB88"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ADG, mean ± SD</w:t>
            </w:r>
          </w:p>
        </w:tc>
        <w:tc>
          <w:tcPr>
            <w:tcW w:w="1907" w:type="dxa"/>
            <w:tcBorders>
              <w:top w:val="single" w:sz="4" w:space="0" w:color="000000" w:themeColor="text1"/>
              <w:left w:val="nil"/>
              <w:bottom w:val="single" w:sz="4" w:space="0" w:color="BFBFBF" w:themeColor="background1" w:themeShade="BF"/>
              <w:right w:val="nil"/>
            </w:tcBorders>
            <w:vAlign w:val="bottom"/>
          </w:tcPr>
          <w:p w14:paraId="061C68C9" w14:textId="2254F33A"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6.7 ± 3.9</w:t>
            </w:r>
          </w:p>
        </w:tc>
        <w:tc>
          <w:tcPr>
            <w:tcW w:w="1909" w:type="dxa"/>
            <w:tcBorders>
              <w:top w:val="single" w:sz="4" w:space="0" w:color="000000" w:themeColor="text1"/>
              <w:left w:val="nil"/>
              <w:bottom w:val="single" w:sz="4" w:space="0" w:color="BFBFBF" w:themeColor="background1" w:themeShade="BF"/>
              <w:right w:val="nil"/>
            </w:tcBorders>
            <w:vAlign w:val="bottom"/>
          </w:tcPr>
          <w:p w14:paraId="0AEC9B8C" w14:textId="1A684E0C"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6.0 ± 3.4</w:t>
            </w:r>
            <w:r w:rsidRPr="00382D46">
              <w:rPr>
                <w:rFonts w:ascii="Times" w:hAnsi="Times" w:cs="Calibri"/>
                <w:color w:val="000000"/>
                <w:sz w:val="22"/>
                <w:szCs w:val="22"/>
                <w:vertAlign w:val="superscript"/>
              </w:rPr>
              <w:t>1</w:t>
            </w:r>
          </w:p>
        </w:tc>
        <w:tc>
          <w:tcPr>
            <w:tcW w:w="410" w:type="dxa"/>
            <w:tcBorders>
              <w:top w:val="single" w:sz="4" w:space="0" w:color="000000" w:themeColor="text1"/>
              <w:left w:val="nil"/>
              <w:bottom w:val="single" w:sz="4" w:space="0" w:color="BFBFBF" w:themeColor="background1" w:themeShade="BF"/>
              <w:right w:val="nil"/>
            </w:tcBorders>
            <w:vAlign w:val="center"/>
          </w:tcPr>
          <w:p w14:paraId="32180A00" w14:textId="77777777" w:rsidR="00382D46" w:rsidRPr="00382D46" w:rsidRDefault="00382D46" w:rsidP="00382D46">
            <w:pPr>
              <w:jc w:val="center"/>
              <w:rPr>
                <w:rFonts w:ascii="Times" w:hAnsi="Times"/>
                <w:sz w:val="22"/>
                <w:szCs w:val="22"/>
              </w:rPr>
            </w:pPr>
          </w:p>
        </w:tc>
        <w:tc>
          <w:tcPr>
            <w:tcW w:w="1910" w:type="dxa"/>
            <w:gridSpan w:val="3"/>
            <w:tcBorders>
              <w:top w:val="single" w:sz="4" w:space="0" w:color="000000" w:themeColor="text1"/>
              <w:left w:val="nil"/>
              <w:bottom w:val="single" w:sz="4" w:space="0" w:color="BFBFBF" w:themeColor="background1" w:themeShade="BF"/>
              <w:right w:val="nil"/>
            </w:tcBorders>
            <w:vAlign w:val="bottom"/>
          </w:tcPr>
          <w:p w14:paraId="5F44680E" w14:textId="5E331B16"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6.4 ± 3.8</w:t>
            </w:r>
          </w:p>
        </w:tc>
        <w:tc>
          <w:tcPr>
            <w:tcW w:w="1913" w:type="dxa"/>
            <w:gridSpan w:val="2"/>
            <w:tcBorders>
              <w:top w:val="single" w:sz="4" w:space="0" w:color="000000" w:themeColor="text1"/>
              <w:left w:val="nil"/>
              <w:bottom w:val="single" w:sz="4" w:space="0" w:color="BFBFBF" w:themeColor="background1" w:themeShade="BF"/>
            </w:tcBorders>
            <w:vAlign w:val="bottom"/>
          </w:tcPr>
          <w:p w14:paraId="5E58DAEB" w14:textId="2B8341F5"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6.3 ± 3.6</w:t>
            </w:r>
          </w:p>
        </w:tc>
      </w:tr>
      <w:tr w:rsidR="00382D46" w:rsidRPr="00382D46" w14:paraId="5716424C" w14:textId="77777777" w:rsidTr="00C97FA0">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72C5E944"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Alcohol and Substance Use Disorder</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2D92D0D0" w14:textId="08A06392"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712 (3.4)</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74617FD2" w14:textId="22F82C49"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51,256 (1.3)</w:t>
            </w:r>
            <w:r w:rsidRPr="00382D46">
              <w:rPr>
                <w:rFonts w:ascii="Times" w:hAnsi="Times" w:cs="Calibri"/>
                <w:color w:val="000000"/>
                <w:sz w:val="22"/>
                <w:szCs w:val="22"/>
                <w:vertAlign w:val="superscript"/>
              </w:rPr>
              <w:t xml:space="preserve"> 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5B718756"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2D61C563" w14:textId="661B3A57"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602 (3.8)</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1ADE23F6" w14:textId="57FF35DA"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2,592 (3.6)</w:t>
            </w:r>
          </w:p>
        </w:tc>
      </w:tr>
      <w:tr w:rsidR="00382D46" w:rsidRPr="00382D46" w14:paraId="3067BDD1" w14:textId="77777777" w:rsidTr="00C97FA0">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0BFA44B7"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Cancer</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1B2AD190" w14:textId="7823765B"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1,028 (5.0)</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54B633D0" w14:textId="718A5480"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353,406 (9.0)</w:t>
            </w:r>
            <w:r w:rsidRPr="00382D46">
              <w:rPr>
                <w:rFonts w:ascii="Times" w:hAnsi="Times" w:cs="Calibri"/>
                <w:color w:val="000000"/>
                <w:sz w:val="22"/>
                <w:szCs w:val="22"/>
                <w:vertAlign w:val="superscript"/>
              </w:rPr>
              <w:t xml:space="preserve"> 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6CEE9CBC"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18FFC0E6" w14:textId="47EE436B"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955 (5.0)</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269800E9" w14:textId="1AF5A13A"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3,672 (5.1)</w:t>
            </w:r>
          </w:p>
        </w:tc>
      </w:tr>
      <w:tr w:rsidR="00382D46" w:rsidRPr="00382D46" w14:paraId="362F4534" w14:textId="77777777" w:rsidTr="00C97FA0">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16E9C63B"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COPD</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21668DF7" w14:textId="2DF918F7"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1,649 (8.0)</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76610FF9" w14:textId="47491704" w:rsidR="00382D46" w:rsidRPr="00382D46" w:rsidRDefault="00382D46" w:rsidP="00382D46">
            <w:pPr>
              <w:jc w:val="center"/>
              <w:rPr>
                <w:rFonts w:ascii="Times" w:hAnsi="Times"/>
                <w:sz w:val="22"/>
                <w:szCs w:val="22"/>
              </w:rPr>
            </w:pPr>
            <w:r w:rsidRPr="00382D46">
              <w:rPr>
                <w:rFonts w:ascii="Times" w:hAnsi="Times" w:cs="Calibri"/>
                <w:color w:val="000000"/>
                <w:sz w:val="22"/>
                <w:szCs w:val="22"/>
              </w:rPr>
              <w:t>384,844 (9.8)</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04AEBC18"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3E72A947" w14:textId="403E0C1E"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1,468 (7.7)</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4FD4EA59" w14:textId="37E2BF48"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4,536 (6.3)</w:t>
            </w:r>
          </w:p>
        </w:tc>
      </w:tr>
      <w:tr w:rsidR="00382D46" w:rsidRPr="00382D46" w14:paraId="6CB77BC7" w14:textId="77777777" w:rsidTr="00C97FA0">
        <w:trPr>
          <w:trHeight w:val="285"/>
        </w:trPr>
        <w:tc>
          <w:tcPr>
            <w:tcW w:w="4905" w:type="dxa"/>
            <w:tcBorders>
              <w:top w:val="single" w:sz="4" w:space="0" w:color="BFBFBF" w:themeColor="background1" w:themeShade="BF"/>
              <w:bottom w:val="single" w:sz="4" w:space="0" w:color="BFBFBF" w:themeColor="background1" w:themeShade="BF"/>
              <w:right w:val="nil"/>
            </w:tcBorders>
            <w:vAlign w:val="bottom"/>
          </w:tcPr>
          <w:p w14:paraId="4E7EB2CF"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Diabetes</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6D9E7DA6" w14:textId="0739B01A"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2,628 (12.7)</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744729F6" w14:textId="783F4BB5" w:rsidR="00382D46" w:rsidRPr="00382D46" w:rsidRDefault="00382D46" w:rsidP="00382D46">
            <w:pPr>
              <w:jc w:val="center"/>
              <w:rPr>
                <w:rFonts w:ascii="Times" w:hAnsi="Times"/>
                <w:sz w:val="22"/>
                <w:szCs w:val="22"/>
              </w:rPr>
            </w:pPr>
            <w:r w:rsidRPr="00382D46">
              <w:rPr>
                <w:rFonts w:ascii="Times" w:hAnsi="Times" w:cs="Calibri"/>
                <w:color w:val="000000"/>
                <w:sz w:val="22"/>
                <w:szCs w:val="22"/>
              </w:rPr>
              <w:t>559,363 (14.2)</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6921A87E"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4B49D9CA" w14:textId="3AF8597C"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2,395 (12.5)</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6B35096D" w14:textId="2ED15F6E" w:rsidR="00382D46" w:rsidRPr="00382D46" w:rsidRDefault="00382D46" w:rsidP="00382D46">
            <w:pPr>
              <w:jc w:val="center"/>
              <w:rPr>
                <w:rFonts w:ascii="Times" w:hAnsi="Times" w:cs="Calibri"/>
                <w:color w:val="000000"/>
                <w:sz w:val="22"/>
                <w:szCs w:val="22"/>
                <w:vertAlign w:val="superscript"/>
              </w:rPr>
            </w:pPr>
            <w:r w:rsidRPr="00382D46">
              <w:rPr>
                <w:rFonts w:ascii="Times" w:hAnsi="Times" w:cs="Calibri"/>
                <w:color w:val="000000"/>
                <w:sz w:val="22"/>
                <w:szCs w:val="22"/>
              </w:rPr>
              <w:t>7,129 (9.9)</w:t>
            </w:r>
          </w:p>
        </w:tc>
      </w:tr>
      <w:tr w:rsidR="00382D46" w:rsidRPr="00382D46" w14:paraId="096C3FDD" w14:textId="77777777" w:rsidTr="00C97FA0">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561471C2"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Hypertension</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695D120A" w14:textId="05981861"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3,828 (18.5)</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3289FF6C" w14:textId="1559FF2E"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1,255,805 (31.9)</w:t>
            </w:r>
            <w:r w:rsidRPr="00382D46">
              <w:rPr>
                <w:rFonts w:ascii="Times" w:hAnsi="Times" w:cs="Calibri"/>
                <w:color w:val="000000"/>
                <w:sz w:val="22"/>
                <w:szCs w:val="22"/>
                <w:vertAlign w:val="superscript"/>
              </w:rPr>
              <w:t xml:space="preserve"> 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73189A63"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11E7C519" w14:textId="03AD9C88"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3,527 (18.4)</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038110C0" w14:textId="5216B63D"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12,529 (17.4)</w:t>
            </w:r>
          </w:p>
        </w:tc>
      </w:tr>
      <w:tr w:rsidR="00382D46" w:rsidRPr="00382D46" w14:paraId="4AC3A5C7" w14:textId="77777777" w:rsidTr="00C97FA0">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18DAB7E9"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Rheumatoid Arthritis</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19CE2915" w14:textId="52A82FD6"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146 (0.7)</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150AD064" w14:textId="4A15E945" w:rsidR="00382D46" w:rsidRPr="00382D46" w:rsidRDefault="00382D46" w:rsidP="00382D46">
            <w:pPr>
              <w:jc w:val="center"/>
              <w:rPr>
                <w:rFonts w:ascii="Times" w:hAnsi="Times"/>
                <w:sz w:val="22"/>
                <w:szCs w:val="22"/>
              </w:rPr>
            </w:pPr>
            <w:r w:rsidRPr="00382D46">
              <w:rPr>
                <w:rFonts w:ascii="Times" w:hAnsi="Times" w:cs="Calibri"/>
                <w:color w:val="000000"/>
                <w:sz w:val="22"/>
                <w:szCs w:val="22"/>
              </w:rPr>
              <w:t>53,192 (1.4)</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5AE943EC"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41DFAC65" w14:textId="3A01E5E0"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132 (0.7)</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3CE57B9A" w14:textId="2CA96CE9"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576 (0.8)</w:t>
            </w:r>
          </w:p>
        </w:tc>
      </w:tr>
      <w:tr w:rsidR="00382D46" w:rsidRPr="00382D46" w14:paraId="1E371FAB" w14:textId="77777777" w:rsidTr="00C97FA0">
        <w:trPr>
          <w:trHeight w:val="273"/>
        </w:trPr>
        <w:tc>
          <w:tcPr>
            <w:tcW w:w="4905" w:type="dxa"/>
            <w:tcBorders>
              <w:top w:val="single" w:sz="4" w:space="0" w:color="BFBFBF" w:themeColor="background1" w:themeShade="BF"/>
              <w:bottom w:val="single" w:sz="4" w:space="0" w:color="BFBFBF" w:themeColor="background1" w:themeShade="BF"/>
              <w:right w:val="nil"/>
            </w:tcBorders>
            <w:vAlign w:val="bottom"/>
          </w:tcPr>
          <w:p w14:paraId="4EBB8D2C" w14:textId="77777777" w:rsidR="00382D46" w:rsidRPr="00382D46" w:rsidRDefault="00382D46" w:rsidP="00382D46">
            <w:pPr>
              <w:rPr>
                <w:rFonts w:ascii="Times" w:hAnsi="Times"/>
                <w:sz w:val="22"/>
                <w:szCs w:val="22"/>
              </w:rPr>
            </w:pPr>
            <w:r w:rsidRPr="00382D46">
              <w:rPr>
                <w:rFonts w:ascii="Times" w:hAnsi="Times" w:cs="Calibri"/>
                <w:color w:val="000000"/>
                <w:sz w:val="22"/>
                <w:szCs w:val="22"/>
              </w:rPr>
              <w:t xml:space="preserve">Benzodiazepine Use (6 months prior to index) </w:t>
            </w:r>
          </w:p>
        </w:tc>
        <w:tc>
          <w:tcPr>
            <w:tcW w:w="1907" w:type="dxa"/>
            <w:tcBorders>
              <w:top w:val="single" w:sz="4" w:space="0" w:color="BFBFBF" w:themeColor="background1" w:themeShade="BF"/>
              <w:left w:val="nil"/>
              <w:bottom w:val="single" w:sz="4" w:space="0" w:color="BFBFBF" w:themeColor="background1" w:themeShade="BF"/>
              <w:right w:val="nil"/>
            </w:tcBorders>
            <w:vAlign w:val="bottom"/>
          </w:tcPr>
          <w:p w14:paraId="0C23AE93" w14:textId="14B842A7"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4,377 (21.2)</w:t>
            </w:r>
          </w:p>
        </w:tc>
        <w:tc>
          <w:tcPr>
            <w:tcW w:w="1909" w:type="dxa"/>
            <w:tcBorders>
              <w:top w:val="single" w:sz="4" w:space="0" w:color="BFBFBF" w:themeColor="background1" w:themeShade="BF"/>
              <w:left w:val="nil"/>
              <w:bottom w:val="single" w:sz="4" w:space="0" w:color="BFBFBF" w:themeColor="background1" w:themeShade="BF"/>
              <w:right w:val="nil"/>
            </w:tcBorders>
            <w:vAlign w:val="bottom"/>
          </w:tcPr>
          <w:p w14:paraId="4FECEBDB" w14:textId="1D7DD8F8" w:rsidR="00382D46" w:rsidRPr="00382D46" w:rsidRDefault="00382D46" w:rsidP="00382D46">
            <w:pPr>
              <w:jc w:val="center"/>
              <w:rPr>
                <w:rFonts w:ascii="Times" w:hAnsi="Times"/>
                <w:sz w:val="22"/>
                <w:szCs w:val="22"/>
                <w:vertAlign w:val="superscript"/>
              </w:rPr>
            </w:pPr>
            <w:r w:rsidRPr="00382D46">
              <w:rPr>
                <w:rFonts w:ascii="Times" w:hAnsi="Times" w:cs="Calibri"/>
                <w:color w:val="000000"/>
                <w:sz w:val="22"/>
                <w:szCs w:val="22"/>
              </w:rPr>
              <w:t>299,370 (7.6)</w:t>
            </w:r>
            <w:r w:rsidRPr="00382D46">
              <w:rPr>
                <w:rFonts w:ascii="Times" w:hAnsi="Times" w:cs="Calibri"/>
                <w:color w:val="000000"/>
                <w:sz w:val="22"/>
                <w:szCs w:val="22"/>
                <w:vertAlign w:val="superscript"/>
              </w:rPr>
              <w:t xml:space="preserve"> 1</w:t>
            </w:r>
          </w:p>
        </w:tc>
        <w:tc>
          <w:tcPr>
            <w:tcW w:w="410" w:type="dxa"/>
            <w:tcBorders>
              <w:top w:val="single" w:sz="4" w:space="0" w:color="BFBFBF" w:themeColor="background1" w:themeShade="BF"/>
              <w:left w:val="nil"/>
              <w:bottom w:val="single" w:sz="4" w:space="0" w:color="BFBFBF" w:themeColor="background1" w:themeShade="BF"/>
              <w:right w:val="nil"/>
            </w:tcBorders>
            <w:vAlign w:val="center"/>
          </w:tcPr>
          <w:p w14:paraId="4F212213" w14:textId="77777777" w:rsidR="00382D46" w:rsidRPr="00382D46" w:rsidRDefault="00382D46" w:rsidP="00382D46">
            <w:pPr>
              <w:jc w:val="center"/>
              <w:rPr>
                <w:rFonts w:ascii="Times" w:hAnsi="Times"/>
                <w:sz w:val="22"/>
                <w:szCs w:val="22"/>
              </w:rPr>
            </w:pPr>
          </w:p>
        </w:tc>
        <w:tc>
          <w:tcPr>
            <w:tcW w:w="1910" w:type="dxa"/>
            <w:gridSpan w:val="3"/>
            <w:tcBorders>
              <w:top w:val="single" w:sz="4" w:space="0" w:color="BFBFBF" w:themeColor="background1" w:themeShade="BF"/>
              <w:left w:val="nil"/>
              <w:bottom w:val="single" w:sz="4" w:space="0" w:color="BFBFBF" w:themeColor="background1" w:themeShade="BF"/>
              <w:right w:val="nil"/>
            </w:tcBorders>
            <w:vAlign w:val="bottom"/>
          </w:tcPr>
          <w:p w14:paraId="452513DC" w14:textId="4AD7F7CA"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3,433 (17.9)</w:t>
            </w:r>
          </w:p>
        </w:tc>
        <w:tc>
          <w:tcPr>
            <w:tcW w:w="1913" w:type="dxa"/>
            <w:gridSpan w:val="2"/>
            <w:tcBorders>
              <w:top w:val="single" w:sz="4" w:space="0" w:color="BFBFBF" w:themeColor="background1" w:themeShade="BF"/>
              <w:left w:val="nil"/>
              <w:bottom w:val="single" w:sz="4" w:space="0" w:color="BFBFBF" w:themeColor="background1" w:themeShade="BF"/>
            </w:tcBorders>
            <w:vAlign w:val="bottom"/>
          </w:tcPr>
          <w:p w14:paraId="3A77BA69" w14:textId="5F4282FF"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11,377 (15.8)</w:t>
            </w:r>
          </w:p>
        </w:tc>
      </w:tr>
      <w:tr w:rsidR="00382D46" w:rsidRPr="00382D46" w14:paraId="28013E9D" w14:textId="77777777" w:rsidTr="00C97FA0">
        <w:trPr>
          <w:trHeight w:val="273"/>
        </w:trPr>
        <w:tc>
          <w:tcPr>
            <w:tcW w:w="4905" w:type="dxa"/>
            <w:tcBorders>
              <w:top w:val="single" w:sz="4" w:space="0" w:color="BFBFBF" w:themeColor="background1" w:themeShade="BF"/>
              <w:bottom w:val="single" w:sz="12" w:space="0" w:color="000000" w:themeColor="text1"/>
              <w:right w:val="nil"/>
            </w:tcBorders>
            <w:vAlign w:val="bottom"/>
          </w:tcPr>
          <w:p w14:paraId="43C6AE93" w14:textId="77777777" w:rsidR="00382D46" w:rsidRPr="00382D46" w:rsidRDefault="00382D46" w:rsidP="00382D46">
            <w:pPr>
              <w:rPr>
                <w:rFonts w:ascii="Times" w:hAnsi="Times" w:cs="Calibri"/>
                <w:color w:val="000000"/>
                <w:sz w:val="22"/>
                <w:szCs w:val="22"/>
              </w:rPr>
            </w:pPr>
            <w:r w:rsidRPr="00382D46">
              <w:rPr>
                <w:rFonts w:ascii="Times" w:hAnsi="Times" w:cs="Calibri"/>
                <w:color w:val="000000"/>
                <w:sz w:val="22"/>
                <w:szCs w:val="22"/>
              </w:rPr>
              <w:t>Stimulant Use (6 months prior to index)</w:t>
            </w:r>
          </w:p>
        </w:tc>
        <w:tc>
          <w:tcPr>
            <w:tcW w:w="1907" w:type="dxa"/>
            <w:tcBorders>
              <w:top w:val="single" w:sz="4" w:space="0" w:color="BFBFBF" w:themeColor="background1" w:themeShade="BF"/>
              <w:left w:val="nil"/>
              <w:bottom w:val="single" w:sz="12" w:space="0" w:color="000000" w:themeColor="text1"/>
              <w:right w:val="nil"/>
            </w:tcBorders>
            <w:vAlign w:val="bottom"/>
          </w:tcPr>
          <w:p w14:paraId="382413DF" w14:textId="1C9C44F8"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1,161 (5.6)</w:t>
            </w:r>
          </w:p>
        </w:tc>
        <w:tc>
          <w:tcPr>
            <w:tcW w:w="1909" w:type="dxa"/>
            <w:tcBorders>
              <w:top w:val="single" w:sz="4" w:space="0" w:color="BFBFBF" w:themeColor="background1" w:themeShade="BF"/>
              <w:left w:val="nil"/>
              <w:bottom w:val="single" w:sz="12" w:space="0" w:color="000000" w:themeColor="text1"/>
              <w:right w:val="nil"/>
            </w:tcBorders>
            <w:vAlign w:val="bottom"/>
          </w:tcPr>
          <w:p w14:paraId="5B1B1D03" w14:textId="7837AE90" w:rsidR="00382D46" w:rsidRPr="00382D46" w:rsidRDefault="00382D46" w:rsidP="00382D46">
            <w:pPr>
              <w:jc w:val="center"/>
              <w:rPr>
                <w:rFonts w:ascii="Times" w:hAnsi="Times" w:cs="Calibri"/>
                <w:color w:val="000000"/>
                <w:sz w:val="22"/>
                <w:szCs w:val="22"/>
                <w:vertAlign w:val="superscript"/>
              </w:rPr>
            </w:pPr>
            <w:r w:rsidRPr="00382D46">
              <w:rPr>
                <w:rFonts w:ascii="Times" w:hAnsi="Times" w:cs="Calibri"/>
                <w:color w:val="000000"/>
                <w:sz w:val="22"/>
                <w:szCs w:val="22"/>
              </w:rPr>
              <w:t>28,130 (0.7)</w:t>
            </w:r>
            <w:r w:rsidRPr="00382D46">
              <w:rPr>
                <w:rFonts w:ascii="Times" w:hAnsi="Times" w:cs="Calibri"/>
                <w:color w:val="000000"/>
                <w:sz w:val="22"/>
                <w:szCs w:val="22"/>
                <w:vertAlign w:val="superscript"/>
              </w:rPr>
              <w:t xml:space="preserve"> 1</w:t>
            </w:r>
          </w:p>
        </w:tc>
        <w:tc>
          <w:tcPr>
            <w:tcW w:w="410" w:type="dxa"/>
            <w:tcBorders>
              <w:top w:val="single" w:sz="4" w:space="0" w:color="BFBFBF" w:themeColor="background1" w:themeShade="BF"/>
              <w:left w:val="nil"/>
              <w:bottom w:val="single" w:sz="12" w:space="0" w:color="000000" w:themeColor="text1"/>
              <w:right w:val="nil"/>
            </w:tcBorders>
            <w:vAlign w:val="center"/>
          </w:tcPr>
          <w:p w14:paraId="3A34F579" w14:textId="77777777" w:rsidR="00382D46" w:rsidRPr="00382D46" w:rsidRDefault="00382D46" w:rsidP="00382D46">
            <w:pPr>
              <w:jc w:val="center"/>
              <w:rPr>
                <w:rFonts w:ascii="Times" w:hAnsi="Times" w:cs="Calibri"/>
                <w:color w:val="000000"/>
                <w:sz w:val="22"/>
                <w:szCs w:val="22"/>
              </w:rPr>
            </w:pPr>
          </w:p>
        </w:tc>
        <w:tc>
          <w:tcPr>
            <w:tcW w:w="1910" w:type="dxa"/>
            <w:gridSpan w:val="3"/>
            <w:tcBorders>
              <w:top w:val="single" w:sz="4" w:space="0" w:color="BFBFBF" w:themeColor="background1" w:themeShade="BF"/>
              <w:left w:val="nil"/>
              <w:bottom w:val="single" w:sz="12" w:space="0" w:color="000000" w:themeColor="text1"/>
              <w:right w:val="nil"/>
            </w:tcBorders>
            <w:vAlign w:val="bottom"/>
          </w:tcPr>
          <w:p w14:paraId="1CBA06B0" w14:textId="7751988E"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999 (5.2)</w:t>
            </w:r>
          </w:p>
        </w:tc>
        <w:tc>
          <w:tcPr>
            <w:tcW w:w="1913" w:type="dxa"/>
            <w:gridSpan w:val="2"/>
            <w:tcBorders>
              <w:top w:val="single" w:sz="4" w:space="0" w:color="BFBFBF" w:themeColor="background1" w:themeShade="BF"/>
              <w:left w:val="nil"/>
              <w:bottom w:val="single" w:sz="12" w:space="0" w:color="000000" w:themeColor="text1"/>
            </w:tcBorders>
            <w:vAlign w:val="bottom"/>
          </w:tcPr>
          <w:p w14:paraId="279F5EB6" w14:textId="5EE1D79D" w:rsidR="00382D46" w:rsidRPr="00382D46" w:rsidRDefault="00382D46" w:rsidP="00382D46">
            <w:pPr>
              <w:jc w:val="center"/>
              <w:rPr>
                <w:rFonts w:ascii="Times" w:hAnsi="Times" w:cs="Calibri"/>
                <w:color w:val="000000"/>
                <w:sz w:val="22"/>
                <w:szCs w:val="22"/>
              </w:rPr>
            </w:pPr>
            <w:r w:rsidRPr="00382D46">
              <w:rPr>
                <w:rFonts w:ascii="Times" w:hAnsi="Times" w:cs="Calibri"/>
                <w:color w:val="000000"/>
                <w:sz w:val="22"/>
                <w:szCs w:val="22"/>
              </w:rPr>
              <w:t>3,168 (4.4)</w:t>
            </w:r>
          </w:p>
        </w:tc>
      </w:tr>
    </w:tbl>
    <w:p w14:paraId="2F389C65" w14:textId="77777777" w:rsidR="002D4386" w:rsidRDefault="002D4386" w:rsidP="002D4386">
      <w:pPr>
        <w:tabs>
          <w:tab w:val="left" w:pos="567"/>
        </w:tabs>
        <w:contextualSpacing/>
        <w:rPr>
          <w:rFonts w:ascii="Times" w:hAnsi="Times"/>
          <w:i/>
          <w:iCs/>
          <w:sz w:val="18"/>
          <w:szCs w:val="18"/>
        </w:rPr>
      </w:pPr>
      <w:r>
        <w:rPr>
          <w:rFonts w:ascii="Times" w:hAnsi="Times"/>
          <w:i/>
          <w:iCs/>
          <w:sz w:val="18"/>
          <w:szCs w:val="18"/>
          <w:vertAlign w:val="superscript"/>
        </w:rPr>
        <w:t>1</w:t>
      </w:r>
      <w:r w:rsidRPr="001C4F40">
        <w:rPr>
          <w:rFonts w:ascii="Times" w:hAnsi="Times"/>
          <w:i/>
          <w:iCs/>
          <w:sz w:val="18"/>
          <w:szCs w:val="18"/>
        </w:rPr>
        <w:t xml:space="preserve"> Meaningful difference based on standardized difference &gt;0.10 when compared to </w:t>
      </w:r>
      <w:r>
        <w:rPr>
          <w:rFonts w:ascii="Times" w:hAnsi="Times"/>
          <w:i/>
          <w:iCs/>
          <w:sz w:val="18"/>
          <w:szCs w:val="18"/>
        </w:rPr>
        <w:t>IDD</w:t>
      </w:r>
      <w:r w:rsidRPr="001C4F40">
        <w:rPr>
          <w:rFonts w:ascii="Times" w:hAnsi="Times"/>
          <w:i/>
          <w:iCs/>
          <w:sz w:val="18"/>
          <w:szCs w:val="18"/>
        </w:rPr>
        <w:t xml:space="preserve"> group</w:t>
      </w:r>
    </w:p>
    <w:p w14:paraId="6B454CC7" w14:textId="5FBD6B7D" w:rsidR="002D4386" w:rsidRPr="002D4386" w:rsidRDefault="002D4386" w:rsidP="002D4386">
      <w:pPr>
        <w:tabs>
          <w:tab w:val="left" w:pos="567"/>
        </w:tabs>
        <w:contextualSpacing/>
        <w:rPr>
          <w:rFonts w:ascii="Times" w:hAnsi="Times"/>
          <w:i/>
          <w:iCs/>
          <w:sz w:val="18"/>
          <w:szCs w:val="18"/>
        </w:rPr>
      </w:pPr>
      <w:r w:rsidRPr="001C4F40">
        <w:rPr>
          <w:rFonts w:ascii="Times" w:hAnsi="Times"/>
          <w:i/>
          <w:iCs/>
          <w:sz w:val="18"/>
          <w:szCs w:val="18"/>
        </w:rPr>
        <w:t>Abbreviations: ADG, Aggregated Diagnosis Group; COPD, chronic obstructive pulmonary disease;</w:t>
      </w:r>
      <w:r>
        <w:rPr>
          <w:rFonts w:ascii="Times" w:hAnsi="Times"/>
          <w:i/>
          <w:iCs/>
          <w:sz w:val="18"/>
          <w:szCs w:val="18"/>
        </w:rPr>
        <w:t xml:space="preserve"> ED, emergency department; IDD, intellectual and developmental disability; SD, standard deviation</w:t>
      </w:r>
    </w:p>
    <w:tbl>
      <w:tblPr>
        <w:tblStyle w:val="TableGrid"/>
        <w:tblW w:w="12867"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ayout w:type="fixed"/>
        <w:tblLook w:val="04A0" w:firstRow="1" w:lastRow="0" w:firstColumn="1" w:lastColumn="0" w:noHBand="0" w:noVBand="1"/>
      </w:tblPr>
      <w:tblGrid>
        <w:gridCol w:w="4820"/>
        <w:gridCol w:w="1843"/>
        <w:gridCol w:w="2000"/>
        <w:gridCol w:w="407"/>
        <w:gridCol w:w="1762"/>
        <w:gridCol w:w="52"/>
        <w:gridCol w:w="83"/>
        <w:gridCol w:w="1893"/>
        <w:gridCol w:w="7"/>
      </w:tblGrid>
      <w:tr w:rsidR="002D4386" w:rsidRPr="00633E6F" w14:paraId="2891061F" w14:textId="77777777" w:rsidTr="0061100A">
        <w:trPr>
          <w:trHeight w:val="286"/>
        </w:trPr>
        <w:tc>
          <w:tcPr>
            <w:tcW w:w="12867" w:type="dxa"/>
            <w:gridSpan w:val="9"/>
            <w:tcBorders>
              <w:top w:val="nil"/>
              <w:bottom w:val="nil"/>
            </w:tcBorders>
            <w:vAlign w:val="bottom"/>
          </w:tcPr>
          <w:p w14:paraId="2F59F176" w14:textId="154A519E" w:rsidR="002D4386" w:rsidRPr="00633E6F" w:rsidRDefault="002D4386" w:rsidP="002D4386">
            <w:pPr>
              <w:pStyle w:val="Heading1"/>
              <w:rPr>
                <w:rFonts w:ascii="Times" w:hAnsi="Times"/>
                <w:b/>
                <w:sz w:val="22"/>
                <w:szCs w:val="22"/>
              </w:rPr>
            </w:pPr>
            <w:bookmarkStart w:id="9" w:name="_Toc98675838"/>
            <w:r w:rsidRPr="00633E6F">
              <w:rPr>
                <w:rFonts w:ascii="Times" w:hAnsi="Times"/>
                <w:b/>
                <w:color w:val="000000" w:themeColor="text1"/>
                <w:sz w:val="22"/>
                <w:szCs w:val="22"/>
              </w:rPr>
              <w:lastRenderedPageBreak/>
              <w:t>e-Table 5.</w:t>
            </w:r>
            <w:r w:rsidRPr="00633E6F">
              <w:rPr>
                <w:rFonts w:ascii="Times" w:hAnsi="Times"/>
                <w:color w:val="000000" w:themeColor="text1"/>
                <w:sz w:val="22"/>
                <w:szCs w:val="22"/>
              </w:rPr>
              <w:t xml:space="preserve"> Medication characteristics on index date and during observation window (365 days after opioid therapy initiation), before and after high dimensional propensity score matching</w:t>
            </w:r>
            <w:bookmarkEnd w:id="9"/>
          </w:p>
        </w:tc>
      </w:tr>
      <w:tr w:rsidR="002D4386" w:rsidRPr="00633E6F" w14:paraId="5A8D9D08" w14:textId="77777777" w:rsidTr="00633E6F">
        <w:trPr>
          <w:gridAfter w:val="1"/>
          <w:wAfter w:w="7" w:type="dxa"/>
          <w:trHeight w:val="286"/>
        </w:trPr>
        <w:tc>
          <w:tcPr>
            <w:tcW w:w="4820" w:type="dxa"/>
            <w:tcBorders>
              <w:top w:val="single" w:sz="12" w:space="0" w:color="auto"/>
              <w:bottom w:val="nil"/>
              <w:right w:val="nil"/>
            </w:tcBorders>
            <w:vAlign w:val="bottom"/>
          </w:tcPr>
          <w:p w14:paraId="5EA4AD53" w14:textId="77777777" w:rsidR="002D4386" w:rsidRPr="00633E6F" w:rsidRDefault="002D4386" w:rsidP="00656914">
            <w:pPr>
              <w:rPr>
                <w:rFonts w:ascii="Times" w:hAnsi="Times" w:cs="Calibri"/>
                <w:color w:val="000000"/>
                <w:sz w:val="22"/>
                <w:szCs w:val="22"/>
              </w:rPr>
            </w:pPr>
          </w:p>
        </w:tc>
        <w:tc>
          <w:tcPr>
            <w:tcW w:w="3843" w:type="dxa"/>
            <w:gridSpan w:val="2"/>
            <w:tcBorders>
              <w:top w:val="single" w:sz="12" w:space="0" w:color="auto"/>
              <w:left w:val="nil"/>
              <w:bottom w:val="nil"/>
              <w:right w:val="nil"/>
            </w:tcBorders>
            <w:vAlign w:val="center"/>
          </w:tcPr>
          <w:p w14:paraId="6E9A2FBA" w14:textId="77777777" w:rsidR="002D4386" w:rsidRPr="00633E6F" w:rsidRDefault="002D4386" w:rsidP="002D4386">
            <w:pPr>
              <w:jc w:val="center"/>
              <w:rPr>
                <w:rFonts w:ascii="Times" w:hAnsi="Times" w:cs="Calibri"/>
                <w:b/>
                <w:bCs/>
                <w:color w:val="000000"/>
                <w:sz w:val="22"/>
                <w:szCs w:val="22"/>
              </w:rPr>
            </w:pPr>
            <w:r w:rsidRPr="00633E6F">
              <w:rPr>
                <w:rFonts w:ascii="Times" w:hAnsi="Times" w:cs="Calibri"/>
                <w:b/>
                <w:bCs/>
                <w:color w:val="000000"/>
                <w:sz w:val="22"/>
                <w:szCs w:val="22"/>
              </w:rPr>
              <w:t>Unmatched Cohort</w:t>
            </w:r>
          </w:p>
        </w:tc>
        <w:tc>
          <w:tcPr>
            <w:tcW w:w="407" w:type="dxa"/>
            <w:tcBorders>
              <w:top w:val="single" w:sz="12" w:space="0" w:color="auto"/>
              <w:left w:val="nil"/>
              <w:bottom w:val="nil"/>
              <w:right w:val="nil"/>
            </w:tcBorders>
            <w:vAlign w:val="center"/>
          </w:tcPr>
          <w:p w14:paraId="2C25E5F6" w14:textId="77777777" w:rsidR="002D4386" w:rsidRPr="00633E6F" w:rsidRDefault="002D4386" w:rsidP="002D4386">
            <w:pPr>
              <w:jc w:val="center"/>
              <w:rPr>
                <w:rFonts w:ascii="Times" w:hAnsi="Times" w:cs="Calibri"/>
                <w:b/>
                <w:bCs/>
                <w:color w:val="000000"/>
                <w:sz w:val="22"/>
                <w:szCs w:val="22"/>
              </w:rPr>
            </w:pPr>
          </w:p>
        </w:tc>
        <w:tc>
          <w:tcPr>
            <w:tcW w:w="3790" w:type="dxa"/>
            <w:gridSpan w:val="4"/>
            <w:tcBorders>
              <w:top w:val="single" w:sz="12" w:space="0" w:color="auto"/>
              <w:left w:val="nil"/>
              <w:bottom w:val="single" w:sz="12" w:space="0" w:color="auto"/>
            </w:tcBorders>
            <w:vAlign w:val="center"/>
          </w:tcPr>
          <w:p w14:paraId="44F3DDB7" w14:textId="705964C6" w:rsidR="002D4386" w:rsidRPr="00633E6F" w:rsidRDefault="002D4386" w:rsidP="002D4386">
            <w:pPr>
              <w:jc w:val="center"/>
              <w:rPr>
                <w:rFonts w:ascii="Times" w:hAnsi="Times" w:cs="Calibri"/>
                <w:b/>
                <w:bCs/>
                <w:color w:val="000000"/>
                <w:sz w:val="22"/>
                <w:szCs w:val="22"/>
              </w:rPr>
            </w:pPr>
            <w:r w:rsidRPr="00633E6F">
              <w:rPr>
                <w:rFonts w:ascii="Times" w:hAnsi="Times" w:cs="Calibri"/>
                <w:b/>
                <w:bCs/>
                <w:color w:val="000000"/>
                <w:sz w:val="22"/>
                <w:szCs w:val="22"/>
              </w:rPr>
              <w:t>High Dimensional Propensity Score Matched Cohort</w:t>
            </w:r>
          </w:p>
        </w:tc>
      </w:tr>
      <w:tr w:rsidR="001A31C1" w:rsidRPr="00633E6F" w14:paraId="69FBF110" w14:textId="77777777" w:rsidTr="00633E6F">
        <w:trPr>
          <w:trHeight w:val="286"/>
        </w:trPr>
        <w:tc>
          <w:tcPr>
            <w:tcW w:w="4820" w:type="dxa"/>
            <w:vMerge w:val="restart"/>
            <w:tcBorders>
              <w:top w:val="nil"/>
              <w:bottom w:val="nil"/>
              <w:right w:val="nil"/>
            </w:tcBorders>
            <w:vAlign w:val="bottom"/>
          </w:tcPr>
          <w:p w14:paraId="05CE16CC" w14:textId="77777777" w:rsidR="001A31C1" w:rsidRPr="00633E6F" w:rsidRDefault="001A31C1" w:rsidP="001A31C1">
            <w:pPr>
              <w:rPr>
                <w:rFonts w:ascii="Times" w:hAnsi="Times" w:cs="Calibri"/>
                <w:color w:val="000000"/>
                <w:sz w:val="22"/>
                <w:szCs w:val="22"/>
              </w:rPr>
            </w:pPr>
            <w:r w:rsidRPr="00633E6F">
              <w:rPr>
                <w:rFonts w:ascii="Times" w:hAnsi="Times" w:cs="Calibri"/>
                <w:color w:val="000000"/>
                <w:sz w:val="22"/>
                <w:szCs w:val="22"/>
              </w:rPr>
              <w:t> </w:t>
            </w:r>
          </w:p>
        </w:tc>
        <w:tc>
          <w:tcPr>
            <w:tcW w:w="1843" w:type="dxa"/>
            <w:tcBorders>
              <w:top w:val="single" w:sz="12" w:space="0" w:color="auto"/>
              <w:left w:val="nil"/>
              <w:bottom w:val="nil"/>
              <w:right w:val="nil"/>
            </w:tcBorders>
            <w:vAlign w:val="center"/>
          </w:tcPr>
          <w:p w14:paraId="4E4D503F" w14:textId="5F5DB64F" w:rsidR="001A31C1" w:rsidRPr="00633E6F" w:rsidRDefault="001A31C1" w:rsidP="001A31C1">
            <w:pPr>
              <w:jc w:val="center"/>
              <w:rPr>
                <w:rFonts w:ascii="Times" w:hAnsi="Times" w:cs="Calibri"/>
                <w:b/>
                <w:bCs/>
                <w:color w:val="000000"/>
                <w:sz w:val="22"/>
                <w:szCs w:val="22"/>
              </w:rPr>
            </w:pPr>
            <w:r w:rsidRPr="00633E6F">
              <w:rPr>
                <w:rFonts w:ascii="Times" w:hAnsi="Times" w:cs="Calibri"/>
                <w:b/>
                <w:bCs/>
                <w:color w:val="000000"/>
                <w:sz w:val="22"/>
                <w:szCs w:val="22"/>
              </w:rPr>
              <w:t>IDD</w:t>
            </w:r>
          </w:p>
        </w:tc>
        <w:tc>
          <w:tcPr>
            <w:tcW w:w="2000" w:type="dxa"/>
            <w:tcBorders>
              <w:top w:val="single" w:sz="12" w:space="0" w:color="auto"/>
              <w:left w:val="nil"/>
              <w:bottom w:val="nil"/>
              <w:right w:val="nil"/>
            </w:tcBorders>
            <w:vAlign w:val="center"/>
          </w:tcPr>
          <w:p w14:paraId="070C6D50" w14:textId="7A55F155" w:rsidR="001A31C1" w:rsidRPr="00633E6F" w:rsidRDefault="001A31C1" w:rsidP="001A31C1">
            <w:pPr>
              <w:jc w:val="center"/>
              <w:rPr>
                <w:rFonts w:ascii="Times" w:hAnsi="Times" w:cs="Calibri"/>
                <w:b/>
                <w:bCs/>
                <w:color w:val="000000"/>
                <w:sz w:val="22"/>
                <w:szCs w:val="22"/>
              </w:rPr>
            </w:pPr>
            <w:r w:rsidRPr="00633E6F">
              <w:rPr>
                <w:rFonts w:ascii="Times" w:hAnsi="Times" w:cs="Calibri"/>
                <w:b/>
                <w:bCs/>
                <w:color w:val="000000"/>
                <w:sz w:val="22"/>
                <w:szCs w:val="22"/>
              </w:rPr>
              <w:t>No IDD</w:t>
            </w:r>
          </w:p>
        </w:tc>
        <w:tc>
          <w:tcPr>
            <w:tcW w:w="407" w:type="dxa"/>
            <w:tcBorders>
              <w:top w:val="nil"/>
              <w:left w:val="nil"/>
              <w:bottom w:val="nil"/>
              <w:right w:val="nil"/>
            </w:tcBorders>
            <w:vAlign w:val="center"/>
          </w:tcPr>
          <w:p w14:paraId="02CA432C" w14:textId="77777777" w:rsidR="001A31C1" w:rsidRPr="00633E6F" w:rsidRDefault="001A31C1" w:rsidP="001A31C1">
            <w:pPr>
              <w:jc w:val="center"/>
              <w:rPr>
                <w:rFonts w:ascii="Times" w:hAnsi="Times" w:cs="Calibri"/>
                <w:b/>
                <w:bCs/>
                <w:color w:val="000000"/>
                <w:sz w:val="22"/>
                <w:szCs w:val="22"/>
              </w:rPr>
            </w:pPr>
          </w:p>
        </w:tc>
        <w:tc>
          <w:tcPr>
            <w:tcW w:w="1897" w:type="dxa"/>
            <w:gridSpan w:val="3"/>
            <w:tcBorders>
              <w:top w:val="single" w:sz="12" w:space="0" w:color="auto"/>
              <w:left w:val="nil"/>
              <w:bottom w:val="nil"/>
              <w:right w:val="nil"/>
            </w:tcBorders>
            <w:vAlign w:val="center"/>
          </w:tcPr>
          <w:p w14:paraId="247FAFCD" w14:textId="131E6D8E" w:rsidR="001A31C1" w:rsidRPr="00633E6F" w:rsidRDefault="001A31C1" w:rsidP="001A31C1">
            <w:pPr>
              <w:jc w:val="center"/>
              <w:rPr>
                <w:rFonts w:ascii="Times" w:hAnsi="Times" w:cs="Calibri"/>
                <w:b/>
                <w:bCs/>
                <w:color w:val="000000"/>
                <w:sz w:val="22"/>
                <w:szCs w:val="22"/>
              </w:rPr>
            </w:pPr>
            <w:r w:rsidRPr="00633E6F">
              <w:rPr>
                <w:rFonts w:ascii="Times" w:hAnsi="Times" w:cs="Calibri"/>
                <w:b/>
                <w:bCs/>
                <w:color w:val="000000"/>
                <w:sz w:val="22"/>
                <w:szCs w:val="22"/>
              </w:rPr>
              <w:t>IDD</w:t>
            </w:r>
          </w:p>
        </w:tc>
        <w:tc>
          <w:tcPr>
            <w:tcW w:w="1900" w:type="dxa"/>
            <w:gridSpan w:val="2"/>
            <w:tcBorders>
              <w:top w:val="single" w:sz="12" w:space="0" w:color="auto"/>
              <w:left w:val="nil"/>
              <w:bottom w:val="nil"/>
            </w:tcBorders>
            <w:vAlign w:val="center"/>
          </w:tcPr>
          <w:p w14:paraId="51880385" w14:textId="4D9BA045" w:rsidR="001A31C1" w:rsidRPr="00633E6F" w:rsidRDefault="001A31C1" w:rsidP="001A31C1">
            <w:pPr>
              <w:jc w:val="center"/>
              <w:rPr>
                <w:rFonts w:ascii="Times" w:hAnsi="Times" w:cs="Calibri"/>
                <w:b/>
                <w:bCs/>
                <w:color w:val="000000"/>
                <w:sz w:val="22"/>
                <w:szCs w:val="22"/>
              </w:rPr>
            </w:pPr>
            <w:r w:rsidRPr="00633E6F">
              <w:rPr>
                <w:rFonts w:ascii="Times" w:hAnsi="Times" w:cs="Calibri"/>
                <w:b/>
                <w:bCs/>
                <w:color w:val="000000"/>
                <w:sz w:val="22"/>
                <w:szCs w:val="22"/>
              </w:rPr>
              <w:t>No IDD</w:t>
            </w:r>
          </w:p>
        </w:tc>
      </w:tr>
      <w:tr w:rsidR="001A31C1" w:rsidRPr="00633E6F" w14:paraId="4DB53355" w14:textId="77777777" w:rsidTr="00633E6F">
        <w:trPr>
          <w:trHeight w:val="286"/>
        </w:trPr>
        <w:tc>
          <w:tcPr>
            <w:tcW w:w="4820" w:type="dxa"/>
            <w:vMerge/>
            <w:tcBorders>
              <w:top w:val="nil"/>
              <w:bottom w:val="nil"/>
              <w:right w:val="nil"/>
            </w:tcBorders>
            <w:vAlign w:val="bottom"/>
          </w:tcPr>
          <w:p w14:paraId="015BD44C" w14:textId="77777777" w:rsidR="001A31C1" w:rsidRPr="00633E6F" w:rsidRDefault="001A31C1" w:rsidP="001A31C1">
            <w:pPr>
              <w:rPr>
                <w:rFonts w:ascii="Times" w:hAnsi="Times"/>
                <w:sz w:val="22"/>
                <w:szCs w:val="22"/>
              </w:rPr>
            </w:pPr>
          </w:p>
        </w:tc>
        <w:tc>
          <w:tcPr>
            <w:tcW w:w="1843" w:type="dxa"/>
            <w:tcBorders>
              <w:top w:val="nil"/>
              <w:left w:val="nil"/>
              <w:bottom w:val="nil"/>
              <w:right w:val="nil"/>
            </w:tcBorders>
            <w:vAlign w:val="bottom"/>
          </w:tcPr>
          <w:p w14:paraId="3AEC2726" w14:textId="17D6086A" w:rsidR="001A31C1" w:rsidRPr="00633E6F" w:rsidRDefault="001A31C1" w:rsidP="001A31C1">
            <w:pPr>
              <w:jc w:val="center"/>
              <w:rPr>
                <w:rFonts w:ascii="Times" w:hAnsi="Times" w:cs="Calibri"/>
                <w:b/>
                <w:bCs/>
                <w:color w:val="000000"/>
                <w:sz w:val="22"/>
                <w:szCs w:val="22"/>
              </w:rPr>
            </w:pPr>
            <w:r w:rsidRPr="00633E6F">
              <w:rPr>
                <w:rFonts w:ascii="Times" w:hAnsi="Times" w:cs="Calibri"/>
                <w:b/>
                <w:bCs/>
                <w:color w:val="000000"/>
                <w:sz w:val="22"/>
                <w:szCs w:val="22"/>
              </w:rPr>
              <w:t xml:space="preserve"> N=20,684</w:t>
            </w:r>
          </w:p>
        </w:tc>
        <w:tc>
          <w:tcPr>
            <w:tcW w:w="2000" w:type="dxa"/>
            <w:tcBorders>
              <w:top w:val="nil"/>
              <w:left w:val="nil"/>
              <w:bottom w:val="nil"/>
              <w:right w:val="nil"/>
            </w:tcBorders>
            <w:vAlign w:val="bottom"/>
          </w:tcPr>
          <w:p w14:paraId="10A6B7D9" w14:textId="65D21C47" w:rsidR="001A31C1" w:rsidRPr="00633E6F" w:rsidRDefault="001A31C1" w:rsidP="001A31C1">
            <w:pPr>
              <w:jc w:val="center"/>
              <w:rPr>
                <w:rFonts w:ascii="Times" w:hAnsi="Times"/>
                <w:sz w:val="22"/>
                <w:szCs w:val="22"/>
              </w:rPr>
            </w:pPr>
            <w:r w:rsidRPr="00633E6F">
              <w:rPr>
                <w:rFonts w:ascii="Times" w:hAnsi="Times" w:cs="Calibri"/>
                <w:b/>
                <w:bCs/>
                <w:color w:val="000000"/>
                <w:sz w:val="22"/>
                <w:szCs w:val="22"/>
              </w:rPr>
              <w:t>N=3,931,095</w:t>
            </w:r>
          </w:p>
        </w:tc>
        <w:tc>
          <w:tcPr>
            <w:tcW w:w="407" w:type="dxa"/>
            <w:tcBorders>
              <w:top w:val="nil"/>
              <w:left w:val="nil"/>
              <w:bottom w:val="nil"/>
              <w:right w:val="nil"/>
            </w:tcBorders>
            <w:vAlign w:val="center"/>
          </w:tcPr>
          <w:p w14:paraId="66E7B302" w14:textId="77777777" w:rsidR="001A31C1" w:rsidRPr="00633E6F" w:rsidRDefault="001A31C1" w:rsidP="001A31C1">
            <w:pPr>
              <w:jc w:val="center"/>
              <w:rPr>
                <w:rFonts w:ascii="Times" w:hAnsi="Times"/>
                <w:sz w:val="22"/>
                <w:szCs w:val="22"/>
              </w:rPr>
            </w:pPr>
          </w:p>
        </w:tc>
        <w:tc>
          <w:tcPr>
            <w:tcW w:w="1897" w:type="dxa"/>
            <w:gridSpan w:val="3"/>
            <w:tcBorders>
              <w:top w:val="nil"/>
              <w:left w:val="nil"/>
              <w:bottom w:val="nil"/>
              <w:right w:val="nil"/>
            </w:tcBorders>
            <w:vAlign w:val="bottom"/>
          </w:tcPr>
          <w:p w14:paraId="61CB2FE3" w14:textId="660A4490" w:rsidR="001A31C1" w:rsidRPr="00633E6F" w:rsidRDefault="001A31C1" w:rsidP="001A31C1">
            <w:pPr>
              <w:jc w:val="center"/>
              <w:rPr>
                <w:rFonts w:ascii="Times" w:hAnsi="Times" w:cs="Calibri"/>
                <w:b/>
                <w:bCs/>
                <w:color w:val="000000"/>
                <w:sz w:val="22"/>
                <w:szCs w:val="22"/>
              </w:rPr>
            </w:pPr>
            <w:r w:rsidRPr="00633E6F">
              <w:rPr>
                <w:rFonts w:ascii="Times" w:hAnsi="Times" w:cs="Calibri"/>
                <w:b/>
                <w:bCs/>
                <w:color w:val="000000"/>
                <w:sz w:val="22"/>
                <w:szCs w:val="22"/>
              </w:rPr>
              <w:t>N=19,156</w:t>
            </w:r>
          </w:p>
        </w:tc>
        <w:tc>
          <w:tcPr>
            <w:tcW w:w="1900" w:type="dxa"/>
            <w:gridSpan w:val="2"/>
            <w:tcBorders>
              <w:top w:val="nil"/>
              <w:left w:val="nil"/>
              <w:bottom w:val="nil"/>
            </w:tcBorders>
            <w:vAlign w:val="bottom"/>
          </w:tcPr>
          <w:p w14:paraId="4AF90157" w14:textId="02A492E7" w:rsidR="001A31C1" w:rsidRPr="00633E6F" w:rsidRDefault="001A31C1" w:rsidP="001A31C1">
            <w:pPr>
              <w:jc w:val="center"/>
              <w:rPr>
                <w:rFonts w:ascii="Times" w:hAnsi="Times" w:cs="Calibri"/>
                <w:b/>
                <w:bCs/>
                <w:color w:val="000000"/>
                <w:sz w:val="22"/>
                <w:szCs w:val="22"/>
              </w:rPr>
            </w:pPr>
            <w:r w:rsidRPr="00633E6F">
              <w:rPr>
                <w:rFonts w:ascii="Times" w:hAnsi="Times" w:cs="Calibri"/>
                <w:b/>
                <w:bCs/>
                <w:color w:val="000000"/>
                <w:sz w:val="22"/>
                <w:szCs w:val="22"/>
              </w:rPr>
              <w:t>N=72,007</w:t>
            </w:r>
          </w:p>
        </w:tc>
      </w:tr>
      <w:tr w:rsidR="009B2F45" w:rsidRPr="00633E6F" w14:paraId="6D889031" w14:textId="77777777" w:rsidTr="0061100A">
        <w:trPr>
          <w:trHeight w:val="274"/>
        </w:trPr>
        <w:tc>
          <w:tcPr>
            <w:tcW w:w="9070" w:type="dxa"/>
            <w:gridSpan w:val="4"/>
            <w:tcBorders>
              <w:top w:val="nil"/>
              <w:bottom w:val="single" w:sz="4" w:space="0" w:color="000000" w:themeColor="text1"/>
              <w:right w:val="nil"/>
            </w:tcBorders>
          </w:tcPr>
          <w:p w14:paraId="3B7F1DB8" w14:textId="77777777" w:rsidR="009B2F45" w:rsidRPr="00633E6F" w:rsidRDefault="009B2F45" w:rsidP="009B2F45">
            <w:pPr>
              <w:rPr>
                <w:rFonts w:ascii="Times" w:hAnsi="Times" w:cs="Calibri"/>
                <w:color w:val="000000"/>
                <w:sz w:val="22"/>
                <w:szCs w:val="22"/>
              </w:rPr>
            </w:pPr>
            <w:r w:rsidRPr="00633E6F">
              <w:rPr>
                <w:rFonts w:ascii="Times" w:hAnsi="Times" w:cs="Calibri"/>
                <w:b/>
                <w:bCs/>
                <w:color w:val="000000"/>
                <w:sz w:val="22"/>
                <w:szCs w:val="22"/>
              </w:rPr>
              <w:t>Index Opioid Characteristics, No. (%)</w:t>
            </w:r>
          </w:p>
        </w:tc>
        <w:tc>
          <w:tcPr>
            <w:tcW w:w="1762" w:type="dxa"/>
            <w:tcBorders>
              <w:top w:val="nil"/>
              <w:left w:val="nil"/>
              <w:bottom w:val="single" w:sz="4" w:space="0" w:color="000000" w:themeColor="text1"/>
              <w:right w:val="nil"/>
            </w:tcBorders>
          </w:tcPr>
          <w:p w14:paraId="16A3ED85" w14:textId="1E418C77" w:rsidR="009B2F45" w:rsidRPr="00633E6F" w:rsidRDefault="009B2F45" w:rsidP="009B2F45">
            <w:pPr>
              <w:rPr>
                <w:rFonts w:ascii="Times" w:hAnsi="Times" w:cs="Calibri"/>
                <w:b/>
                <w:bCs/>
                <w:color w:val="000000"/>
                <w:sz w:val="22"/>
                <w:szCs w:val="22"/>
              </w:rPr>
            </w:pPr>
          </w:p>
        </w:tc>
        <w:tc>
          <w:tcPr>
            <w:tcW w:w="2035" w:type="dxa"/>
            <w:gridSpan w:val="4"/>
            <w:tcBorders>
              <w:top w:val="nil"/>
              <w:left w:val="nil"/>
              <w:bottom w:val="single" w:sz="4" w:space="0" w:color="000000" w:themeColor="text1"/>
            </w:tcBorders>
          </w:tcPr>
          <w:p w14:paraId="29DBBA58" w14:textId="77777777" w:rsidR="009B2F45" w:rsidRPr="00633E6F" w:rsidRDefault="009B2F45" w:rsidP="009B2F45">
            <w:pPr>
              <w:rPr>
                <w:rFonts w:ascii="Times" w:hAnsi="Times" w:cs="Calibri"/>
                <w:b/>
                <w:bCs/>
                <w:color w:val="000000"/>
                <w:sz w:val="22"/>
                <w:szCs w:val="22"/>
              </w:rPr>
            </w:pPr>
          </w:p>
        </w:tc>
      </w:tr>
      <w:tr w:rsidR="00633E6F" w:rsidRPr="00633E6F" w14:paraId="62A26636" w14:textId="77777777" w:rsidTr="00633E6F">
        <w:trPr>
          <w:trHeight w:val="274"/>
        </w:trPr>
        <w:tc>
          <w:tcPr>
            <w:tcW w:w="4820" w:type="dxa"/>
            <w:tcBorders>
              <w:top w:val="single" w:sz="4" w:space="0" w:color="000000" w:themeColor="text1"/>
              <w:bottom w:val="single" w:sz="4" w:space="0" w:color="BFBFBF" w:themeColor="background1" w:themeShade="BF"/>
              <w:right w:val="nil"/>
            </w:tcBorders>
            <w:vAlign w:val="bottom"/>
          </w:tcPr>
          <w:p w14:paraId="2B1099EB" w14:textId="0B478430" w:rsidR="00633E6F" w:rsidRPr="00633E6F" w:rsidRDefault="00633E6F" w:rsidP="00633E6F">
            <w:pPr>
              <w:rPr>
                <w:rFonts w:ascii="Times" w:hAnsi="Times"/>
                <w:sz w:val="22"/>
                <w:szCs w:val="22"/>
              </w:rPr>
            </w:pPr>
            <w:r w:rsidRPr="00633E6F">
              <w:rPr>
                <w:rFonts w:ascii="Times" w:hAnsi="Times" w:cs="Calibri"/>
                <w:color w:val="000000"/>
                <w:sz w:val="22"/>
                <w:szCs w:val="22"/>
              </w:rPr>
              <w:t>Single Opioid Prescription on Index</w:t>
            </w:r>
          </w:p>
        </w:tc>
        <w:tc>
          <w:tcPr>
            <w:tcW w:w="1843" w:type="dxa"/>
            <w:tcBorders>
              <w:top w:val="single" w:sz="4" w:space="0" w:color="000000" w:themeColor="text1"/>
              <w:left w:val="nil"/>
              <w:bottom w:val="single" w:sz="4" w:space="0" w:color="BFBFBF" w:themeColor="background1" w:themeShade="BF"/>
              <w:right w:val="nil"/>
            </w:tcBorders>
            <w:vAlign w:val="bottom"/>
          </w:tcPr>
          <w:p w14:paraId="36ED986D" w14:textId="2C093824" w:rsidR="00633E6F" w:rsidRPr="00633E6F" w:rsidRDefault="00633E6F" w:rsidP="00633E6F">
            <w:pPr>
              <w:jc w:val="center"/>
              <w:rPr>
                <w:rFonts w:ascii="Times" w:hAnsi="Times"/>
                <w:sz w:val="22"/>
                <w:szCs w:val="22"/>
              </w:rPr>
            </w:pPr>
            <w:r w:rsidRPr="00633E6F">
              <w:rPr>
                <w:rFonts w:ascii="Times" w:hAnsi="Times" w:cs="Calibri"/>
                <w:color w:val="000000"/>
                <w:sz w:val="22"/>
                <w:szCs w:val="22"/>
              </w:rPr>
              <w:t>20,479 (99.0)</w:t>
            </w:r>
          </w:p>
        </w:tc>
        <w:tc>
          <w:tcPr>
            <w:tcW w:w="2000" w:type="dxa"/>
            <w:tcBorders>
              <w:top w:val="single" w:sz="4" w:space="0" w:color="000000" w:themeColor="text1"/>
              <w:left w:val="nil"/>
              <w:bottom w:val="single" w:sz="4" w:space="0" w:color="BFBFBF" w:themeColor="background1" w:themeShade="BF"/>
              <w:right w:val="nil"/>
            </w:tcBorders>
            <w:vAlign w:val="bottom"/>
          </w:tcPr>
          <w:p w14:paraId="53FD4F16" w14:textId="4E37F6F3" w:rsidR="00633E6F" w:rsidRPr="00633E6F" w:rsidRDefault="00633E6F" w:rsidP="00633E6F">
            <w:pPr>
              <w:jc w:val="center"/>
              <w:rPr>
                <w:rFonts w:ascii="Times" w:hAnsi="Times"/>
                <w:sz w:val="22"/>
                <w:szCs w:val="22"/>
                <w:vertAlign w:val="superscript"/>
              </w:rPr>
            </w:pPr>
            <w:r w:rsidRPr="00633E6F">
              <w:rPr>
                <w:rFonts w:ascii="Times" w:hAnsi="Times" w:cs="Calibri"/>
                <w:color w:val="000000"/>
                <w:sz w:val="22"/>
                <w:szCs w:val="22"/>
              </w:rPr>
              <w:t>3,891,330 (99.0)</w:t>
            </w:r>
          </w:p>
        </w:tc>
        <w:tc>
          <w:tcPr>
            <w:tcW w:w="407" w:type="dxa"/>
            <w:tcBorders>
              <w:top w:val="single" w:sz="4" w:space="0" w:color="000000" w:themeColor="text1"/>
              <w:left w:val="nil"/>
              <w:bottom w:val="single" w:sz="4" w:space="0" w:color="BFBFBF" w:themeColor="background1" w:themeShade="BF"/>
              <w:right w:val="nil"/>
            </w:tcBorders>
            <w:vAlign w:val="center"/>
          </w:tcPr>
          <w:p w14:paraId="37CFCF64" w14:textId="77777777" w:rsidR="00633E6F" w:rsidRPr="00633E6F" w:rsidRDefault="00633E6F" w:rsidP="00633E6F">
            <w:pPr>
              <w:jc w:val="center"/>
              <w:rPr>
                <w:rFonts w:ascii="Times" w:hAnsi="Times"/>
                <w:sz w:val="22"/>
                <w:szCs w:val="22"/>
              </w:rPr>
            </w:pPr>
          </w:p>
        </w:tc>
        <w:tc>
          <w:tcPr>
            <w:tcW w:w="1897" w:type="dxa"/>
            <w:gridSpan w:val="3"/>
            <w:tcBorders>
              <w:top w:val="single" w:sz="4" w:space="0" w:color="000000" w:themeColor="text1"/>
              <w:left w:val="nil"/>
              <w:bottom w:val="single" w:sz="4" w:space="0" w:color="BFBFBF" w:themeColor="background1" w:themeShade="BF"/>
              <w:right w:val="nil"/>
            </w:tcBorders>
            <w:vAlign w:val="bottom"/>
          </w:tcPr>
          <w:p w14:paraId="3A540559" w14:textId="1A7A12E8" w:rsidR="00633E6F" w:rsidRPr="00633E6F" w:rsidRDefault="00633E6F" w:rsidP="00633E6F">
            <w:pPr>
              <w:jc w:val="center"/>
              <w:rPr>
                <w:rFonts w:ascii="Times" w:hAnsi="Times"/>
                <w:sz w:val="22"/>
                <w:szCs w:val="22"/>
              </w:rPr>
            </w:pPr>
            <w:r w:rsidRPr="00633E6F">
              <w:rPr>
                <w:rFonts w:ascii="Times" w:hAnsi="Times" w:cs="Calibri"/>
                <w:color w:val="000000"/>
                <w:sz w:val="22"/>
                <w:szCs w:val="22"/>
              </w:rPr>
              <w:t>19,017 (99.3)</w:t>
            </w:r>
          </w:p>
        </w:tc>
        <w:tc>
          <w:tcPr>
            <w:tcW w:w="1900" w:type="dxa"/>
            <w:gridSpan w:val="2"/>
            <w:tcBorders>
              <w:top w:val="single" w:sz="4" w:space="0" w:color="000000" w:themeColor="text1"/>
              <w:left w:val="nil"/>
              <w:bottom w:val="single" w:sz="4" w:space="0" w:color="BFBFBF" w:themeColor="background1" w:themeShade="BF"/>
            </w:tcBorders>
            <w:vAlign w:val="bottom"/>
          </w:tcPr>
          <w:p w14:paraId="445DEEE3" w14:textId="6205952D" w:rsidR="00633E6F" w:rsidRPr="00633E6F" w:rsidRDefault="00633E6F" w:rsidP="00633E6F">
            <w:pPr>
              <w:jc w:val="center"/>
              <w:rPr>
                <w:rFonts w:ascii="Times" w:hAnsi="Times"/>
                <w:sz w:val="22"/>
                <w:szCs w:val="22"/>
              </w:rPr>
            </w:pPr>
            <w:r w:rsidRPr="00633E6F">
              <w:rPr>
                <w:rFonts w:ascii="Times" w:hAnsi="Times" w:cs="Calibri"/>
                <w:color w:val="000000"/>
                <w:sz w:val="22"/>
                <w:szCs w:val="22"/>
              </w:rPr>
              <w:t>71,503 (99.3)</w:t>
            </w:r>
          </w:p>
        </w:tc>
      </w:tr>
      <w:tr w:rsidR="00633E6F" w:rsidRPr="00633E6F" w14:paraId="4533EAA1" w14:textId="77777777" w:rsidTr="00633E6F">
        <w:trPr>
          <w:trHeight w:val="274"/>
        </w:trPr>
        <w:tc>
          <w:tcPr>
            <w:tcW w:w="4820" w:type="dxa"/>
            <w:tcBorders>
              <w:top w:val="single" w:sz="4" w:space="0" w:color="BFBFBF" w:themeColor="background1" w:themeShade="BF"/>
              <w:bottom w:val="single" w:sz="4" w:space="0" w:color="BFBFBF" w:themeColor="background1" w:themeShade="BF"/>
              <w:right w:val="nil"/>
            </w:tcBorders>
            <w:vAlign w:val="bottom"/>
          </w:tcPr>
          <w:p w14:paraId="0B38071A" w14:textId="77777777" w:rsidR="00633E6F" w:rsidRPr="00633E6F" w:rsidRDefault="00633E6F" w:rsidP="00633E6F">
            <w:pPr>
              <w:rPr>
                <w:rFonts w:ascii="Times" w:hAnsi="Times"/>
                <w:sz w:val="22"/>
                <w:szCs w:val="22"/>
              </w:rPr>
            </w:pPr>
            <w:r w:rsidRPr="00633E6F">
              <w:rPr>
                <w:rFonts w:ascii="Times" w:hAnsi="Times" w:cs="Calibri"/>
                <w:color w:val="000000"/>
                <w:sz w:val="22"/>
                <w:szCs w:val="22"/>
              </w:rPr>
              <w:t>Opioid Type</w:t>
            </w:r>
          </w:p>
        </w:tc>
        <w:tc>
          <w:tcPr>
            <w:tcW w:w="1843" w:type="dxa"/>
            <w:tcBorders>
              <w:top w:val="single" w:sz="4" w:space="0" w:color="BFBFBF" w:themeColor="background1" w:themeShade="BF"/>
              <w:left w:val="nil"/>
              <w:bottom w:val="single" w:sz="4" w:space="0" w:color="BFBFBF" w:themeColor="background1" w:themeShade="BF"/>
              <w:right w:val="nil"/>
            </w:tcBorders>
            <w:vAlign w:val="center"/>
          </w:tcPr>
          <w:p w14:paraId="7F752FFB" w14:textId="77777777" w:rsidR="00633E6F" w:rsidRPr="00633E6F" w:rsidRDefault="00633E6F" w:rsidP="00633E6F">
            <w:pPr>
              <w:jc w:val="center"/>
              <w:rPr>
                <w:rFonts w:ascii="Times" w:hAnsi="Times" w:cs="Calibri"/>
                <w:color w:val="000000"/>
                <w:sz w:val="22"/>
                <w:szCs w:val="22"/>
              </w:rPr>
            </w:pPr>
          </w:p>
        </w:tc>
        <w:tc>
          <w:tcPr>
            <w:tcW w:w="2000" w:type="dxa"/>
            <w:tcBorders>
              <w:top w:val="single" w:sz="4" w:space="0" w:color="BFBFBF" w:themeColor="background1" w:themeShade="BF"/>
              <w:left w:val="nil"/>
              <w:bottom w:val="single" w:sz="4" w:space="0" w:color="BFBFBF" w:themeColor="background1" w:themeShade="BF"/>
              <w:right w:val="nil"/>
            </w:tcBorders>
            <w:vAlign w:val="center"/>
          </w:tcPr>
          <w:p w14:paraId="4DBEB196" w14:textId="77777777" w:rsidR="00633E6F" w:rsidRPr="00633E6F" w:rsidRDefault="00633E6F" w:rsidP="00633E6F">
            <w:pPr>
              <w:jc w:val="center"/>
              <w:rPr>
                <w:rFonts w:ascii="Times" w:hAnsi="Times"/>
                <w:sz w:val="22"/>
                <w:szCs w:val="22"/>
                <w:vertAlign w:val="superscript"/>
              </w:rPr>
            </w:pP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27AF95A5"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160C9FBA" w14:textId="77777777" w:rsidR="00633E6F" w:rsidRPr="00633E6F" w:rsidRDefault="00633E6F" w:rsidP="00633E6F">
            <w:pPr>
              <w:jc w:val="center"/>
              <w:rPr>
                <w:rFonts w:ascii="Times" w:hAnsi="Times" w:cs="Calibri"/>
                <w:color w:val="000000"/>
                <w:sz w:val="22"/>
                <w:szCs w:val="22"/>
              </w:rPr>
            </w:pP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7D5872AA" w14:textId="77777777" w:rsidR="00633E6F" w:rsidRPr="00633E6F" w:rsidRDefault="00633E6F" w:rsidP="00633E6F">
            <w:pPr>
              <w:jc w:val="center"/>
              <w:rPr>
                <w:rFonts w:ascii="Times" w:hAnsi="Times" w:cs="Calibri"/>
                <w:color w:val="000000"/>
                <w:sz w:val="22"/>
                <w:szCs w:val="22"/>
              </w:rPr>
            </w:pPr>
          </w:p>
        </w:tc>
      </w:tr>
      <w:tr w:rsidR="00633E6F" w:rsidRPr="00633E6F" w14:paraId="113F977C" w14:textId="77777777" w:rsidTr="00633E6F">
        <w:trPr>
          <w:trHeight w:val="274"/>
        </w:trPr>
        <w:tc>
          <w:tcPr>
            <w:tcW w:w="4820" w:type="dxa"/>
            <w:tcBorders>
              <w:top w:val="single" w:sz="4" w:space="0" w:color="BFBFBF" w:themeColor="background1" w:themeShade="BF"/>
              <w:bottom w:val="single" w:sz="4" w:space="0" w:color="BFBFBF" w:themeColor="background1" w:themeShade="BF"/>
              <w:right w:val="nil"/>
            </w:tcBorders>
            <w:vAlign w:val="bottom"/>
          </w:tcPr>
          <w:p w14:paraId="73BCFA87" w14:textId="77777777" w:rsidR="00633E6F" w:rsidRPr="00633E6F" w:rsidRDefault="00633E6F" w:rsidP="00633E6F">
            <w:pPr>
              <w:rPr>
                <w:rFonts w:ascii="Times" w:hAnsi="Times"/>
                <w:sz w:val="22"/>
                <w:szCs w:val="22"/>
              </w:rPr>
            </w:pPr>
            <w:r w:rsidRPr="00633E6F">
              <w:rPr>
                <w:rFonts w:ascii="Times" w:hAnsi="Times" w:cs="Calibri"/>
                <w:color w:val="000000"/>
                <w:sz w:val="22"/>
                <w:szCs w:val="22"/>
              </w:rPr>
              <w:t xml:space="preserve">     Codeine</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33E3F74B" w14:textId="11C81D20" w:rsidR="00633E6F" w:rsidRPr="00633E6F" w:rsidRDefault="00633E6F" w:rsidP="00633E6F">
            <w:pPr>
              <w:jc w:val="center"/>
              <w:rPr>
                <w:rFonts w:ascii="Times" w:hAnsi="Times"/>
                <w:sz w:val="22"/>
                <w:szCs w:val="22"/>
              </w:rPr>
            </w:pPr>
            <w:r w:rsidRPr="00633E6F">
              <w:rPr>
                <w:rFonts w:ascii="Times" w:hAnsi="Times" w:cs="Calibri"/>
                <w:color w:val="000000"/>
                <w:sz w:val="22"/>
                <w:szCs w:val="22"/>
              </w:rPr>
              <w:t>495 (2.4)</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4B92C19A" w14:textId="5EBF6B46" w:rsidR="00633E6F" w:rsidRPr="00633E6F" w:rsidRDefault="00633E6F" w:rsidP="00633E6F">
            <w:pPr>
              <w:jc w:val="center"/>
              <w:rPr>
                <w:rFonts w:ascii="Times" w:hAnsi="Times"/>
                <w:sz w:val="22"/>
                <w:szCs w:val="22"/>
              </w:rPr>
            </w:pPr>
            <w:r w:rsidRPr="00633E6F">
              <w:rPr>
                <w:rFonts w:ascii="Times" w:hAnsi="Times" w:cs="Calibri"/>
                <w:color w:val="000000"/>
                <w:sz w:val="22"/>
                <w:szCs w:val="22"/>
              </w:rPr>
              <w:t>70,861 (1.8)</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581A041D"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791CBE33" w14:textId="1CD15955" w:rsidR="00633E6F" w:rsidRPr="00633E6F" w:rsidRDefault="00633E6F" w:rsidP="00633E6F">
            <w:pPr>
              <w:jc w:val="center"/>
              <w:rPr>
                <w:rFonts w:ascii="Times" w:hAnsi="Times"/>
                <w:sz w:val="22"/>
                <w:szCs w:val="22"/>
              </w:rPr>
            </w:pPr>
            <w:r w:rsidRPr="00633E6F">
              <w:rPr>
                <w:rFonts w:ascii="Times" w:hAnsi="Times" w:cs="Calibri"/>
                <w:color w:val="000000"/>
                <w:sz w:val="22"/>
                <w:szCs w:val="22"/>
              </w:rPr>
              <w:t>445 (2.3)</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5EB9996B" w14:textId="5278E9CC" w:rsidR="00633E6F" w:rsidRPr="00633E6F" w:rsidRDefault="00633E6F" w:rsidP="00633E6F">
            <w:pPr>
              <w:jc w:val="center"/>
              <w:rPr>
                <w:rFonts w:ascii="Times" w:hAnsi="Times"/>
                <w:sz w:val="22"/>
                <w:szCs w:val="22"/>
              </w:rPr>
            </w:pPr>
            <w:r w:rsidRPr="00633E6F">
              <w:rPr>
                <w:rFonts w:ascii="Times" w:hAnsi="Times" w:cs="Calibri"/>
                <w:color w:val="000000"/>
                <w:sz w:val="22"/>
                <w:szCs w:val="22"/>
              </w:rPr>
              <w:t>1,152 (1.6)</w:t>
            </w:r>
          </w:p>
        </w:tc>
      </w:tr>
      <w:tr w:rsidR="00633E6F" w:rsidRPr="00633E6F" w14:paraId="1B52FAC6" w14:textId="77777777" w:rsidTr="00633E6F">
        <w:trPr>
          <w:trHeight w:val="274"/>
        </w:trPr>
        <w:tc>
          <w:tcPr>
            <w:tcW w:w="4820" w:type="dxa"/>
            <w:tcBorders>
              <w:top w:val="single" w:sz="4" w:space="0" w:color="BFBFBF" w:themeColor="background1" w:themeShade="BF"/>
              <w:bottom w:val="single" w:sz="4" w:space="0" w:color="BFBFBF" w:themeColor="background1" w:themeShade="BF"/>
              <w:right w:val="nil"/>
            </w:tcBorders>
            <w:vAlign w:val="bottom"/>
          </w:tcPr>
          <w:p w14:paraId="4FA31BF4" w14:textId="77777777" w:rsidR="00633E6F" w:rsidRPr="00633E6F" w:rsidRDefault="00633E6F" w:rsidP="00633E6F">
            <w:pPr>
              <w:rPr>
                <w:rFonts w:ascii="Times" w:hAnsi="Times"/>
                <w:sz w:val="22"/>
                <w:szCs w:val="22"/>
              </w:rPr>
            </w:pPr>
            <w:r w:rsidRPr="00633E6F">
              <w:rPr>
                <w:rFonts w:ascii="Times" w:hAnsi="Times" w:cs="Calibri"/>
                <w:color w:val="000000"/>
                <w:sz w:val="22"/>
                <w:szCs w:val="22"/>
              </w:rPr>
              <w:t xml:space="preserve">     Codeine Combination</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3F744A6A" w14:textId="7544410C"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13,143 (63.5)</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6B579820" w14:textId="1325BBB0" w:rsidR="00633E6F" w:rsidRPr="00633E6F" w:rsidRDefault="00633E6F" w:rsidP="00633E6F">
            <w:pPr>
              <w:jc w:val="center"/>
              <w:rPr>
                <w:rFonts w:ascii="Times" w:hAnsi="Times"/>
                <w:sz w:val="22"/>
                <w:szCs w:val="22"/>
                <w:vertAlign w:val="superscript"/>
              </w:rPr>
            </w:pPr>
            <w:r w:rsidRPr="00633E6F">
              <w:rPr>
                <w:rFonts w:ascii="Times" w:hAnsi="Times" w:cs="Calibri"/>
                <w:color w:val="000000"/>
                <w:sz w:val="22"/>
                <w:szCs w:val="22"/>
              </w:rPr>
              <w:t>2,265,336 (57.6)</w:t>
            </w:r>
            <w:r w:rsidRPr="00633E6F">
              <w:rPr>
                <w:rFonts w:ascii="Times" w:hAnsi="Times" w:cs="Calibri"/>
                <w:color w:val="000000"/>
                <w:sz w:val="22"/>
                <w:szCs w:val="22"/>
                <w:vertAlign w:val="superscript"/>
              </w:rPr>
              <w:t xml:space="preserve"> 1</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1A73F8BE"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6E1A40E6" w14:textId="4690DA2D"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12,320 (64.3)</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0038BA62" w14:textId="574FF20A" w:rsidR="00633E6F" w:rsidRPr="00633E6F" w:rsidRDefault="00633E6F" w:rsidP="00633E6F">
            <w:pPr>
              <w:jc w:val="center"/>
              <w:rPr>
                <w:rFonts w:ascii="Times" w:hAnsi="Times" w:cs="Calibri"/>
                <w:color w:val="000000"/>
                <w:sz w:val="22"/>
                <w:szCs w:val="22"/>
                <w:vertAlign w:val="superscript"/>
              </w:rPr>
            </w:pPr>
            <w:r w:rsidRPr="00633E6F">
              <w:rPr>
                <w:rFonts w:ascii="Times" w:hAnsi="Times" w:cs="Calibri"/>
                <w:color w:val="000000"/>
                <w:sz w:val="22"/>
                <w:szCs w:val="22"/>
              </w:rPr>
              <w:t>43,708 (60.7)</w:t>
            </w:r>
          </w:p>
        </w:tc>
      </w:tr>
      <w:tr w:rsidR="00633E6F" w:rsidRPr="00633E6F" w14:paraId="04B8F83E" w14:textId="77777777" w:rsidTr="00633E6F">
        <w:trPr>
          <w:trHeight w:val="274"/>
        </w:trPr>
        <w:tc>
          <w:tcPr>
            <w:tcW w:w="4820" w:type="dxa"/>
            <w:tcBorders>
              <w:top w:val="single" w:sz="4" w:space="0" w:color="BFBFBF" w:themeColor="background1" w:themeShade="BF"/>
              <w:bottom w:val="single" w:sz="4" w:space="0" w:color="BFBFBF" w:themeColor="background1" w:themeShade="BF"/>
              <w:right w:val="nil"/>
            </w:tcBorders>
            <w:vAlign w:val="bottom"/>
          </w:tcPr>
          <w:p w14:paraId="596B481C" w14:textId="77777777" w:rsidR="00633E6F" w:rsidRPr="00633E6F" w:rsidRDefault="00633E6F" w:rsidP="00633E6F">
            <w:pPr>
              <w:rPr>
                <w:rFonts w:ascii="Times" w:hAnsi="Times"/>
                <w:sz w:val="22"/>
                <w:szCs w:val="22"/>
              </w:rPr>
            </w:pPr>
            <w:r w:rsidRPr="00633E6F">
              <w:rPr>
                <w:rFonts w:ascii="Times" w:hAnsi="Times" w:cs="Calibri"/>
                <w:color w:val="000000"/>
                <w:sz w:val="22"/>
                <w:szCs w:val="22"/>
              </w:rPr>
              <w:t xml:space="preserve">     Fentanyl</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03BA3BA8" w14:textId="31086910"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≤5</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1A8F5B93" w14:textId="401201DD" w:rsidR="00633E6F" w:rsidRPr="00633E6F" w:rsidRDefault="00633E6F" w:rsidP="00633E6F">
            <w:pPr>
              <w:jc w:val="center"/>
              <w:rPr>
                <w:rFonts w:ascii="Times" w:hAnsi="Times"/>
                <w:sz w:val="22"/>
                <w:szCs w:val="22"/>
              </w:rPr>
            </w:pPr>
            <w:r w:rsidRPr="00633E6F">
              <w:rPr>
                <w:rFonts w:ascii="Times" w:hAnsi="Times" w:cs="Calibri"/>
                <w:color w:val="000000"/>
                <w:sz w:val="22"/>
                <w:szCs w:val="22"/>
              </w:rPr>
              <w:t>516 (0)</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08B8CB15"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34538C58" w14:textId="362D5A43"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≤5</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043BC9CA" w14:textId="023640CD"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≤5</w:t>
            </w:r>
          </w:p>
        </w:tc>
      </w:tr>
      <w:tr w:rsidR="00633E6F" w:rsidRPr="00633E6F" w14:paraId="30835678" w14:textId="77777777" w:rsidTr="00633E6F">
        <w:trPr>
          <w:trHeight w:val="274"/>
        </w:trPr>
        <w:tc>
          <w:tcPr>
            <w:tcW w:w="4820" w:type="dxa"/>
            <w:tcBorders>
              <w:top w:val="single" w:sz="4" w:space="0" w:color="BFBFBF" w:themeColor="background1" w:themeShade="BF"/>
              <w:bottom w:val="single" w:sz="4" w:space="0" w:color="BFBFBF" w:themeColor="background1" w:themeShade="BF"/>
              <w:right w:val="nil"/>
            </w:tcBorders>
            <w:vAlign w:val="bottom"/>
          </w:tcPr>
          <w:p w14:paraId="47181C4B" w14:textId="77777777" w:rsidR="00633E6F" w:rsidRPr="00633E6F" w:rsidRDefault="00633E6F" w:rsidP="00633E6F">
            <w:pPr>
              <w:rPr>
                <w:rFonts w:ascii="Times" w:hAnsi="Times"/>
                <w:sz w:val="22"/>
                <w:szCs w:val="22"/>
              </w:rPr>
            </w:pPr>
            <w:r w:rsidRPr="00633E6F">
              <w:rPr>
                <w:rFonts w:ascii="Times" w:hAnsi="Times" w:cs="Calibri"/>
                <w:color w:val="000000"/>
                <w:sz w:val="22"/>
                <w:szCs w:val="22"/>
              </w:rPr>
              <w:t xml:space="preserve">     Hydromorphone</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030244D0" w14:textId="271B0B4A"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1,594 (7.7)</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091691B1" w14:textId="5C37F308" w:rsidR="00633E6F" w:rsidRPr="00633E6F" w:rsidRDefault="00633E6F" w:rsidP="00633E6F">
            <w:pPr>
              <w:jc w:val="center"/>
              <w:rPr>
                <w:rFonts w:ascii="Times" w:hAnsi="Times"/>
                <w:sz w:val="22"/>
                <w:szCs w:val="22"/>
              </w:rPr>
            </w:pPr>
            <w:r w:rsidRPr="00633E6F">
              <w:rPr>
                <w:rFonts w:ascii="Times" w:hAnsi="Times" w:cs="Calibri"/>
                <w:color w:val="000000"/>
                <w:sz w:val="22"/>
                <w:szCs w:val="22"/>
              </w:rPr>
              <w:t>313,666 (8.0)</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41DFFAA3"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489F06B0" w14:textId="776C0708"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1,371 (7.2)</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17D0636F" w14:textId="490D06D1"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4,824 (6.7)</w:t>
            </w:r>
          </w:p>
        </w:tc>
      </w:tr>
      <w:tr w:rsidR="00633E6F" w:rsidRPr="00633E6F" w14:paraId="67CEE073" w14:textId="77777777" w:rsidTr="00633E6F">
        <w:trPr>
          <w:trHeight w:val="274"/>
        </w:trPr>
        <w:tc>
          <w:tcPr>
            <w:tcW w:w="4820" w:type="dxa"/>
            <w:tcBorders>
              <w:top w:val="single" w:sz="4" w:space="0" w:color="BFBFBF" w:themeColor="background1" w:themeShade="BF"/>
              <w:bottom w:val="single" w:sz="4" w:space="0" w:color="BFBFBF" w:themeColor="background1" w:themeShade="BF"/>
              <w:right w:val="nil"/>
            </w:tcBorders>
            <w:vAlign w:val="bottom"/>
          </w:tcPr>
          <w:p w14:paraId="3998F576" w14:textId="77777777" w:rsidR="00633E6F" w:rsidRPr="00633E6F" w:rsidRDefault="00633E6F" w:rsidP="00633E6F">
            <w:pPr>
              <w:rPr>
                <w:rFonts w:ascii="Times" w:hAnsi="Times"/>
                <w:sz w:val="22"/>
                <w:szCs w:val="22"/>
              </w:rPr>
            </w:pPr>
            <w:r w:rsidRPr="00633E6F">
              <w:rPr>
                <w:rFonts w:ascii="Times" w:hAnsi="Times" w:cs="Calibri"/>
                <w:color w:val="000000"/>
                <w:sz w:val="22"/>
                <w:szCs w:val="22"/>
              </w:rPr>
              <w:t xml:space="preserve">     Meperidine</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3C0D8EBA" w14:textId="092CAEE1"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46 (0.2)</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6F294DC2" w14:textId="637254BA" w:rsidR="00633E6F" w:rsidRPr="00633E6F" w:rsidRDefault="00633E6F" w:rsidP="00633E6F">
            <w:pPr>
              <w:jc w:val="center"/>
              <w:rPr>
                <w:rFonts w:ascii="Times" w:hAnsi="Times"/>
                <w:sz w:val="22"/>
                <w:szCs w:val="22"/>
                <w:vertAlign w:val="superscript"/>
              </w:rPr>
            </w:pPr>
            <w:r w:rsidRPr="00633E6F">
              <w:rPr>
                <w:rFonts w:ascii="Times" w:hAnsi="Times" w:cs="Calibri"/>
                <w:color w:val="000000"/>
                <w:sz w:val="22"/>
                <w:szCs w:val="22"/>
              </w:rPr>
              <w:t>9,605 (0.2)</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1E9903AA"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6F2E51B8" w14:textId="78E6C0E7"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46 (0.2)</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5F01EC30" w14:textId="1285A20E"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216 (0.3)</w:t>
            </w:r>
          </w:p>
        </w:tc>
      </w:tr>
      <w:tr w:rsidR="00633E6F" w:rsidRPr="00633E6F" w14:paraId="347E2523" w14:textId="77777777" w:rsidTr="00633E6F">
        <w:trPr>
          <w:trHeight w:val="274"/>
        </w:trPr>
        <w:tc>
          <w:tcPr>
            <w:tcW w:w="4820" w:type="dxa"/>
            <w:tcBorders>
              <w:top w:val="single" w:sz="4" w:space="0" w:color="BFBFBF" w:themeColor="background1" w:themeShade="BF"/>
              <w:bottom w:val="single" w:sz="4" w:space="0" w:color="BFBFBF" w:themeColor="background1" w:themeShade="BF"/>
              <w:right w:val="nil"/>
            </w:tcBorders>
            <w:vAlign w:val="bottom"/>
          </w:tcPr>
          <w:p w14:paraId="06859504" w14:textId="77777777" w:rsidR="00633E6F" w:rsidRPr="00633E6F" w:rsidRDefault="00633E6F" w:rsidP="00633E6F">
            <w:pPr>
              <w:rPr>
                <w:rFonts w:ascii="Times" w:hAnsi="Times"/>
                <w:sz w:val="22"/>
                <w:szCs w:val="22"/>
              </w:rPr>
            </w:pPr>
            <w:r w:rsidRPr="00633E6F">
              <w:rPr>
                <w:rFonts w:ascii="Times" w:hAnsi="Times" w:cs="Calibri"/>
                <w:color w:val="000000"/>
                <w:sz w:val="22"/>
                <w:szCs w:val="22"/>
              </w:rPr>
              <w:t xml:space="preserve">     Methadone (for pain)</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4DB269E2" w14:textId="2DCF4F30"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0</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5094DC1E" w14:textId="5F16F29D" w:rsidR="00633E6F" w:rsidRPr="00633E6F" w:rsidRDefault="00633E6F" w:rsidP="00633E6F">
            <w:pPr>
              <w:jc w:val="center"/>
              <w:rPr>
                <w:rFonts w:ascii="Times" w:hAnsi="Times"/>
                <w:sz w:val="22"/>
                <w:szCs w:val="22"/>
                <w:vertAlign w:val="superscript"/>
              </w:rPr>
            </w:pPr>
            <w:r w:rsidRPr="00633E6F">
              <w:rPr>
                <w:rFonts w:ascii="Times" w:hAnsi="Times" w:cs="Calibri"/>
                <w:color w:val="000000"/>
                <w:sz w:val="22"/>
                <w:szCs w:val="22"/>
              </w:rPr>
              <w:t>≤5</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79CD3CA4"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519C664C" w14:textId="32456003"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0</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780D6239" w14:textId="3885D98E" w:rsidR="00633E6F" w:rsidRPr="00633E6F" w:rsidRDefault="00633E6F" w:rsidP="00633E6F">
            <w:pPr>
              <w:jc w:val="center"/>
              <w:rPr>
                <w:rFonts w:ascii="Times" w:hAnsi="Times" w:cs="Calibri"/>
                <w:color w:val="000000"/>
                <w:sz w:val="22"/>
                <w:szCs w:val="22"/>
                <w:vertAlign w:val="superscript"/>
              </w:rPr>
            </w:pPr>
            <w:r w:rsidRPr="00633E6F">
              <w:rPr>
                <w:rFonts w:ascii="Times" w:hAnsi="Times" w:cs="Calibri"/>
                <w:color w:val="000000"/>
                <w:sz w:val="22"/>
                <w:szCs w:val="22"/>
              </w:rPr>
              <w:t>0</w:t>
            </w:r>
          </w:p>
        </w:tc>
      </w:tr>
      <w:tr w:rsidR="00633E6F" w:rsidRPr="00633E6F" w14:paraId="3285A299" w14:textId="77777777" w:rsidTr="00633E6F">
        <w:trPr>
          <w:trHeight w:val="286"/>
        </w:trPr>
        <w:tc>
          <w:tcPr>
            <w:tcW w:w="4820" w:type="dxa"/>
            <w:tcBorders>
              <w:top w:val="single" w:sz="4" w:space="0" w:color="BFBFBF" w:themeColor="background1" w:themeShade="BF"/>
              <w:bottom w:val="single" w:sz="4" w:space="0" w:color="BFBFBF" w:themeColor="background1" w:themeShade="BF"/>
              <w:right w:val="nil"/>
            </w:tcBorders>
            <w:vAlign w:val="bottom"/>
          </w:tcPr>
          <w:p w14:paraId="66637014" w14:textId="77777777" w:rsidR="00633E6F" w:rsidRPr="00633E6F" w:rsidRDefault="00633E6F" w:rsidP="00633E6F">
            <w:pPr>
              <w:rPr>
                <w:rFonts w:ascii="Times" w:hAnsi="Times"/>
                <w:sz w:val="22"/>
                <w:szCs w:val="22"/>
              </w:rPr>
            </w:pPr>
            <w:r w:rsidRPr="00633E6F">
              <w:rPr>
                <w:rFonts w:ascii="Times" w:hAnsi="Times" w:cs="Calibri"/>
                <w:color w:val="000000"/>
                <w:sz w:val="22"/>
                <w:szCs w:val="22"/>
              </w:rPr>
              <w:t xml:space="preserve">     Morphine</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0FCF8A3B" w14:textId="069256B2"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760 (3.7)</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27F6C08B" w14:textId="2D62787C" w:rsidR="00633E6F" w:rsidRPr="00633E6F" w:rsidRDefault="00633E6F" w:rsidP="00633E6F">
            <w:pPr>
              <w:jc w:val="center"/>
              <w:rPr>
                <w:rFonts w:ascii="Times" w:hAnsi="Times"/>
                <w:sz w:val="22"/>
                <w:szCs w:val="22"/>
              </w:rPr>
            </w:pPr>
            <w:r w:rsidRPr="00633E6F">
              <w:rPr>
                <w:rFonts w:ascii="Times" w:hAnsi="Times" w:cs="Calibri"/>
                <w:color w:val="000000"/>
                <w:sz w:val="22"/>
                <w:szCs w:val="22"/>
              </w:rPr>
              <w:t>112,757 (2.9)</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4045566F"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3F11B42B" w14:textId="21AF9A05"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680 (3.6)</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2539B947" w14:textId="6F508C5F"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2,016 (2.8)</w:t>
            </w:r>
          </w:p>
        </w:tc>
      </w:tr>
      <w:tr w:rsidR="00633E6F" w:rsidRPr="00633E6F" w14:paraId="4B8BA54C" w14:textId="77777777" w:rsidTr="00633E6F">
        <w:trPr>
          <w:trHeight w:val="286"/>
        </w:trPr>
        <w:tc>
          <w:tcPr>
            <w:tcW w:w="4820" w:type="dxa"/>
            <w:tcBorders>
              <w:top w:val="single" w:sz="4" w:space="0" w:color="BFBFBF" w:themeColor="background1" w:themeShade="BF"/>
              <w:bottom w:val="single" w:sz="4" w:space="0" w:color="BFBFBF" w:themeColor="background1" w:themeShade="BF"/>
              <w:right w:val="nil"/>
            </w:tcBorders>
            <w:vAlign w:val="bottom"/>
          </w:tcPr>
          <w:p w14:paraId="4BBB9E33" w14:textId="77777777" w:rsidR="00633E6F" w:rsidRPr="00633E6F" w:rsidRDefault="00633E6F" w:rsidP="00633E6F">
            <w:pPr>
              <w:rPr>
                <w:rFonts w:ascii="Times" w:hAnsi="Times" w:cs="Calibri"/>
                <w:color w:val="000000"/>
                <w:sz w:val="22"/>
                <w:szCs w:val="22"/>
              </w:rPr>
            </w:pPr>
            <w:r w:rsidRPr="00633E6F">
              <w:rPr>
                <w:rFonts w:ascii="Times" w:hAnsi="Times" w:cs="Calibri"/>
                <w:color w:val="000000"/>
                <w:sz w:val="22"/>
                <w:szCs w:val="22"/>
              </w:rPr>
              <w:t xml:space="preserve">     Oxycodone</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77B0E377" w14:textId="79A2C8FE"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237 (1.1)</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58133D5F" w14:textId="753B6C3E"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80,473 (2.0)</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75264A23"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58F71EBE" w14:textId="4D2ADD48"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209 (1.1)</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1B634CF2" w14:textId="174F8A38"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1,080 (1.5)</w:t>
            </w:r>
          </w:p>
        </w:tc>
      </w:tr>
      <w:tr w:rsidR="00633E6F" w:rsidRPr="00633E6F" w14:paraId="6881913A" w14:textId="77777777" w:rsidTr="00633E6F">
        <w:trPr>
          <w:trHeight w:val="286"/>
        </w:trPr>
        <w:tc>
          <w:tcPr>
            <w:tcW w:w="4820" w:type="dxa"/>
            <w:tcBorders>
              <w:top w:val="single" w:sz="4" w:space="0" w:color="BFBFBF" w:themeColor="background1" w:themeShade="BF"/>
              <w:bottom w:val="single" w:sz="4" w:space="0" w:color="BFBFBF" w:themeColor="background1" w:themeShade="BF"/>
              <w:right w:val="nil"/>
            </w:tcBorders>
            <w:vAlign w:val="bottom"/>
          </w:tcPr>
          <w:p w14:paraId="47513617" w14:textId="77777777" w:rsidR="00633E6F" w:rsidRPr="00633E6F" w:rsidRDefault="00633E6F" w:rsidP="00633E6F">
            <w:pPr>
              <w:rPr>
                <w:rFonts w:ascii="Times" w:hAnsi="Times" w:cs="Calibri"/>
                <w:color w:val="000000"/>
                <w:sz w:val="22"/>
                <w:szCs w:val="22"/>
              </w:rPr>
            </w:pPr>
            <w:r w:rsidRPr="00633E6F">
              <w:rPr>
                <w:rFonts w:ascii="Times" w:hAnsi="Times" w:cs="Calibri"/>
                <w:color w:val="000000"/>
                <w:sz w:val="22"/>
                <w:szCs w:val="22"/>
              </w:rPr>
              <w:t xml:space="preserve">     Oxycodone Combination</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1194F643" w14:textId="3E766CC4"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3,211 (15.5)</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1AB81D04" w14:textId="4C890209"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723,388 (18.4)</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243DF088"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77414F38" w14:textId="10F69A8F"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2,958 (15.4)</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1F8911EE" w14:textId="4FA2E3CB"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13,177 (18.3)</w:t>
            </w:r>
          </w:p>
        </w:tc>
      </w:tr>
      <w:tr w:rsidR="00633E6F" w:rsidRPr="00633E6F" w14:paraId="5DDBCA86" w14:textId="77777777" w:rsidTr="00633E6F">
        <w:trPr>
          <w:trHeight w:val="286"/>
        </w:trPr>
        <w:tc>
          <w:tcPr>
            <w:tcW w:w="4820" w:type="dxa"/>
            <w:tcBorders>
              <w:top w:val="single" w:sz="4" w:space="0" w:color="BFBFBF" w:themeColor="background1" w:themeShade="BF"/>
              <w:bottom w:val="single" w:sz="4" w:space="0" w:color="BFBFBF" w:themeColor="background1" w:themeShade="BF"/>
              <w:right w:val="nil"/>
            </w:tcBorders>
            <w:vAlign w:val="bottom"/>
          </w:tcPr>
          <w:p w14:paraId="4DAD5FFF" w14:textId="77777777" w:rsidR="00633E6F" w:rsidRPr="00633E6F" w:rsidRDefault="00633E6F" w:rsidP="00633E6F">
            <w:pPr>
              <w:rPr>
                <w:rFonts w:ascii="Times" w:hAnsi="Times" w:cs="Calibri"/>
                <w:color w:val="000000"/>
                <w:sz w:val="22"/>
                <w:szCs w:val="22"/>
              </w:rPr>
            </w:pPr>
            <w:r w:rsidRPr="00633E6F">
              <w:rPr>
                <w:rFonts w:ascii="Times" w:hAnsi="Times" w:cs="Calibri"/>
                <w:color w:val="000000"/>
                <w:sz w:val="22"/>
                <w:szCs w:val="22"/>
              </w:rPr>
              <w:t xml:space="preserve">     Other Opioids</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0F489221" w14:textId="47EEF04D"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1,304 (6.3)</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6E1AC351" w14:textId="010920D2"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374,355 (9.5)</w:t>
            </w:r>
            <w:r w:rsidRPr="00633E6F">
              <w:rPr>
                <w:rFonts w:ascii="Times" w:hAnsi="Times" w:cs="Calibri"/>
                <w:color w:val="000000"/>
                <w:sz w:val="22"/>
                <w:szCs w:val="22"/>
                <w:vertAlign w:val="superscript"/>
              </w:rPr>
              <w:t xml:space="preserve"> 1</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13C3F7A2"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5FFFC968" w14:textId="0D3B2528"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1,213 (6.3)</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72DE8686" w14:textId="61272856"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6,193 (8.6)</w:t>
            </w:r>
          </w:p>
        </w:tc>
      </w:tr>
      <w:tr w:rsidR="00633E6F" w:rsidRPr="00633E6F" w14:paraId="646E8E41" w14:textId="77777777" w:rsidTr="00633E6F">
        <w:trPr>
          <w:trHeight w:val="286"/>
        </w:trPr>
        <w:tc>
          <w:tcPr>
            <w:tcW w:w="4820" w:type="dxa"/>
            <w:tcBorders>
              <w:top w:val="single" w:sz="4" w:space="0" w:color="BFBFBF" w:themeColor="background1" w:themeShade="BF"/>
              <w:bottom w:val="single" w:sz="4" w:space="0" w:color="BFBFBF" w:themeColor="background1" w:themeShade="BF"/>
              <w:right w:val="nil"/>
            </w:tcBorders>
            <w:vAlign w:val="bottom"/>
          </w:tcPr>
          <w:p w14:paraId="53F55CA8" w14:textId="77777777" w:rsidR="00633E6F" w:rsidRPr="00633E6F" w:rsidRDefault="00633E6F" w:rsidP="00633E6F">
            <w:pPr>
              <w:rPr>
                <w:rFonts w:ascii="Times" w:hAnsi="Times" w:cs="Calibri"/>
                <w:color w:val="000000"/>
                <w:sz w:val="22"/>
                <w:szCs w:val="22"/>
              </w:rPr>
            </w:pPr>
            <w:r w:rsidRPr="00633E6F">
              <w:rPr>
                <w:rFonts w:ascii="Times" w:hAnsi="Times" w:cs="Calibri"/>
                <w:color w:val="000000"/>
                <w:sz w:val="22"/>
                <w:szCs w:val="22"/>
              </w:rPr>
              <w:t>Long-Acting Opioid</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06F07B0B" w14:textId="73D261D9"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160 (0.8)</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52ACF896" w14:textId="5E629688"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35,074 (0.9)</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50C9770C"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5BE8D80E" w14:textId="4E8A1F1E"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53 (0.3)</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0EB582FB" w14:textId="49EF3B68"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216 (0.3)</w:t>
            </w:r>
          </w:p>
        </w:tc>
      </w:tr>
      <w:tr w:rsidR="00633E6F" w:rsidRPr="00633E6F" w14:paraId="13BEB167" w14:textId="77777777" w:rsidTr="00633E6F">
        <w:trPr>
          <w:trHeight w:val="286"/>
        </w:trPr>
        <w:tc>
          <w:tcPr>
            <w:tcW w:w="4820" w:type="dxa"/>
            <w:tcBorders>
              <w:top w:val="single" w:sz="4" w:space="0" w:color="BFBFBF" w:themeColor="background1" w:themeShade="BF"/>
              <w:bottom w:val="single" w:sz="4" w:space="0" w:color="BFBFBF" w:themeColor="background1" w:themeShade="BF"/>
              <w:right w:val="nil"/>
            </w:tcBorders>
            <w:vAlign w:val="bottom"/>
          </w:tcPr>
          <w:p w14:paraId="005440DD" w14:textId="77777777" w:rsidR="00633E6F" w:rsidRPr="00633E6F" w:rsidRDefault="00633E6F" w:rsidP="00633E6F">
            <w:pPr>
              <w:rPr>
                <w:rFonts w:ascii="Times" w:hAnsi="Times" w:cs="Calibri"/>
                <w:color w:val="000000"/>
                <w:sz w:val="22"/>
                <w:szCs w:val="22"/>
              </w:rPr>
            </w:pPr>
            <w:r w:rsidRPr="00633E6F">
              <w:rPr>
                <w:rFonts w:ascii="Times" w:hAnsi="Times" w:cs="Calibri"/>
                <w:color w:val="000000"/>
                <w:sz w:val="22"/>
                <w:szCs w:val="22"/>
              </w:rPr>
              <w:t>Daily Dose &gt; 50 MEQ</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3B490B51" w14:textId="33DC8E61"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3,131 (15.1)</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7C4402A2" w14:textId="000A503B"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654,164 (16.6)</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5825F1C4"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42B8E237" w14:textId="5E00E3CD"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2,790 (14.6)</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49CB350B" w14:textId="48A2288A"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9,937 (13.8)</w:t>
            </w:r>
          </w:p>
        </w:tc>
      </w:tr>
      <w:tr w:rsidR="00633E6F" w:rsidRPr="00633E6F" w14:paraId="27138335" w14:textId="77777777" w:rsidTr="00633E6F">
        <w:trPr>
          <w:trHeight w:val="286"/>
        </w:trPr>
        <w:tc>
          <w:tcPr>
            <w:tcW w:w="4820" w:type="dxa"/>
            <w:tcBorders>
              <w:top w:val="single" w:sz="4" w:space="0" w:color="BFBFBF" w:themeColor="background1" w:themeShade="BF"/>
              <w:bottom w:val="single" w:sz="4" w:space="0" w:color="BFBFBF" w:themeColor="background1" w:themeShade="BF"/>
              <w:right w:val="nil"/>
            </w:tcBorders>
            <w:vAlign w:val="bottom"/>
          </w:tcPr>
          <w:p w14:paraId="15A87E0F" w14:textId="77777777" w:rsidR="00633E6F" w:rsidRPr="00633E6F" w:rsidRDefault="00633E6F" w:rsidP="00633E6F">
            <w:pPr>
              <w:rPr>
                <w:rFonts w:ascii="Times" w:hAnsi="Times" w:cs="Calibri"/>
                <w:color w:val="000000"/>
                <w:sz w:val="22"/>
                <w:szCs w:val="22"/>
              </w:rPr>
            </w:pPr>
            <w:r w:rsidRPr="00633E6F">
              <w:rPr>
                <w:rFonts w:ascii="Times" w:hAnsi="Times" w:cs="Calibri"/>
                <w:color w:val="000000"/>
                <w:sz w:val="22"/>
                <w:szCs w:val="22"/>
              </w:rPr>
              <w:t>Days’ Supply &gt; 7 Days</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7BF8BD6B" w14:textId="7A5146AF"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3,184 (15.4)</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1087A603" w14:textId="0F66EEBB" w:rsidR="00633E6F" w:rsidRPr="00633E6F" w:rsidRDefault="00633E6F" w:rsidP="00633E6F">
            <w:pPr>
              <w:jc w:val="center"/>
              <w:rPr>
                <w:rFonts w:ascii="Times" w:hAnsi="Times" w:cs="Calibri"/>
                <w:color w:val="000000"/>
                <w:sz w:val="22"/>
                <w:szCs w:val="22"/>
                <w:vertAlign w:val="superscript"/>
              </w:rPr>
            </w:pPr>
            <w:r w:rsidRPr="00633E6F">
              <w:rPr>
                <w:rFonts w:ascii="Times" w:hAnsi="Times" w:cs="Calibri"/>
                <w:color w:val="000000"/>
                <w:sz w:val="22"/>
                <w:szCs w:val="22"/>
              </w:rPr>
              <w:t>796,832 (20.3)</w:t>
            </w:r>
            <w:r w:rsidRPr="00633E6F">
              <w:rPr>
                <w:rFonts w:ascii="Times" w:hAnsi="Times" w:cs="Calibri"/>
                <w:color w:val="000000"/>
                <w:sz w:val="22"/>
                <w:szCs w:val="22"/>
                <w:vertAlign w:val="superscript"/>
              </w:rPr>
              <w:t xml:space="preserve"> 1</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3EF8898C"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5FC18C22" w14:textId="07E48DE4"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2,871 (15.0)</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1F29F11C" w14:textId="11769ED2"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11,593 (16.1)</w:t>
            </w:r>
          </w:p>
        </w:tc>
      </w:tr>
      <w:tr w:rsidR="00633E6F" w:rsidRPr="00633E6F" w14:paraId="44721707" w14:textId="77777777" w:rsidTr="00633E6F">
        <w:trPr>
          <w:trHeight w:val="286"/>
        </w:trPr>
        <w:tc>
          <w:tcPr>
            <w:tcW w:w="4820" w:type="dxa"/>
            <w:tcBorders>
              <w:top w:val="single" w:sz="4" w:space="0" w:color="BFBFBF" w:themeColor="background1" w:themeShade="BF"/>
              <w:bottom w:val="single" w:sz="4" w:space="0" w:color="BFBFBF" w:themeColor="background1" w:themeShade="BF"/>
              <w:right w:val="nil"/>
            </w:tcBorders>
            <w:vAlign w:val="bottom"/>
          </w:tcPr>
          <w:p w14:paraId="329D5F66" w14:textId="77777777" w:rsidR="00633E6F" w:rsidRPr="00633E6F" w:rsidRDefault="00633E6F" w:rsidP="00633E6F">
            <w:pPr>
              <w:rPr>
                <w:rFonts w:ascii="Times" w:hAnsi="Times" w:cs="Calibri"/>
                <w:color w:val="000000"/>
                <w:sz w:val="22"/>
                <w:szCs w:val="22"/>
              </w:rPr>
            </w:pPr>
            <w:r w:rsidRPr="00633E6F">
              <w:rPr>
                <w:rFonts w:ascii="Times" w:hAnsi="Times" w:cs="Calibri"/>
                <w:color w:val="000000"/>
                <w:sz w:val="22"/>
                <w:szCs w:val="22"/>
              </w:rPr>
              <w:t>Concurrent Benzodiazepine Prescription</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5A61890C" w14:textId="2C0FBEE1"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3,166 (15.3)</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6AD365A7" w14:textId="5AA3C390" w:rsidR="00633E6F" w:rsidRPr="00633E6F" w:rsidRDefault="00633E6F" w:rsidP="00633E6F">
            <w:pPr>
              <w:jc w:val="center"/>
              <w:rPr>
                <w:rFonts w:ascii="Times" w:hAnsi="Times" w:cs="Calibri"/>
                <w:color w:val="000000"/>
                <w:sz w:val="22"/>
                <w:szCs w:val="22"/>
                <w:vertAlign w:val="superscript"/>
              </w:rPr>
            </w:pPr>
            <w:r w:rsidRPr="00633E6F">
              <w:rPr>
                <w:rFonts w:ascii="Times" w:hAnsi="Times" w:cs="Calibri"/>
                <w:color w:val="000000"/>
                <w:sz w:val="22"/>
                <w:szCs w:val="22"/>
              </w:rPr>
              <w:t>204,046 (5.2)</w:t>
            </w:r>
            <w:r w:rsidRPr="00633E6F">
              <w:rPr>
                <w:rFonts w:ascii="Times" w:hAnsi="Times" w:cs="Calibri"/>
                <w:color w:val="000000"/>
                <w:sz w:val="22"/>
                <w:szCs w:val="22"/>
                <w:vertAlign w:val="superscript"/>
              </w:rPr>
              <w:t xml:space="preserve"> 1</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4AEF9EC5"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65AAC301" w14:textId="36343D49"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2,443 (12.8)</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6307FC97" w14:textId="1D4F2787" w:rsidR="00633E6F" w:rsidRPr="00633E6F" w:rsidRDefault="00633E6F" w:rsidP="00633E6F">
            <w:pPr>
              <w:jc w:val="center"/>
              <w:rPr>
                <w:rFonts w:ascii="Times" w:hAnsi="Times" w:cs="Calibri"/>
                <w:color w:val="000000"/>
                <w:sz w:val="22"/>
                <w:szCs w:val="22"/>
                <w:vertAlign w:val="superscript"/>
              </w:rPr>
            </w:pPr>
            <w:r w:rsidRPr="00633E6F">
              <w:rPr>
                <w:rFonts w:ascii="Times" w:hAnsi="Times" w:cs="Calibri"/>
                <w:color w:val="000000"/>
                <w:sz w:val="22"/>
                <w:szCs w:val="22"/>
              </w:rPr>
              <w:t>7,129 (9.9)</w:t>
            </w:r>
          </w:p>
        </w:tc>
      </w:tr>
      <w:tr w:rsidR="00633E6F" w:rsidRPr="00633E6F" w14:paraId="5BFB5322" w14:textId="77777777" w:rsidTr="00633E6F">
        <w:trPr>
          <w:trHeight w:val="286"/>
        </w:trPr>
        <w:tc>
          <w:tcPr>
            <w:tcW w:w="4820" w:type="dxa"/>
            <w:tcBorders>
              <w:top w:val="single" w:sz="4" w:space="0" w:color="BFBFBF" w:themeColor="background1" w:themeShade="BF"/>
              <w:bottom w:val="single" w:sz="4" w:space="0" w:color="BFBFBF" w:themeColor="background1" w:themeShade="BF"/>
              <w:right w:val="nil"/>
            </w:tcBorders>
            <w:vAlign w:val="bottom"/>
          </w:tcPr>
          <w:p w14:paraId="67EA5024" w14:textId="77777777" w:rsidR="00633E6F" w:rsidRPr="00633E6F" w:rsidRDefault="00633E6F" w:rsidP="00633E6F">
            <w:pPr>
              <w:rPr>
                <w:rFonts w:ascii="Times" w:hAnsi="Times" w:cs="Calibri"/>
                <w:color w:val="000000"/>
                <w:sz w:val="22"/>
                <w:szCs w:val="22"/>
              </w:rPr>
            </w:pPr>
            <w:r w:rsidRPr="00633E6F">
              <w:rPr>
                <w:rFonts w:ascii="Times" w:hAnsi="Times" w:cs="Calibri"/>
                <w:color w:val="000000"/>
                <w:sz w:val="22"/>
                <w:szCs w:val="22"/>
              </w:rPr>
              <w:t>Concurrent Stimulant Prescription</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231164CC" w14:textId="224E3103"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899 (4.3)</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6D54B947" w14:textId="1FDBDCC6" w:rsidR="00633E6F" w:rsidRPr="00633E6F" w:rsidRDefault="00633E6F" w:rsidP="00633E6F">
            <w:pPr>
              <w:jc w:val="center"/>
              <w:rPr>
                <w:rFonts w:ascii="Times" w:hAnsi="Times" w:cs="Calibri"/>
                <w:color w:val="000000"/>
                <w:sz w:val="22"/>
                <w:szCs w:val="22"/>
                <w:vertAlign w:val="superscript"/>
              </w:rPr>
            </w:pPr>
            <w:r w:rsidRPr="00633E6F">
              <w:rPr>
                <w:rFonts w:ascii="Times" w:hAnsi="Times" w:cs="Calibri"/>
                <w:color w:val="000000"/>
                <w:sz w:val="22"/>
                <w:szCs w:val="22"/>
              </w:rPr>
              <w:t>20,358 (0.5)</w:t>
            </w:r>
            <w:r w:rsidRPr="00633E6F">
              <w:rPr>
                <w:rFonts w:ascii="Times" w:hAnsi="Times" w:cs="Calibri"/>
                <w:color w:val="000000"/>
                <w:sz w:val="22"/>
                <w:szCs w:val="22"/>
                <w:vertAlign w:val="superscript"/>
              </w:rPr>
              <w:t xml:space="preserve"> 1</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6654CA75"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5DE7D979" w14:textId="683BB3E1"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762 (4.0)</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228ED12C" w14:textId="5E68E292"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2,304 (3.2)</w:t>
            </w:r>
          </w:p>
        </w:tc>
      </w:tr>
      <w:tr w:rsidR="002D4386" w:rsidRPr="00633E6F" w14:paraId="4EB84099" w14:textId="77777777" w:rsidTr="0061100A">
        <w:trPr>
          <w:gridAfter w:val="3"/>
          <w:wAfter w:w="1983" w:type="dxa"/>
          <w:trHeight w:val="274"/>
        </w:trPr>
        <w:tc>
          <w:tcPr>
            <w:tcW w:w="10884" w:type="dxa"/>
            <w:gridSpan w:val="6"/>
            <w:tcBorders>
              <w:top w:val="single" w:sz="4" w:space="0" w:color="BFBFBF" w:themeColor="background1" w:themeShade="BF"/>
              <w:bottom w:val="single" w:sz="4" w:space="0" w:color="000000" w:themeColor="text1"/>
            </w:tcBorders>
            <w:vAlign w:val="center"/>
          </w:tcPr>
          <w:p w14:paraId="53B12A80" w14:textId="77777777" w:rsidR="002D4386" w:rsidRPr="00633E6F" w:rsidRDefault="002D4386" w:rsidP="002D4386">
            <w:pPr>
              <w:rPr>
                <w:rFonts w:ascii="Times" w:hAnsi="Times" w:cs="Calibri"/>
                <w:b/>
                <w:bCs/>
                <w:color w:val="000000"/>
                <w:sz w:val="22"/>
                <w:szCs w:val="22"/>
              </w:rPr>
            </w:pPr>
            <w:r w:rsidRPr="00633E6F">
              <w:rPr>
                <w:rFonts w:ascii="Times" w:hAnsi="Times" w:cs="Calibri"/>
                <w:b/>
                <w:bCs/>
                <w:color w:val="000000"/>
                <w:sz w:val="22"/>
                <w:szCs w:val="22"/>
              </w:rPr>
              <w:t>Observation Window Medication Characteristics, No (%)</w:t>
            </w:r>
          </w:p>
        </w:tc>
      </w:tr>
      <w:tr w:rsidR="00633E6F" w:rsidRPr="00633E6F" w14:paraId="2A894F9E" w14:textId="77777777" w:rsidTr="00633E6F">
        <w:trPr>
          <w:trHeight w:val="274"/>
        </w:trPr>
        <w:tc>
          <w:tcPr>
            <w:tcW w:w="4820" w:type="dxa"/>
            <w:tcBorders>
              <w:top w:val="single" w:sz="4" w:space="0" w:color="000000" w:themeColor="text1"/>
              <w:bottom w:val="single" w:sz="4" w:space="0" w:color="BFBFBF" w:themeColor="background1" w:themeShade="BF"/>
              <w:right w:val="nil"/>
            </w:tcBorders>
            <w:vAlign w:val="bottom"/>
          </w:tcPr>
          <w:p w14:paraId="0D930E18" w14:textId="77777777" w:rsidR="00633E6F" w:rsidRPr="00633E6F" w:rsidRDefault="00633E6F" w:rsidP="00633E6F">
            <w:pPr>
              <w:rPr>
                <w:rFonts w:ascii="Times" w:hAnsi="Times"/>
                <w:sz w:val="22"/>
                <w:szCs w:val="22"/>
              </w:rPr>
            </w:pPr>
            <w:r w:rsidRPr="00633E6F">
              <w:rPr>
                <w:rFonts w:ascii="Times" w:hAnsi="Times" w:cs="Calibri"/>
                <w:color w:val="000000"/>
                <w:sz w:val="22"/>
                <w:szCs w:val="22"/>
              </w:rPr>
              <w:t>Additional Opioid Prescription Dispensed</w:t>
            </w:r>
          </w:p>
        </w:tc>
        <w:tc>
          <w:tcPr>
            <w:tcW w:w="1843" w:type="dxa"/>
            <w:tcBorders>
              <w:top w:val="single" w:sz="4" w:space="0" w:color="000000" w:themeColor="text1"/>
              <w:left w:val="nil"/>
              <w:bottom w:val="single" w:sz="4" w:space="0" w:color="BFBFBF" w:themeColor="background1" w:themeShade="BF"/>
              <w:right w:val="nil"/>
            </w:tcBorders>
            <w:vAlign w:val="bottom"/>
          </w:tcPr>
          <w:p w14:paraId="5D906065" w14:textId="31A47A93"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6,043 (29.2)</w:t>
            </w:r>
          </w:p>
        </w:tc>
        <w:tc>
          <w:tcPr>
            <w:tcW w:w="2000" w:type="dxa"/>
            <w:tcBorders>
              <w:top w:val="single" w:sz="4" w:space="0" w:color="000000" w:themeColor="text1"/>
              <w:left w:val="nil"/>
              <w:bottom w:val="single" w:sz="4" w:space="0" w:color="BFBFBF" w:themeColor="background1" w:themeShade="BF"/>
              <w:right w:val="nil"/>
            </w:tcBorders>
            <w:vAlign w:val="bottom"/>
          </w:tcPr>
          <w:p w14:paraId="06CEECF2" w14:textId="12ED5CBB" w:rsidR="00633E6F" w:rsidRPr="00633E6F" w:rsidRDefault="00633E6F" w:rsidP="00633E6F">
            <w:pPr>
              <w:jc w:val="center"/>
              <w:rPr>
                <w:rFonts w:ascii="Times" w:hAnsi="Times"/>
                <w:sz w:val="22"/>
                <w:szCs w:val="22"/>
                <w:vertAlign w:val="superscript"/>
              </w:rPr>
            </w:pPr>
            <w:r w:rsidRPr="00633E6F">
              <w:rPr>
                <w:rFonts w:ascii="Times" w:hAnsi="Times" w:cs="Calibri"/>
                <w:color w:val="000000"/>
                <w:sz w:val="22"/>
                <w:szCs w:val="22"/>
              </w:rPr>
              <w:t>1,264,823 (32.2)</w:t>
            </w:r>
          </w:p>
        </w:tc>
        <w:tc>
          <w:tcPr>
            <w:tcW w:w="407" w:type="dxa"/>
            <w:tcBorders>
              <w:top w:val="single" w:sz="4" w:space="0" w:color="000000" w:themeColor="text1"/>
              <w:left w:val="nil"/>
              <w:bottom w:val="single" w:sz="4" w:space="0" w:color="BFBFBF" w:themeColor="background1" w:themeShade="BF"/>
              <w:right w:val="nil"/>
            </w:tcBorders>
            <w:vAlign w:val="center"/>
          </w:tcPr>
          <w:p w14:paraId="4B64A2C1" w14:textId="77777777" w:rsidR="00633E6F" w:rsidRPr="00633E6F" w:rsidRDefault="00633E6F" w:rsidP="00633E6F">
            <w:pPr>
              <w:jc w:val="center"/>
              <w:rPr>
                <w:rFonts w:ascii="Times" w:hAnsi="Times"/>
                <w:sz w:val="22"/>
                <w:szCs w:val="22"/>
              </w:rPr>
            </w:pPr>
          </w:p>
        </w:tc>
        <w:tc>
          <w:tcPr>
            <w:tcW w:w="1897" w:type="dxa"/>
            <w:gridSpan w:val="3"/>
            <w:tcBorders>
              <w:top w:val="single" w:sz="4" w:space="0" w:color="000000" w:themeColor="text1"/>
              <w:left w:val="nil"/>
              <w:bottom w:val="single" w:sz="4" w:space="0" w:color="BFBFBF" w:themeColor="background1" w:themeShade="BF"/>
              <w:right w:val="nil"/>
            </w:tcBorders>
            <w:vAlign w:val="bottom"/>
          </w:tcPr>
          <w:p w14:paraId="6EC4B1B5" w14:textId="418A9C2D"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5,501 (28.7)</w:t>
            </w:r>
          </w:p>
        </w:tc>
        <w:tc>
          <w:tcPr>
            <w:tcW w:w="1900" w:type="dxa"/>
            <w:gridSpan w:val="2"/>
            <w:tcBorders>
              <w:top w:val="single" w:sz="4" w:space="0" w:color="000000" w:themeColor="text1"/>
              <w:left w:val="nil"/>
              <w:bottom w:val="single" w:sz="4" w:space="0" w:color="BFBFBF" w:themeColor="background1" w:themeShade="BF"/>
            </w:tcBorders>
            <w:vAlign w:val="bottom"/>
          </w:tcPr>
          <w:p w14:paraId="0AE266AA" w14:textId="09583063"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21,890 (30.4)</w:t>
            </w:r>
          </w:p>
        </w:tc>
      </w:tr>
      <w:tr w:rsidR="00633E6F" w:rsidRPr="00633E6F" w14:paraId="31C21FC8" w14:textId="77777777" w:rsidTr="00633E6F">
        <w:trPr>
          <w:trHeight w:val="274"/>
        </w:trPr>
        <w:tc>
          <w:tcPr>
            <w:tcW w:w="4820" w:type="dxa"/>
            <w:tcBorders>
              <w:top w:val="single" w:sz="4" w:space="0" w:color="BFBFBF" w:themeColor="background1" w:themeShade="BF"/>
              <w:bottom w:val="single" w:sz="4" w:space="0" w:color="BFBFBF" w:themeColor="background1" w:themeShade="BF"/>
              <w:right w:val="nil"/>
            </w:tcBorders>
            <w:vAlign w:val="bottom"/>
          </w:tcPr>
          <w:p w14:paraId="70C01B4A" w14:textId="77777777" w:rsidR="00633E6F" w:rsidRPr="00633E6F" w:rsidRDefault="00633E6F" w:rsidP="00633E6F">
            <w:pPr>
              <w:rPr>
                <w:rFonts w:ascii="Times" w:hAnsi="Times"/>
                <w:sz w:val="22"/>
                <w:szCs w:val="22"/>
              </w:rPr>
            </w:pPr>
            <w:r w:rsidRPr="00633E6F">
              <w:rPr>
                <w:rFonts w:ascii="Times" w:hAnsi="Times" w:cs="Calibri"/>
                <w:color w:val="000000"/>
                <w:sz w:val="22"/>
                <w:szCs w:val="22"/>
              </w:rPr>
              <w:t xml:space="preserve">     Long-Acting Opioid during observation window</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14E3DD3F" w14:textId="453355F3"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388 (1.9)</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04AB7B01" w14:textId="725CFEB9" w:rsidR="00633E6F" w:rsidRPr="00633E6F" w:rsidRDefault="00633E6F" w:rsidP="00633E6F">
            <w:pPr>
              <w:jc w:val="center"/>
              <w:rPr>
                <w:rFonts w:ascii="Times" w:hAnsi="Times"/>
                <w:sz w:val="22"/>
                <w:szCs w:val="22"/>
              </w:rPr>
            </w:pPr>
            <w:r w:rsidRPr="00633E6F">
              <w:rPr>
                <w:rFonts w:ascii="Times" w:hAnsi="Times" w:cs="Calibri"/>
                <w:color w:val="000000"/>
                <w:sz w:val="22"/>
                <w:szCs w:val="22"/>
              </w:rPr>
              <w:t>93,112 (2.4)</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419A82EB"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5F9D5BFE" w14:textId="4E781AD3"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308 (1.6)</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32DF0B52" w14:textId="3F8A8CFC"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1,152(1.6)</w:t>
            </w:r>
          </w:p>
        </w:tc>
      </w:tr>
      <w:tr w:rsidR="00633E6F" w:rsidRPr="00633E6F" w14:paraId="5359DFE7" w14:textId="77777777" w:rsidTr="00633E6F">
        <w:trPr>
          <w:trHeight w:val="274"/>
        </w:trPr>
        <w:tc>
          <w:tcPr>
            <w:tcW w:w="4820" w:type="dxa"/>
            <w:tcBorders>
              <w:top w:val="single" w:sz="4" w:space="0" w:color="BFBFBF" w:themeColor="background1" w:themeShade="BF"/>
              <w:bottom w:val="single" w:sz="4" w:space="0" w:color="BFBFBF" w:themeColor="background1" w:themeShade="BF"/>
              <w:right w:val="nil"/>
            </w:tcBorders>
            <w:vAlign w:val="bottom"/>
          </w:tcPr>
          <w:p w14:paraId="7F4A1112" w14:textId="77777777" w:rsidR="00633E6F" w:rsidRPr="00633E6F" w:rsidRDefault="00633E6F" w:rsidP="00633E6F">
            <w:pPr>
              <w:rPr>
                <w:rFonts w:ascii="Times" w:hAnsi="Times"/>
                <w:sz w:val="22"/>
                <w:szCs w:val="22"/>
              </w:rPr>
            </w:pPr>
            <w:r w:rsidRPr="00633E6F">
              <w:rPr>
                <w:rFonts w:ascii="Times" w:hAnsi="Times" w:cs="Calibri"/>
                <w:color w:val="000000"/>
                <w:sz w:val="22"/>
                <w:szCs w:val="22"/>
              </w:rPr>
              <w:t xml:space="preserve">     Number of additional opioid prescriptions, mean ± SD</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577DE270" w14:textId="76BF49B8"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1.2 ± 5.7</w:t>
            </w:r>
          </w:p>
        </w:tc>
        <w:tc>
          <w:tcPr>
            <w:tcW w:w="2000" w:type="dxa"/>
            <w:tcBorders>
              <w:top w:val="single" w:sz="4" w:space="0" w:color="BFBFBF" w:themeColor="background1" w:themeShade="BF"/>
              <w:left w:val="nil"/>
              <w:bottom w:val="single" w:sz="4" w:space="0" w:color="BFBFBF" w:themeColor="background1" w:themeShade="BF"/>
              <w:right w:val="nil"/>
            </w:tcBorders>
            <w:vAlign w:val="bottom"/>
          </w:tcPr>
          <w:p w14:paraId="1364C91E" w14:textId="6988638E" w:rsidR="00633E6F" w:rsidRPr="00633E6F" w:rsidRDefault="00633E6F" w:rsidP="00633E6F">
            <w:pPr>
              <w:jc w:val="center"/>
              <w:rPr>
                <w:rFonts w:ascii="Times" w:hAnsi="Times"/>
                <w:sz w:val="22"/>
                <w:szCs w:val="22"/>
                <w:vertAlign w:val="superscript"/>
              </w:rPr>
            </w:pPr>
            <w:r w:rsidRPr="00633E6F">
              <w:rPr>
                <w:rFonts w:ascii="Times" w:hAnsi="Times" w:cs="Calibri"/>
                <w:color w:val="000000"/>
                <w:sz w:val="22"/>
                <w:szCs w:val="22"/>
              </w:rPr>
              <w:t>0.9 ± 3.1</w:t>
            </w:r>
          </w:p>
        </w:tc>
        <w:tc>
          <w:tcPr>
            <w:tcW w:w="407" w:type="dxa"/>
            <w:tcBorders>
              <w:top w:val="single" w:sz="4" w:space="0" w:color="BFBFBF" w:themeColor="background1" w:themeShade="BF"/>
              <w:left w:val="nil"/>
              <w:bottom w:val="single" w:sz="4" w:space="0" w:color="BFBFBF" w:themeColor="background1" w:themeShade="BF"/>
              <w:right w:val="nil"/>
            </w:tcBorders>
            <w:vAlign w:val="center"/>
          </w:tcPr>
          <w:p w14:paraId="1C8442FE" w14:textId="77777777" w:rsidR="00633E6F" w:rsidRPr="00633E6F" w:rsidRDefault="00633E6F" w:rsidP="00633E6F">
            <w:pPr>
              <w:jc w:val="center"/>
              <w:rPr>
                <w:rFonts w:ascii="Times" w:hAnsi="Times"/>
                <w:sz w:val="22"/>
                <w:szCs w:val="22"/>
              </w:rPr>
            </w:pPr>
          </w:p>
        </w:tc>
        <w:tc>
          <w:tcPr>
            <w:tcW w:w="1897" w:type="dxa"/>
            <w:gridSpan w:val="3"/>
            <w:tcBorders>
              <w:top w:val="single" w:sz="4" w:space="0" w:color="BFBFBF" w:themeColor="background1" w:themeShade="BF"/>
              <w:left w:val="nil"/>
              <w:bottom w:val="single" w:sz="4" w:space="0" w:color="BFBFBF" w:themeColor="background1" w:themeShade="BF"/>
              <w:right w:val="nil"/>
            </w:tcBorders>
            <w:vAlign w:val="bottom"/>
          </w:tcPr>
          <w:p w14:paraId="190ABB81" w14:textId="1E4A3B29"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1.1 ± 4.5</w:t>
            </w:r>
          </w:p>
        </w:tc>
        <w:tc>
          <w:tcPr>
            <w:tcW w:w="1900" w:type="dxa"/>
            <w:gridSpan w:val="2"/>
            <w:tcBorders>
              <w:top w:val="single" w:sz="4" w:space="0" w:color="BFBFBF" w:themeColor="background1" w:themeShade="BF"/>
              <w:left w:val="nil"/>
              <w:bottom w:val="single" w:sz="4" w:space="0" w:color="BFBFBF" w:themeColor="background1" w:themeShade="BF"/>
            </w:tcBorders>
            <w:vAlign w:val="bottom"/>
          </w:tcPr>
          <w:p w14:paraId="4BC8044D" w14:textId="59CF02AE"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0.9 ± 3.4</w:t>
            </w:r>
          </w:p>
        </w:tc>
      </w:tr>
      <w:tr w:rsidR="00633E6F" w:rsidRPr="00633E6F" w14:paraId="4C85138A" w14:textId="77777777" w:rsidTr="00633E6F">
        <w:trPr>
          <w:trHeight w:val="274"/>
        </w:trPr>
        <w:tc>
          <w:tcPr>
            <w:tcW w:w="4820" w:type="dxa"/>
            <w:tcBorders>
              <w:top w:val="single" w:sz="4" w:space="0" w:color="BFBFBF" w:themeColor="background1" w:themeShade="BF"/>
              <w:bottom w:val="single" w:sz="12" w:space="0" w:color="000000" w:themeColor="text1"/>
              <w:right w:val="nil"/>
            </w:tcBorders>
            <w:vAlign w:val="bottom"/>
          </w:tcPr>
          <w:p w14:paraId="39EF8A45" w14:textId="77777777" w:rsidR="00633E6F" w:rsidRPr="00633E6F" w:rsidRDefault="00633E6F" w:rsidP="00633E6F">
            <w:pPr>
              <w:rPr>
                <w:rFonts w:ascii="Times" w:hAnsi="Times" w:cs="Calibri"/>
                <w:color w:val="000000"/>
                <w:sz w:val="22"/>
                <w:szCs w:val="22"/>
              </w:rPr>
            </w:pPr>
            <w:r w:rsidRPr="00633E6F">
              <w:rPr>
                <w:rFonts w:ascii="Times" w:hAnsi="Times" w:cs="Calibri"/>
                <w:color w:val="000000"/>
                <w:sz w:val="22"/>
                <w:szCs w:val="22"/>
              </w:rPr>
              <w:t>Opioid Discontinuation</w:t>
            </w:r>
          </w:p>
        </w:tc>
        <w:tc>
          <w:tcPr>
            <w:tcW w:w="1843" w:type="dxa"/>
            <w:tcBorders>
              <w:top w:val="single" w:sz="4" w:space="0" w:color="BFBFBF" w:themeColor="background1" w:themeShade="BF"/>
              <w:left w:val="nil"/>
              <w:bottom w:val="single" w:sz="12" w:space="0" w:color="000000" w:themeColor="text1"/>
              <w:right w:val="nil"/>
            </w:tcBorders>
            <w:vAlign w:val="bottom"/>
          </w:tcPr>
          <w:p w14:paraId="35983B61" w14:textId="738CE8A2"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20,462 (98.9)</w:t>
            </w:r>
          </w:p>
        </w:tc>
        <w:tc>
          <w:tcPr>
            <w:tcW w:w="2000" w:type="dxa"/>
            <w:tcBorders>
              <w:top w:val="single" w:sz="4" w:space="0" w:color="BFBFBF" w:themeColor="background1" w:themeShade="BF"/>
              <w:left w:val="nil"/>
              <w:bottom w:val="single" w:sz="12" w:space="0" w:color="000000" w:themeColor="text1"/>
              <w:right w:val="nil"/>
            </w:tcBorders>
            <w:vAlign w:val="bottom"/>
          </w:tcPr>
          <w:p w14:paraId="2C2AC890" w14:textId="5A24B136" w:rsidR="00633E6F" w:rsidRPr="00633E6F" w:rsidRDefault="00633E6F" w:rsidP="00633E6F">
            <w:pPr>
              <w:jc w:val="center"/>
              <w:rPr>
                <w:rFonts w:ascii="Times" w:hAnsi="Times" w:cs="Calibri"/>
                <w:color w:val="000000"/>
                <w:sz w:val="22"/>
                <w:szCs w:val="22"/>
                <w:vertAlign w:val="superscript"/>
              </w:rPr>
            </w:pPr>
            <w:r w:rsidRPr="00633E6F">
              <w:rPr>
                <w:rFonts w:ascii="Times" w:hAnsi="Times" w:cs="Calibri"/>
                <w:color w:val="000000"/>
                <w:sz w:val="22"/>
                <w:szCs w:val="22"/>
              </w:rPr>
              <w:t>3,901,431 (99.2)</w:t>
            </w:r>
          </w:p>
        </w:tc>
        <w:tc>
          <w:tcPr>
            <w:tcW w:w="407" w:type="dxa"/>
            <w:tcBorders>
              <w:top w:val="single" w:sz="4" w:space="0" w:color="BFBFBF" w:themeColor="background1" w:themeShade="BF"/>
              <w:left w:val="nil"/>
              <w:bottom w:val="single" w:sz="12" w:space="0" w:color="000000" w:themeColor="text1"/>
              <w:right w:val="nil"/>
            </w:tcBorders>
            <w:vAlign w:val="center"/>
          </w:tcPr>
          <w:p w14:paraId="005D0B5E" w14:textId="77777777" w:rsidR="00633E6F" w:rsidRPr="00633E6F" w:rsidRDefault="00633E6F" w:rsidP="00633E6F">
            <w:pPr>
              <w:jc w:val="center"/>
              <w:rPr>
                <w:rFonts w:ascii="Times" w:hAnsi="Times" w:cs="Calibri"/>
                <w:color w:val="000000"/>
                <w:sz w:val="22"/>
                <w:szCs w:val="22"/>
              </w:rPr>
            </w:pPr>
          </w:p>
        </w:tc>
        <w:tc>
          <w:tcPr>
            <w:tcW w:w="1897" w:type="dxa"/>
            <w:gridSpan w:val="3"/>
            <w:tcBorders>
              <w:top w:val="single" w:sz="4" w:space="0" w:color="BFBFBF" w:themeColor="background1" w:themeShade="BF"/>
              <w:left w:val="nil"/>
              <w:bottom w:val="single" w:sz="12" w:space="0" w:color="000000" w:themeColor="text1"/>
              <w:right w:val="nil"/>
            </w:tcBorders>
            <w:vAlign w:val="bottom"/>
          </w:tcPr>
          <w:p w14:paraId="0C89BA77" w14:textId="17185BBD"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18,975 (99.1)</w:t>
            </w:r>
          </w:p>
        </w:tc>
        <w:tc>
          <w:tcPr>
            <w:tcW w:w="1900" w:type="dxa"/>
            <w:gridSpan w:val="2"/>
            <w:tcBorders>
              <w:top w:val="single" w:sz="4" w:space="0" w:color="BFBFBF" w:themeColor="background1" w:themeShade="BF"/>
              <w:left w:val="nil"/>
              <w:bottom w:val="single" w:sz="12" w:space="0" w:color="000000" w:themeColor="text1"/>
            </w:tcBorders>
            <w:vAlign w:val="bottom"/>
          </w:tcPr>
          <w:p w14:paraId="1AC32C3E" w14:textId="15FD056B" w:rsidR="00633E6F" w:rsidRPr="00633E6F" w:rsidRDefault="00633E6F" w:rsidP="00633E6F">
            <w:pPr>
              <w:jc w:val="center"/>
              <w:rPr>
                <w:rFonts w:ascii="Times" w:hAnsi="Times" w:cs="Calibri"/>
                <w:color w:val="000000"/>
                <w:sz w:val="22"/>
                <w:szCs w:val="22"/>
              </w:rPr>
            </w:pPr>
            <w:r w:rsidRPr="00633E6F">
              <w:rPr>
                <w:rFonts w:ascii="Times" w:hAnsi="Times" w:cs="Calibri"/>
                <w:color w:val="000000"/>
                <w:sz w:val="22"/>
                <w:szCs w:val="22"/>
              </w:rPr>
              <w:t>71,575 (99.4)</w:t>
            </w:r>
          </w:p>
        </w:tc>
      </w:tr>
    </w:tbl>
    <w:p w14:paraId="284B7B99" w14:textId="77777777" w:rsidR="002D4386" w:rsidRDefault="002D4386" w:rsidP="002D4386">
      <w:pPr>
        <w:tabs>
          <w:tab w:val="left" w:pos="567"/>
        </w:tabs>
        <w:contextualSpacing/>
        <w:rPr>
          <w:rFonts w:ascii="Times" w:hAnsi="Times"/>
          <w:i/>
          <w:iCs/>
          <w:sz w:val="18"/>
          <w:szCs w:val="18"/>
        </w:rPr>
      </w:pPr>
      <w:r>
        <w:rPr>
          <w:rFonts w:ascii="Times" w:hAnsi="Times"/>
          <w:i/>
          <w:iCs/>
          <w:sz w:val="18"/>
          <w:szCs w:val="18"/>
          <w:vertAlign w:val="superscript"/>
        </w:rPr>
        <w:t>1</w:t>
      </w:r>
      <w:r w:rsidRPr="001C4F40">
        <w:rPr>
          <w:rFonts w:ascii="Times" w:hAnsi="Times"/>
          <w:i/>
          <w:iCs/>
          <w:sz w:val="18"/>
          <w:szCs w:val="18"/>
        </w:rPr>
        <w:t xml:space="preserve"> Meaningful difference based on standardized difference &gt;0.10 when compared to </w:t>
      </w:r>
      <w:r>
        <w:rPr>
          <w:rFonts w:ascii="Times" w:hAnsi="Times"/>
          <w:i/>
          <w:iCs/>
          <w:sz w:val="18"/>
          <w:szCs w:val="18"/>
        </w:rPr>
        <w:t>IDD</w:t>
      </w:r>
      <w:r w:rsidRPr="001C4F40">
        <w:rPr>
          <w:rFonts w:ascii="Times" w:hAnsi="Times"/>
          <w:i/>
          <w:iCs/>
          <w:sz w:val="18"/>
          <w:szCs w:val="18"/>
        </w:rPr>
        <w:t xml:space="preserve"> group</w:t>
      </w:r>
    </w:p>
    <w:p w14:paraId="090E5CD3" w14:textId="4A97EDB9" w:rsidR="002D4386" w:rsidRPr="00C623BD" w:rsidRDefault="002D4386" w:rsidP="00C623BD">
      <w:pPr>
        <w:tabs>
          <w:tab w:val="left" w:pos="567"/>
        </w:tabs>
        <w:contextualSpacing/>
        <w:rPr>
          <w:rFonts w:ascii="Times" w:hAnsi="Times"/>
          <w:i/>
          <w:iCs/>
          <w:sz w:val="18"/>
          <w:szCs w:val="18"/>
        </w:rPr>
      </w:pPr>
      <w:r w:rsidRPr="001C4F40">
        <w:rPr>
          <w:rFonts w:ascii="Times" w:hAnsi="Times"/>
          <w:i/>
          <w:iCs/>
          <w:sz w:val="18"/>
          <w:szCs w:val="18"/>
        </w:rPr>
        <w:t>Abbreviations:</w:t>
      </w:r>
      <w:r>
        <w:rPr>
          <w:rFonts w:ascii="Times" w:hAnsi="Times"/>
          <w:i/>
          <w:iCs/>
          <w:sz w:val="18"/>
          <w:szCs w:val="18"/>
        </w:rPr>
        <w:t xml:space="preserve"> IDD, intellectual and developmental disability; MEQ, milligrams of morphine or equivalent; SD, standard deviation</w:t>
      </w:r>
    </w:p>
    <w:p w14:paraId="24E40245" w14:textId="38506B05" w:rsidR="002D4386" w:rsidRPr="006B0171" w:rsidRDefault="002D4386" w:rsidP="002D4386">
      <w:pPr>
        <w:ind w:right="1656"/>
        <w:rPr>
          <w:rFonts w:ascii="Times" w:hAnsi="Times"/>
        </w:rPr>
      </w:pPr>
      <w:r w:rsidRPr="001C4F40">
        <w:rPr>
          <w:rFonts w:ascii="Times" w:hAnsi="Times"/>
          <w:i/>
          <w:iCs/>
          <w:sz w:val="18"/>
          <w:szCs w:val="18"/>
        </w:rPr>
        <w:t>Abbreviations: CI, confidence interval</w:t>
      </w:r>
      <w:r>
        <w:rPr>
          <w:rFonts w:ascii="Times" w:hAnsi="Times"/>
          <w:i/>
          <w:iCs/>
          <w:sz w:val="18"/>
          <w:szCs w:val="18"/>
        </w:rPr>
        <w:t>; IDD, intellectual and developmental disability; MEQ, milligrams of morphine or equivalent</w:t>
      </w:r>
    </w:p>
    <w:p w14:paraId="5CA3717D" w14:textId="76428755" w:rsidR="005E451E" w:rsidRDefault="005E451E"/>
    <w:tbl>
      <w:tblPr>
        <w:tblStyle w:val="TableGrid"/>
        <w:tblW w:w="12960" w:type="dxa"/>
        <w:tblBorders>
          <w:top w:val="none" w:sz="0" w:space="0" w:color="auto"/>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897"/>
        <w:gridCol w:w="2902"/>
        <w:gridCol w:w="3691"/>
        <w:gridCol w:w="2423"/>
        <w:gridCol w:w="47"/>
      </w:tblGrid>
      <w:tr w:rsidR="005A37E6" w:rsidRPr="00796D55" w14:paraId="5BF96751" w14:textId="77777777" w:rsidTr="00211D87">
        <w:trPr>
          <w:trHeight w:val="326"/>
        </w:trPr>
        <w:tc>
          <w:tcPr>
            <w:tcW w:w="12960" w:type="dxa"/>
            <w:gridSpan w:val="5"/>
            <w:tcBorders>
              <w:bottom w:val="single" w:sz="12" w:space="0" w:color="auto"/>
            </w:tcBorders>
            <w:shd w:val="clear" w:color="auto" w:fill="auto"/>
            <w:vAlign w:val="bottom"/>
          </w:tcPr>
          <w:p w14:paraId="2BAF5063" w14:textId="5DF6DD7C" w:rsidR="005A37E6" w:rsidRPr="00796D55" w:rsidRDefault="005A37E6" w:rsidP="00840105">
            <w:pPr>
              <w:pStyle w:val="Heading1"/>
              <w:rPr>
                <w:rFonts w:ascii="Times" w:hAnsi="Times" w:cs="Calibri"/>
                <w:b/>
                <w:bCs/>
                <w:color w:val="000000" w:themeColor="text1"/>
                <w:sz w:val="22"/>
                <w:szCs w:val="22"/>
              </w:rPr>
            </w:pPr>
            <w:r w:rsidRPr="00796D55">
              <w:rPr>
                <w:rFonts w:ascii="Times" w:hAnsi="Times" w:cs="Calibri"/>
                <w:b/>
                <w:bCs/>
                <w:color w:val="000000" w:themeColor="text1"/>
                <w:sz w:val="22"/>
                <w:szCs w:val="22"/>
              </w:rPr>
              <w:lastRenderedPageBreak/>
              <w:t xml:space="preserve">e-Table </w:t>
            </w:r>
            <w:r>
              <w:rPr>
                <w:rFonts w:ascii="Times" w:hAnsi="Times" w:cs="Calibri"/>
                <w:b/>
                <w:bCs/>
                <w:color w:val="000000" w:themeColor="text1"/>
                <w:sz w:val="22"/>
                <w:szCs w:val="22"/>
              </w:rPr>
              <w:t>6</w:t>
            </w:r>
            <w:r w:rsidRPr="00796D55">
              <w:rPr>
                <w:rFonts w:ascii="Times" w:hAnsi="Times" w:cs="Calibri"/>
                <w:b/>
                <w:bCs/>
                <w:color w:val="000000" w:themeColor="text1"/>
                <w:sz w:val="22"/>
                <w:szCs w:val="22"/>
              </w:rPr>
              <w:t xml:space="preserve">. </w:t>
            </w:r>
            <w:r w:rsidRPr="00300597">
              <w:rPr>
                <w:rFonts w:ascii="Times" w:hAnsi="Times" w:cs="Calibri"/>
                <w:color w:val="000000" w:themeColor="text1"/>
                <w:sz w:val="22"/>
                <w:szCs w:val="22"/>
              </w:rPr>
              <w:t>Correlates</w:t>
            </w:r>
            <w:r>
              <w:rPr>
                <w:rFonts w:ascii="Times" w:hAnsi="Times" w:cs="Calibri"/>
                <w:color w:val="000000" w:themeColor="text1"/>
                <w:sz w:val="22"/>
                <w:szCs w:val="22"/>
              </w:rPr>
              <w:t xml:space="preserve"> of Opioid Toxicity</w:t>
            </w:r>
          </w:p>
        </w:tc>
      </w:tr>
      <w:tr w:rsidR="00024C58" w:rsidRPr="00796D55" w14:paraId="48F617F1" w14:textId="6FB2B7ED" w:rsidTr="00024C58">
        <w:trPr>
          <w:gridAfter w:val="1"/>
          <w:wAfter w:w="47" w:type="dxa"/>
          <w:trHeight w:val="300"/>
        </w:trPr>
        <w:tc>
          <w:tcPr>
            <w:tcW w:w="3897" w:type="dxa"/>
            <w:tcBorders>
              <w:top w:val="single" w:sz="12" w:space="0" w:color="auto"/>
              <w:bottom w:val="nil"/>
              <w:right w:val="nil"/>
            </w:tcBorders>
            <w:vAlign w:val="bottom"/>
          </w:tcPr>
          <w:p w14:paraId="09FD784E" w14:textId="77777777" w:rsidR="00024C58" w:rsidRPr="00796D55" w:rsidRDefault="00024C58" w:rsidP="00840105">
            <w:pPr>
              <w:rPr>
                <w:rFonts w:ascii="Times" w:hAnsi="Times" w:cs="Calibri"/>
                <w:color w:val="000000"/>
                <w:sz w:val="22"/>
                <w:szCs w:val="22"/>
              </w:rPr>
            </w:pPr>
            <w:r w:rsidRPr="00796D55">
              <w:rPr>
                <w:rFonts w:ascii="Times" w:hAnsi="Times" w:cs="Calibri"/>
                <w:color w:val="000000"/>
                <w:sz w:val="22"/>
                <w:szCs w:val="22"/>
              </w:rPr>
              <w:t> </w:t>
            </w:r>
          </w:p>
        </w:tc>
        <w:tc>
          <w:tcPr>
            <w:tcW w:w="2902" w:type="dxa"/>
            <w:tcBorders>
              <w:top w:val="single" w:sz="12" w:space="0" w:color="auto"/>
              <w:left w:val="nil"/>
              <w:bottom w:val="nil"/>
              <w:right w:val="nil"/>
            </w:tcBorders>
            <w:vAlign w:val="center"/>
          </w:tcPr>
          <w:p w14:paraId="5BFCEEB3" w14:textId="489EE0F7" w:rsidR="00024C58" w:rsidRPr="00796D55" w:rsidRDefault="00024C58" w:rsidP="00840105">
            <w:pPr>
              <w:jc w:val="center"/>
              <w:rPr>
                <w:rFonts w:ascii="Times" w:hAnsi="Times" w:cs="Calibri"/>
                <w:b/>
                <w:bCs/>
                <w:color w:val="000000"/>
                <w:sz w:val="22"/>
                <w:szCs w:val="22"/>
              </w:rPr>
            </w:pPr>
            <w:r>
              <w:rPr>
                <w:rFonts w:ascii="Times" w:hAnsi="Times" w:cs="Calibri"/>
                <w:b/>
                <w:bCs/>
                <w:color w:val="000000"/>
                <w:sz w:val="22"/>
                <w:szCs w:val="22"/>
              </w:rPr>
              <w:t>Hazard Ratio</w:t>
            </w:r>
          </w:p>
        </w:tc>
        <w:tc>
          <w:tcPr>
            <w:tcW w:w="3691" w:type="dxa"/>
            <w:tcBorders>
              <w:top w:val="single" w:sz="12" w:space="0" w:color="auto"/>
              <w:left w:val="nil"/>
              <w:bottom w:val="nil"/>
              <w:right w:val="nil"/>
            </w:tcBorders>
            <w:vAlign w:val="center"/>
          </w:tcPr>
          <w:p w14:paraId="115E22DF" w14:textId="4BFD801D" w:rsidR="00024C58" w:rsidRPr="00796D55" w:rsidRDefault="00024C58" w:rsidP="00840105">
            <w:pPr>
              <w:jc w:val="center"/>
              <w:rPr>
                <w:rFonts w:ascii="Times" w:hAnsi="Times" w:cs="Calibri"/>
                <w:b/>
                <w:bCs/>
                <w:color w:val="000000"/>
                <w:sz w:val="22"/>
                <w:szCs w:val="22"/>
              </w:rPr>
            </w:pPr>
            <w:r>
              <w:rPr>
                <w:rFonts w:ascii="Times" w:hAnsi="Times" w:cs="Calibri"/>
                <w:b/>
                <w:bCs/>
                <w:color w:val="000000"/>
                <w:sz w:val="22"/>
                <w:szCs w:val="22"/>
              </w:rPr>
              <w:t>95% Confidence Interval</w:t>
            </w:r>
          </w:p>
        </w:tc>
        <w:tc>
          <w:tcPr>
            <w:tcW w:w="2423" w:type="dxa"/>
            <w:tcBorders>
              <w:top w:val="single" w:sz="12" w:space="0" w:color="auto"/>
              <w:left w:val="nil"/>
              <w:bottom w:val="nil"/>
              <w:right w:val="nil"/>
            </w:tcBorders>
          </w:tcPr>
          <w:p w14:paraId="364704FF" w14:textId="6A057312" w:rsidR="00024C58" w:rsidRDefault="00024C58" w:rsidP="00840105">
            <w:pPr>
              <w:jc w:val="center"/>
              <w:rPr>
                <w:rFonts w:ascii="Times" w:hAnsi="Times" w:cs="Calibri"/>
                <w:b/>
                <w:bCs/>
                <w:color w:val="000000"/>
                <w:sz w:val="22"/>
                <w:szCs w:val="22"/>
              </w:rPr>
            </w:pPr>
            <w:r>
              <w:rPr>
                <w:rFonts w:ascii="Times" w:hAnsi="Times" w:cs="Calibri"/>
                <w:b/>
                <w:bCs/>
                <w:color w:val="000000"/>
                <w:sz w:val="22"/>
                <w:szCs w:val="22"/>
              </w:rPr>
              <w:t>P-Value</w:t>
            </w:r>
          </w:p>
        </w:tc>
      </w:tr>
      <w:tr w:rsidR="00024C58" w:rsidRPr="00796D55" w14:paraId="5605E4B7" w14:textId="5D9774E4" w:rsidTr="00024C58">
        <w:trPr>
          <w:gridAfter w:val="1"/>
          <w:wAfter w:w="47" w:type="dxa"/>
          <w:trHeight w:val="288"/>
        </w:trPr>
        <w:tc>
          <w:tcPr>
            <w:tcW w:w="3897" w:type="dxa"/>
            <w:tcBorders>
              <w:top w:val="single" w:sz="4" w:space="0" w:color="000000" w:themeColor="text1"/>
              <w:bottom w:val="single" w:sz="4" w:space="0" w:color="BFBFBF" w:themeColor="background1" w:themeShade="BF"/>
              <w:right w:val="nil"/>
            </w:tcBorders>
            <w:vAlign w:val="bottom"/>
          </w:tcPr>
          <w:p w14:paraId="506B8B9E" w14:textId="0CDF5DE2" w:rsidR="00024C58" w:rsidRPr="00796D55" w:rsidRDefault="00024C58" w:rsidP="00840105">
            <w:pPr>
              <w:rPr>
                <w:rFonts w:ascii="Times" w:hAnsi="Times"/>
                <w:sz w:val="22"/>
                <w:szCs w:val="22"/>
              </w:rPr>
            </w:pPr>
            <w:r>
              <w:rPr>
                <w:rFonts w:ascii="Times" w:hAnsi="Times" w:cs="Calibri"/>
                <w:color w:val="000000"/>
                <w:sz w:val="22"/>
                <w:szCs w:val="22"/>
              </w:rPr>
              <w:t>IDD diagnosis</w:t>
            </w:r>
          </w:p>
        </w:tc>
        <w:tc>
          <w:tcPr>
            <w:tcW w:w="2902" w:type="dxa"/>
            <w:tcBorders>
              <w:top w:val="single" w:sz="4" w:space="0" w:color="000000" w:themeColor="text1"/>
              <w:left w:val="nil"/>
              <w:bottom w:val="single" w:sz="4" w:space="0" w:color="BFBFBF" w:themeColor="background1" w:themeShade="BF"/>
              <w:right w:val="nil"/>
            </w:tcBorders>
            <w:vAlign w:val="bottom"/>
          </w:tcPr>
          <w:p w14:paraId="48D8020B" w14:textId="53D15DD6" w:rsidR="00024C58" w:rsidRPr="00796D55" w:rsidRDefault="00024C58" w:rsidP="00345D0F">
            <w:pPr>
              <w:jc w:val="center"/>
              <w:rPr>
                <w:rFonts w:ascii="Times" w:hAnsi="Times"/>
                <w:sz w:val="22"/>
                <w:szCs w:val="22"/>
              </w:rPr>
            </w:pPr>
            <w:r>
              <w:rPr>
                <w:rFonts w:ascii="Times" w:hAnsi="Times"/>
                <w:sz w:val="22"/>
                <w:szCs w:val="22"/>
              </w:rPr>
              <w:t>1.45</w:t>
            </w:r>
          </w:p>
        </w:tc>
        <w:tc>
          <w:tcPr>
            <w:tcW w:w="3691" w:type="dxa"/>
            <w:tcBorders>
              <w:top w:val="single" w:sz="4" w:space="0" w:color="000000" w:themeColor="text1"/>
              <w:left w:val="nil"/>
              <w:bottom w:val="single" w:sz="4" w:space="0" w:color="BFBFBF" w:themeColor="background1" w:themeShade="BF"/>
              <w:right w:val="nil"/>
            </w:tcBorders>
            <w:vAlign w:val="bottom"/>
          </w:tcPr>
          <w:p w14:paraId="21D32B14" w14:textId="653F5F64" w:rsidR="00024C58" w:rsidRPr="00796D55" w:rsidRDefault="00024C58" w:rsidP="00345D0F">
            <w:pPr>
              <w:jc w:val="center"/>
              <w:rPr>
                <w:rFonts w:ascii="Times" w:hAnsi="Times"/>
                <w:sz w:val="22"/>
                <w:szCs w:val="22"/>
              </w:rPr>
            </w:pPr>
            <w:r>
              <w:rPr>
                <w:rFonts w:ascii="Times" w:hAnsi="Times"/>
                <w:sz w:val="22"/>
                <w:szCs w:val="22"/>
              </w:rPr>
              <w:t>1.06 – 2.00</w:t>
            </w:r>
          </w:p>
        </w:tc>
        <w:tc>
          <w:tcPr>
            <w:tcW w:w="2423" w:type="dxa"/>
            <w:tcBorders>
              <w:top w:val="single" w:sz="4" w:space="0" w:color="000000" w:themeColor="text1"/>
              <w:left w:val="nil"/>
              <w:bottom w:val="single" w:sz="4" w:space="0" w:color="BFBFBF" w:themeColor="background1" w:themeShade="BF"/>
              <w:right w:val="nil"/>
            </w:tcBorders>
          </w:tcPr>
          <w:p w14:paraId="166C28E5" w14:textId="25CDDE67" w:rsidR="00024C58" w:rsidRDefault="000633D6" w:rsidP="00345D0F">
            <w:pPr>
              <w:jc w:val="center"/>
              <w:rPr>
                <w:rFonts w:ascii="Times" w:hAnsi="Times"/>
                <w:sz w:val="22"/>
                <w:szCs w:val="22"/>
              </w:rPr>
            </w:pPr>
            <w:r>
              <w:rPr>
                <w:rFonts w:ascii="Times" w:hAnsi="Times"/>
                <w:sz w:val="22"/>
                <w:szCs w:val="22"/>
              </w:rPr>
              <w:t>0.02</w:t>
            </w:r>
          </w:p>
        </w:tc>
      </w:tr>
      <w:tr w:rsidR="00024C58" w:rsidRPr="00796D55" w14:paraId="64472DFB" w14:textId="4E699968"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3B242B8E" w14:textId="4BFC924A" w:rsidR="00024C58" w:rsidRPr="00796D55" w:rsidRDefault="00024C58" w:rsidP="00840105">
            <w:pPr>
              <w:rPr>
                <w:rFonts w:ascii="Times" w:hAnsi="Times"/>
                <w:sz w:val="22"/>
                <w:szCs w:val="22"/>
              </w:rPr>
            </w:pPr>
            <w:r>
              <w:rPr>
                <w:rFonts w:ascii="Times" w:hAnsi="Times" w:cs="Calibri"/>
                <w:color w:val="000000"/>
                <w:sz w:val="22"/>
                <w:szCs w:val="22"/>
              </w:rPr>
              <w:t>Age: 18-24 years</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75A7AFB7" w14:textId="5679531E" w:rsidR="00024C58" w:rsidRPr="00796D55" w:rsidRDefault="00024C58" w:rsidP="00345D0F">
            <w:pPr>
              <w:jc w:val="center"/>
              <w:rPr>
                <w:rFonts w:ascii="Times" w:hAnsi="Times"/>
                <w:sz w:val="22"/>
                <w:szCs w:val="22"/>
              </w:rPr>
            </w:pPr>
            <w:r>
              <w:rPr>
                <w:rFonts w:ascii="Times" w:hAnsi="Times"/>
                <w:sz w:val="22"/>
                <w:szCs w:val="22"/>
              </w:rPr>
              <w:t>2.56</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3D0CE41C" w14:textId="18CDCA70" w:rsidR="00024C58" w:rsidRPr="00796D55" w:rsidRDefault="00024C58" w:rsidP="00345D0F">
            <w:pPr>
              <w:jc w:val="center"/>
              <w:rPr>
                <w:rFonts w:ascii="Times" w:hAnsi="Times"/>
                <w:sz w:val="22"/>
                <w:szCs w:val="22"/>
              </w:rPr>
            </w:pPr>
            <w:r>
              <w:rPr>
                <w:rFonts w:ascii="Times" w:hAnsi="Times"/>
                <w:sz w:val="22"/>
                <w:szCs w:val="22"/>
              </w:rPr>
              <w:t>2.21 – 2.98</w:t>
            </w:r>
          </w:p>
        </w:tc>
        <w:tc>
          <w:tcPr>
            <w:tcW w:w="2423" w:type="dxa"/>
            <w:tcBorders>
              <w:top w:val="single" w:sz="4" w:space="0" w:color="BFBFBF" w:themeColor="background1" w:themeShade="BF"/>
              <w:left w:val="nil"/>
              <w:bottom w:val="single" w:sz="4" w:space="0" w:color="BFBFBF" w:themeColor="background1" w:themeShade="BF"/>
              <w:right w:val="nil"/>
            </w:tcBorders>
          </w:tcPr>
          <w:p w14:paraId="442EF7CF" w14:textId="6BD58E1A" w:rsidR="00024C58" w:rsidRDefault="0004212F" w:rsidP="00345D0F">
            <w:pPr>
              <w:jc w:val="center"/>
              <w:rPr>
                <w:rFonts w:ascii="Times" w:hAnsi="Times"/>
                <w:sz w:val="22"/>
                <w:szCs w:val="22"/>
              </w:rPr>
            </w:pPr>
            <w:r>
              <w:rPr>
                <w:rFonts w:ascii="Times" w:hAnsi="Times"/>
                <w:sz w:val="22"/>
                <w:szCs w:val="22"/>
              </w:rPr>
              <w:t>&lt;0.0001</w:t>
            </w:r>
          </w:p>
        </w:tc>
      </w:tr>
      <w:tr w:rsidR="00024C58" w:rsidRPr="00796D55" w14:paraId="6310B6D2" w14:textId="58E58F8C"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51F45437" w14:textId="076C015F" w:rsidR="00024C58" w:rsidRPr="00796D55" w:rsidRDefault="00024C58" w:rsidP="00840105">
            <w:pPr>
              <w:rPr>
                <w:rFonts w:ascii="Times" w:hAnsi="Times"/>
                <w:sz w:val="22"/>
                <w:szCs w:val="22"/>
              </w:rPr>
            </w:pPr>
            <w:r>
              <w:rPr>
                <w:rFonts w:ascii="Times" w:hAnsi="Times" w:cs="Calibri"/>
                <w:color w:val="000000"/>
                <w:sz w:val="22"/>
                <w:szCs w:val="22"/>
              </w:rPr>
              <w:t>Age: 25-34 years</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254F90CF" w14:textId="2BAF40D8" w:rsidR="00024C58" w:rsidRPr="00796D55" w:rsidRDefault="00024C58" w:rsidP="00345D0F">
            <w:pPr>
              <w:jc w:val="center"/>
              <w:rPr>
                <w:rFonts w:ascii="Times" w:hAnsi="Times"/>
                <w:sz w:val="22"/>
                <w:szCs w:val="22"/>
              </w:rPr>
            </w:pPr>
            <w:r>
              <w:rPr>
                <w:rFonts w:ascii="Times" w:hAnsi="Times"/>
                <w:sz w:val="22"/>
                <w:szCs w:val="22"/>
              </w:rPr>
              <w:t>1.87</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78730BF8" w14:textId="4654A2E9" w:rsidR="00024C58" w:rsidRPr="00796D55" w:rsidRDefault="00024C58" w:rsidP="00345D0F">
            <w:pPr>
              <w:jc w:val="center"/>
              <w:rPr>
                <w:rFonts w:ascii="Times" w:hAnsi="Times"/>
                <w:sz w:val="22"/>
                <w:szCs w:val="22"/>
              </w:rPr>
            </w:pPr>
            <w:r>
              <w:rPr>
                <w:rFonts w:ascii="Times" w:hAnsi="Times"/>
                <w:sz w:val="22"/>
                <w:szCs w:val="22"/>
              </w:rPr>
              <w:t>1.62 – 2.16</w:t>
            </w:r>
          </w:p>
        </w:tc>
        <w:tc>
          <w:tcPr>
            <w:tcW w:w="2423" w:type="dxa"/>
            <w:tcBorders>
              <w:top w:val="single" w:sz="4" w:space="0" w:color="BFBFBF" w:themeColor="background1" w:themeShade="BF"/>
              <w:left w:val="nil"/>
              <w:bottom w:val="single" w:sz="4" w:space="0" w:color="BFBFBF" w:themeColor="background1" w:themeShade="BF"/>
              <w:right w:val="nil"/>
            </w:tcBorders>
          </w:tcPr>
          <w:p w14:paraId="79C0D568" w14:textId="172AED39" w:rsidR="00024C58" w:rsidRDefault="0004212F" w:rsidP="00345D0F">
            <w:pPr>
              <w:jc w:val="center"/>
              <w:rPr>
                <w:rFonts w:ascii="Times" w:hAnsi="Times"/>
                <w:sz w:val="22"/>
                <w:szCs w:val="22"/>
              </w:rPr>
            </w:pPr>
            <w:r>
              <w:rPr>
                <w:rFonts w:ascii="Times" w:hAnsi="Times"/>
                <w:sz w:val="22"/>
                <w:szCs w:val="22"/>
              </w:rPr>
              <w:t>&lt;0.0001</w:t>
            </w:r>
          </w:p>
        </w:tc>
      </w:tr>
      <w:tr w:rsidR="00024C58" w:rsidRPr="00796D55" w14:paraId="10F4E458" w14:textId="75C7F808"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13429359" w14:textId="58980655" w:rsidR="00024C58" w:rsidRPr="00796D55" w:rsidRDefault="00024C58" w:rsidP="00840105">
            <w:pPr>
              <w:rPr>
                <w:rFonts w:ascii="Times" w:hAnsi="Times"/>
                <w:sz w:val="22"/>
                <w:szCs w:val="22"/>
              </w:rPr>
            </w:pPr>
            <w:r>
              <w:rPr>
                <w:rFonts w:ascii="Times" w:hAnsi="Times" w:cs="Calibri"/>
                <w:color w:val="000000"/>
                <w:sz w:val="22"/>
                <w:szCs w:val="22"/>
              </w:rPr>
              <w:t>Age: 35-44 years</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7C1B76E0" w14:textId="12C6BC36" w:rsidR="00024C58" w:rsidRPr="00796D55" w:rsidRDefault="00024C58" w:rsidP="00345D0F">
            <w:pPr>
              <w:jc w:val="center"/>
              <w:rPr>
                <w:rFonts w:ascii="Times" w:hAnsi="Times"/>
                <w:sz w:val="22"/>
                <w:szCs w:val="22"/>
              </w:rPr>
            </w:pPr>
            <w:r>
              <w:rPr>
                <w:rFonts w:ascii="Times" w:hAnsi="Times"/>
                <w:sz w:val="22"/>
                <w:szCs w:val="22"/>
              </w:rPr>
              <w:t>1.18</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44AC5C65" w14:textId="2C71B039" w:rsidR="00024C58" w:rsidRPr="00796D55" w:rsidRDefault="00024C58" w:rsidP="00345D0F">
            <w:pPr>
              <w:jc w:val="center"/>
              <w:rPr>
                <w:rFonts w:ascii="Times" w:hAnsi="Times"/>
                <w:sz w:val="22"/>
                <w:szCs w:val="22"/>
              </w:rPr>
            </w:pPr>
            <w:r>
              <w:rPr>
                <w:rFonts w:ascii="Times" w:hAnsi="Times"/>
                <w:sz w:val="22"/>
                <w:szCs w:val="22"/>
              </w:rPr>
              <w:t>1.01 – 1.38</w:t>
            </w:r>
          </w:p>
        </w:tc>
        <w:tc>
          <w:tcPr>
            <w:tcW w:w="2423" w:type="dxa"/>
            <w:tcBorders>
              <w:top w:val="single" w:sz="4" w:space="0" w:color="BFBFBF" w:themeColor="background1" w:themeShade="BF"/>
              <w:left w:val="nil"/>
              <w:bottom w:val="single" w:sz="4" w:space="0" w:color="BFBFBF" w:themeColor="background1" w:themeShade="BF"/>
              <w:right w:val="nil"/>
            </w:tcBorders>
          </w:tcPr>
          <w:p w14:paraId="1383317C" w14:textId="4AF5F661" w:rsidR="00024C58" w:rsidRDefault="0004212F" w:rsidP="00345D0F">
            <w:pPr>
              <w:jc w:val="center"/>
              <w:rPr>
                <w:rFonts w:ascii="Times" w:hAnsi="Times"/>
                <w:sz w:val="22"/>
                <w:szCs w:val="22"/>
              </w:rPr>
            </w:pPr>
            <w:r>
              <w:rPr>
                <w:rFonts w:ascii="Times" w:hAnsi="Times"/>
                <w:sz w:val="22"/>
                <w:szCs w:val="22"/>
              </w:rPr>
              <w:t>0.04</w:t>
            </w:r>
          </w:p>
        </w:tc>
      </w:tr>
      <w:tr w:rsidR="00024C58" w:rsidRPr="00796D55" w14:paraId="67A51F22" w14:textId="2B0E2F26"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0D7E8E7C" w14:textId="55E03210" w:rsidR="00024C58" w:rsidRPr="00796D55" w:rsidRDefault="00024C58" w:rsidP="00840105">
            <w:pPr>
              <w:rPr>
                <w:rFonts w:ascii="Times" w:hAnsi="Times" w:cs="Calibri"/>
                <w:color w:val="000000"/>
                <w:sz w:val="22"/>
                <w:szCs w:val="22"/>
              </w:rPr>
            </w:pPr>
            <w:r>
              <w:rPr>
                <w:rFonts w:ascii="Times" w:hAnsi="Times" w:cs="Calibri"/>
                <w:color w:val="000000"/>
                <w:sz w:val="22"/>
                <w:szCs w:val="22"/>
              </w:rPr>
              <w:t>Age: 45-54 years</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4B2CD8C1" w14:textId="4F6CD698"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1.19</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12843650" w14:textId="2EF25290"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1.03 – 1.37</w:t>
            </w:r>
          </w:p>
        </w:tc>
        <w:tc>
          <w:tcPr>
            <w:tcW w:w="2423" w:type="dxa"/>
            <w:tcBorders>
              <w:top w:val="single" w:sz="4" w:space="0" w:color="BFBFBF" w:themeColor="background1" w:themeShade="BF"/>
              <w:left w:val="nil"/>
              <w:bottom w:val="single" w:sz="4" w:space="0" w:color="BFBFBF" w:themeColor="background1" w:themeShade="BF"/>
              <w:right w:val="nil"/>
            </w:tcBorders>
          </w:tcPr>
          <w:p w14:paraId="5A339B1F" w14:textId="533319B6" w:rsidR="00024C58" w:rsidRDefault="0004212F" w:rsidP="00345D0F">
            <w:pPr>
              <w:jc w:val="center"/>
              <w:rPr>
                <w:rFonts w:ascii="Times" w:hAnsi="Times" w:cs="Calibri"/>
                <w:color w:val="000000"/>
                <w:sz w:val="22"/>
                <w:szCs w:val="22"/>
              </w:rPr>
            </w:pPr>
            <w:r>
              <w:rPr>
                <w:rFonts w:ascii="Times" w:hAnsi="Times" w:cs="Calibri"/>
                <w:color w:val="000000"/>
                <w:sz w:val="22"/>
                <w:szCs w:val="22"/>
              </w:rPr>
              <w:t>0.02</w:t>
            </w:r>
          </w:p>
        </w:tc>
      </w:tr>
      <w:tr w:rsidR="00024C58" w:rsidRPr="00796D55" w14:paraId="7F993F84" w14:textId="08D2D7B2"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292E6DA6" w14:textId="578B2095" w:rsidR="00024C58" w:rsidRPr="00796D55" w:rsidRDefault="00024C58" w:rsidP="00840105">
            <w:pPr>
              <w:rPr>
                <w:rFonts w:ascii="Times" w:hAnsi="Times" w:cs="Calibri"/>
                <w:color w:val="000000"/>
                <w:sz w:val="22"/>
                <w:szCs w:val="22"/>
              </w:rPr>
            </w:pPr>
            <w:r>
              <w:rPr>
                <w:rFonts w:ascii="Times" w:hAnsi="Times" w:cs="Calibri"/>
                <w:color w:val="000000"/>
                <w:sz w:val="22"/>
                <w:szCs w:val="22"/>
              </w:rPr>
              <w:t>Age: 55-64 years</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753154CA" w14:textId="11286433"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 xml:space="preserve">0.80 </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008EC146" w14:textId="012D5CA8"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0.68 – 0.93</w:t>
            </w:r>
          </w:p>
        </w:tc>
        <w:tc>
          <w:tcPr>
            <w:tcW w:w="2423" w:type="dxa"/>
            <w:tcBorders>
              <w:top w:val="single" w:sz="4" w:space="0" w:color="BFBFBF" w:themeColor="background1" w:themeShade="BF"/>
              <w:left w:val="nil"/>
              <w:bottom w:val="single" w:sz="4" w:space="0" w:color="BFBFBF" w:themeColor="background1" w:themeShade="BF"/>
              <w:right w:val="nil"/>
            </w:tcBorders>
          </w:tcPr>
          <w:p w14:paraId="1BA97C91" w14:textId="15C31DEC" w:rsidR="00024C58" w:rsidRDefault="0004212F" w:rsidP="00345D0F">
            <w:pPr>
              <w:jc w:val="center"/>
              <w:rPr>
                <w:rFonts w:ascii="Times" w:hAnsi="Times" w:cs="Calibri"/>
                <w:color w:val="000000"/>
                <w:sz w:val="22"/>
                <w:szCs w:val="22"/>
              </w:rPr>
            </w:pPr>
            <w:r>
              <w:rPr>
                <w:rFonts w:ascii="Times" w:hAnsi="Times" w:cs="Calibri"/>
                <w:color w:val="000000"/>
                <w:sz w:val="22"/>
                <w:szCs w:val="22"/>
              </w:rPr>
              <w:t>0.01</w:t>
            </w:r>
          </w:p>
        </w:tc>
      </w:tr>
      <w:tr w:rsidR="00024C58" w:rsidRPr="00796D55" w14:paraId="7E50B7CA" w14:textId="501C834B"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498F6D6B" w14:textId="5CD8F5E8" w:rsidR="00024C58" w:rsidRPr="00796D55" w:rsidRDefault="00024C58" w:rsidP="00840105">
            <w:pPr>
              <w:rPr>
                <w:rFonts w:ascii="Times" w:hAnsi="Times" w:cs="Calibri"/>
                <w:color w:val="000000"/>
                <w:sz w:val="22"/>
                <w:szCs w:val="22"/>
              </w:rPr>
            </w:pPr>
            <w:r>
              <w:rPr>
                <w:rFonts w:ascii="Times" w:hAnsi="Times" w:cs="Calibri"/>
                <w:color w:val="000000"/>
                <w:sz w:val="22"/>
                <w:szCs w:val="22"/>
              </w:rPr>
              <w:t>Male</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1E6585FA" w14:textId="60E2E007"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1.23</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37D19512" w14:textId="04AF42B1"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1.13 – 1.34</w:t>
            </w:r>
          </w:p>
        </w:tc>
        <w:tc>
          <w:tcPr>
            <w:tcW w:w="2423" w:type="dxa"/>
            <w:tcBorders>
              <w:top w:val="single" w:sz="4" w:space="0" w:color="BFBFBF" w:themeColor="background1" w:themeShade="BF"/>
              <w:left w:val="nil"/>
              <w:bottom w:val="single" w:sz="4" w:space="0" w:color="BFBFBF" w:themeColor="background1" w:themeShade="BF"/>
              <w:right w:val="nil"/>
            </w:tcBorders>
          </w:tcPr>
          <w:p w14:paraId="70E5AC0F" w14:textId="3CA4908B" w:rsidR="00024C58" w:rsidRDefault="0004212F" w:rsidP="00345D0F">
            <w:pPr>
              <w:jc w:val="center"/>
              <w:rPr>
                <w:rFonts w:ascii="Times" w:hAnsi="Times" w:cs="Calibri"/>
                <w:color w:val="000000"/>
                <w:sz w:val="22"/>
                <w:szCs w:val="22"/>
              </w:rPr>
            </w:pPr>
            <w:r>
              <w:rPr>
                <w:rFonts w:ascii="Times" w:hAnsi="Times" w:cs="Calibri"/>
                <w:color w:val="000000"/>
                <w:sz w:val="22"/>
                <w:szCs w:val="22"/>
              </w:rPr>
              <w:t>&lt;0.0001</w:t>
            </w:r>
          </w:p>
        </w:tc>
      </w:tr>
      <w:tr w:rsidR="00024C58" w:rsidRPr="00796D55" w14:paraId="661953F3" w14:textId="3606B728"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32321BF1" w14:textId="6FC1D926" w:rsidR="00024C58" w:rsidRPr="00796D55" w:rsidRDefault="00024C58" w:rsidP="00840105">
            <w:pPr>
              <w:rPr>
                <w:rFonts w:ascii="Times" w:hAnsi="Times" w:cs="Calibri"/>
                <w:color w:val="000000"/>
                <w:sz w:val="22"/>
                <w:szCs w:val="22"/>
              </w:rPr>
            </w:pPr>
            <w:r>
              <w:rPr>
                <w:rFonts w:ascii="Times" w:hAnsi="Times" w:cs="Calibri"/>
                <w:color w:val="000000"/>
                <w:sz w:val="22"/>
                <w:szCs w:val="22"/>
              </w:rPr>
              <w:t>Rural residence</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4766C1E5" w14:textId="5938230F"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1.22</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4C2943C2" w14:textId="5F1A533E"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 xml:space="preserve">1.08 – 1.39 </w:t>
            </w:r>
          </w:p>
        </w:tc>
        <w:tc>
          <w:tcPr>
            <w:tcW w:w="2423" w:type="dxa"/>
            <w:tcBorders>
              <w:top w:val="single" w:sz="4" w:space="0" w:color="BFBFBF" w:themeColor="background1" w:themeShade="BF"/>
              <w:left w:val="nil"/>
              <w:bottom w:val="single" w:sz="4" w:space="0" w:color="BFBFBF" w:themeColor="background1" w:themeShade="BF"/>
              <w:right w:val="nil"/>
            </w:tcBorders>
          </w:tcPr>
          <w:p w14:paraId="3AAD4F2D" w14:textId="753B8063" w:rsidR="00024C58" w:rsidRDefault="00DC7006" w:rsidP="00345D0F">
            <w:pPr>
              <w:jc w:val="center"/>
              <w:rPr>
                <w:rFonts w:ascii="Times" w:hAnsi="Times" w:cs="Calibri"/>
                <w:color w:val="000000"/>
                <w:sz w:val="22"/>
                <w:szCs w:val="22"/>
              </w:rPr>
            </w:pPr>
            <w:r>
              <w:rPr>
                <w:rFonts w:ascii="Times" w:hAnsi="Times" w:cs="Calibri"/>
                <w:color w:val="000000"/>
                <w:sz w:val="22"/>
                <w:szCs w:val="22"/>
              </w:rPr>
              <w:t>0.01</w:t>
            </w:r>
          </w:p>
        </w:tc>
      </w:tr>
      <w:tr w:rsidR="00024C58" w:rsidRPr="00796D55" w14:paraId="45817E59" w14:textId="25C33C6D"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0F277E9E" w14:textId="746AD237" w:rsidR="00024C58" w:rsidRPr="00796D55" w:rsidRDefault="00024C58" w:rsidP="00840105">
            <w:pPr>
              <w:rPr>
                <w:rFonts w:ascii="Times" w:hAnsi="Times" w:cs="Calibri"/>
                <w:color w:val="000000"/>
                <w:sz w:val="22"/>
                <w:szCs w:val="22"/>
              </w:rPr>
            </w:pPr>
            <w:r>
              <w:rPr>
                <w:rFonts w:ascii="Times" w:hAnsi="Times" w:cs="Calibri"/>
                <w:color w:val="000000"/>
                <w:sz w:val="22"/>
                <w:szCs w:val="22"/>
              </w:rPr>
              <w:t>Total ADG score</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7931321C" w14:textId="125EDADF"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1.12</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6F5C5DA5" w14:textId="0B8EF37E"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1.10 – 1.14</w:t>
            </w:r>
          </w:p>
        </w:tc>
        <w:tc>
          <w:tcPr>
            <w:tcW w:w="2423" w:type="dxa"/>
            <w:tcBorders>
              <w:top w:val="single" w:sz="4" w:space="0" w:color="BFBFBF" w:themeColor="background1" w:themeShade="BF"/>
              <w:left w:val="nil"/>
              <w:bottom w:val="single" w:sz="4" w:space="0" w:color="BFBFBF" w:themeColor="background1" w:themeShade="BF"/>
              <w:right w:val="nil"/>
            </w:tcBorders>
          </w:tcPr>
          <w:p w14:paraId="4DF1FB96" w14:textId="31780454" w:rsidR="00024C58" w:rsidRDefault="00DC7006" w:rsidP="00345D0F">
            <w:pPr>
              <w:jc w:val="center"/>
              <w:rPr>
                <w:rFonts w:ascii="Times" w:hAnsi="Times" w:cs="Calibri"/>
                <w:color w:val="000000"/>
                <w:sz w:val="22"/>
                <w:szCs w:val="22"/>
              </w:rPr>
            </w:pPr>
            <w:r>
              <w:rPr>
                <w:rFonts w:ascii="Times" w:hAnsi="Times" w:cs="Calibri"/>
                <w:color w:val="000000"/>
                <w:sz w:val="22"/>
                <w:szCs w:val="22"/>
              </w:rPr>
              <w:t>&lt;0.0001</w:t>
            </w:r>
          </w:p>
        </w:tc>
      </w:tr>
      <w:tr w:rsidR="00024C58" w:rsidRPr="00796D55" w14:paraId="3BB1DF84" w14:textId="574D8919"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450ABB7E" w14:textId="3273A4D6" w:rsidR="00024C58" w:rsidRPr="00796D55" w:rsidRDefault="00024C58" w:rsidP="00840105">
            <w:pPr>
              <w:rPr>
                <w:rFonts w:ascii="Times" w:hAnsi="Times" w:cs="Calibri"/>
                <w:color w:val="000000"/>
                <w:sz w:val="22"/>
                <w:szCs w:val="22"/>
              </w:rPr>
            </w:pPr>
            <w:r>
              <w:rPr>
                <w:rFonts w:ascii="Times" w:hAnsi="Times" w:cs="Calibri"/>
                <w:color w:val="000000"/>
                <w:sz w:val="22"/>
                <w:szCs w:val="22"/>
              </w:rPr>
              <w:t>Number of hospitalizations</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47C7A79D" w14:textId="1E1163A8"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1.08</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51761FE1" w14:textId="45E1CDF9"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1.01 – 1.14</w:t>
            </w:r>
          </w:p>
        </w:tc>
        <w:tc>
          <w:tcPr>
            <w:tcW w:w="2423" w:type="dxa"/>
            <w:tcBorders>
              <w:top w:val="single" w:sz="4" w:space="0" w:color="BFBFBF" w:themeColor="background1" w:themeShade="BF"/>
              <w:left w:val="nil"/>
              <w:bottom w:val="single" w:sz="4" w:space="0" w:color="BFBFBF" w:themeColor="background1" w:themeShade="BF"/>
              <w:right w:val="nil"/>
            </w:tcBorders>
          </w:tcPr>
          <w:p w14:paraId="54917B97" w14:textId="15DDA747" w:rsidR="00024C58" w:rsidRDefault="00DC7006" w:rsidP="00345D0F">
            <w:pPr>
              <w:jc w:val="center"/>
              <w:rPr>
                <w:rFonts w:ascii="Times" w:hAnsi="Times" w:cs="Calibri"/>
                <w:color w:val="000000"/>
                <w:sz w:val="22"/>
                <w:szCs w:val="22"/>
              </w:rPr>
            </w:pPr>
            <w:r>
              <w:rPr>
                <w:rFonts w:ascii="Times" w:hAnsi="Times" w:cs="Calibri"/>
                <w:color w:val="000000"/>
                <w:sz w:val="22"/>
                <w:szCs w:val="22"/>
              </w:rPr>
              <w:t>0.02</w:t>
            </w:r>
          </w:p>
        </w:tc>
      </w:tr>
      <w:tr w:rsidR="00024C58" w:rsidRPr="00796D55" w14:paraId="5B5A3214" w14:textId="6C3F4531"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6D453B66" w14:textId="7B6D68DF" w:rsidR="00024C58" w:rsidRPr="00796D55" w:rsidRDefault="00024C58" w:rsidP="00840105">
            <w:pPr>
              <w:rPr>
                <w:rFonts w:ascii="Times" w:hAnsi="Times" w:cs="Calibri"/>
                <w:color w:val="000000"/>
                <w:sz w:val="22"/>
                <w:szCs w:val="22"/>
              </w:rPr>
            </w:pPr>
            <w:r>
              <w:rPr>
                <w:rFonts w:ascii="Times" w:hAnsi="Times" w:cs="Calibri"/>
                <w:color w:val="000000"/>
                <w:sz w:val="22"/>
                <w:szCs w:val="22"/>
              </w:rPr>
              <w:t>Number of emergency department visits</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14049A70" w14:textId="30AC0D44"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1.03</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0FA58133" w14:textId="303D6F8E"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1.02 – 1.03</w:t>
            </w:r>
          </w:p>
        </w:tc>
        <w:tc>
          <w:tcPr>
            <w:tcW w:w="2423" w:type="dxa"/>
            <w:tcBorders>
              <w:top w:val="single" w:sz="4" w:space="0" w:color="BFBFBF" w:themeColor="background1" w:themeShade="BF"/>
              <w:left w:val="nil"/>
              <w:bottom w:val="single" w:sz="4" w:space="0" w:color="BFBFBF" w:themeColor="background1" w:themeShade="BF"/>
              <w:right w:val="nil"/>
            </w:tcBorders>
          </w:tcPr>
          <w:p w14:paraId="524E53DF" w14:textId="4CA255FD" w:rsidR="00024C58" w:rsidRDefault="00F80F3F" w:rsidP="00345D0F">
            <w:pPr>
              <w:jc w:val="center"/>
              <w:rPr>
                <w:rFonts w:ascii="Times" w:hAnsi="Times" w:cs="Calibri"/>
                <w:color w:val="000000"/>
                <w:sz w:val="22"/>
                <w:szCs w:val="22"/>
              </w:rPr>
            </w:pPr>
            <w:r>
              <w:rPr>
                <w:rFonts w:ascii="Times" w:hAnsi="Times" w:cs="Calibri"/>
                <w:color w:val="000000"/>
                <w:sz w:val="22"/>
                <w:szCs w:val="22"/>
              </w:rPr>
              <w:t>&lt;0.0001</w:t>
            </w:r>
          </w:p>
        </w:tc>
      </w:tr>
      <w:tr w:rsidR="00024C58" w:rsidRPr="00796D55" w14:paraId="044E58A0" w14:textId="21F48195"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555FAB56" w14:textId="23606F4D" w:rsidR="00024C58" w:rsidRPr="00796D55" w:rsidRDefault="00024C58" w:rsidP="00840105">
            <w:pPr>
              <w:rPr>
                <w:rFonts w:ascii="Times" w:hAnsi="Times" w:cs="Calibri"/>
                <w:color w:val="000000"/>
                <w:sz w:val="22"/>
                <w:szCs w:val="22"/>
              </w:rPr>
            </w:pPr>
            <w:r>
              <w:rPr>
                <w:rFonts w:ascii="Times" w:hAnsi="Times" w:cs="Calibri"/>
                <w:color w:val="000000"/>
                <w:sz w:val="22"/>
                <w:szCs w:val="22"/>
              </w:rPr>
              <w:t>Number of mental health office visits</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523CD94F" w14:textId="44B564C5"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1.06</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0369938E" w14:textId="6EE4D27E"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1.05 – 1.07</w:t>
            </w:r>
          </w:p>
        </w:tc>
        <w:tc>
          <w:tcPr>
            <w:tcW w:w="2423" w:type="dxa"/>
            <w:tcBorders>
              <w:top w:val="single" w:sz="4" w:space="0" w:color="BFBFBF" w:themeColor="background1" w:themeShade="BF"/>
              <w:left w:val="nil"/>
              <w:bottom w:val="single" w:sz="4" w:space="0" w:color="BFBFBF" w:themeColor="background1" w:themeShade="BF"/>
              <w:right w:val="nil"/>
            </w:tcBorders>
          </w:tcPr>
          <w:p w14:paraId="3C1BF65D" w14:textId="3EBE86C0" w:rsidR="00024C58" w:rsidRDefault="00F80F3F" w:rsidP="00345D0F">
            <w:pPr>
              <w:jc w:val="center"/>
              <w:rPr>
                <w:rFonts w:ascii="Times" w:hAnsi="Times" w:cs="Calibri"/>
                <w:color w:val="000000"/>
                <w:sz w:val="22"/>
                <w:szCs w:val="22"/>
              </w:rPr>
            </w:pPr>
            <w:r>
              <w:rPr>
                <w:rFonts w:ascii="Times" w:hAnsi="Times" w:cs="Calibri"/>
                <w:color w:val="000000"/>
                <w:sz w:val="22"/>
                <w:szCs w:val="22"/>
              </w:rPr>
              <w:t>&lt;0.0001</w:t>
            </w:r>
          </w:p>
        </w:tc>
      </w:tr>
      <w:tr w:rsidR="00024C58" w:rsidRPr="00796D55" w14:paraId="77398C1E" w14:textId="17C72155"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7531B343" w14:textId="58FA170A" w:rsidR="00024C58" w:rsidRDefault="00024C58" w:rsidP="00840105">
            <w:pPr>
              <w:rPr>
                <w:rFonts w:ascii="Times" w:hAnsi="Times" w:cs="Calibri"/>
                <w:color w:val="000000"/>
                <w:sz w:val="22"/>
                <w:szCs w:val="22"/>
              </w:rPr>
            </w:pPr>
            <w:r>
              <w:rPr>
                <w:rFonts w:ascii="Times" w:hAnsi="Times" w:cs="Calibri"/>
                <w:color w:val="000000"/>
                <w:sz w:val="22"/>
                <w:szCs w:val="22"/>
              </w:rPr>
              <w:t>Number of mental health hospitalizations</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0EB6FF90" w14:textId="27206E18"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1.09</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1D76F249" w14:textId="294CA0D7"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1.04 – 1.14</w:t>
            </w:r>
          </w:p>
        </w:tc>
        <w:tc>
          <w:tcPr>
            <w:tcW w:w="2423" w:type="dxa"/>
            <w:tcBorders>
              <w:top w:val="single" w:sz="4" w:space="0" w:color="BFBFBF" w:themeColor="background1" w:themeShade="BF"/>
              <w:left w:val="nil"/>
              <w:bottom w:val="single" w:sz="4" w:space="0" w:color="BFBFBF" w:themeColor="background1" w:themeShade="BF"/>
              <w:right w:val="nil"/>
            </w:tcBorders>
          </w:tcPr>
          <w:p w14:paraId="4D5681A9" w14:textId="4D2781E9" w:rsidR="00024C58" w:rsidRDefault="00F80F3F" w:rsidP="00345D0F">
            <w:pPr>
              <w:jc w:val="center"/>
              <w:rPr>
                <w:rFonts w:ascii="Times" w:hAnsi="Times" w:cs="Calibri"/>
                <w:color w:val="000000"/>
                <w:sz w:val="22"/>
                <w:szCs w:val="22"/>
              </w:rPr>
            </w:pPr>
            <w:r>
              <w:rPr>
                <w:rFonts w:ascii="Times" w:hAnsi="Times" w:cs="Calibri"/>
                <w:color w:val="000000"/>
                <w:sz w:val="22"/>
                <w:szCs w:val="22"/>
              </w:rPr>
              <w:t>0.0002</w:t>
            </w:r>
          </w:p>
        </w:tc>
      </w:tr>
      <w:tr w:rsidR="00024C58" w:rsidRPr="00796D55" w14:paraId="0AEA0C7C" w14:textId="0AB90AB0"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349CCD45" w14:textId="395DF212" w:rsidR="00024C58" w:rsidRPr="00796D55" w:rsidRDefault="00024C58" w:rsidP="00840105">
            <w:pPr>
              <w:rPr>
                <w:rFonts w:ascii="Times" w:hAnsi="Times" w:cs="Calibri"/>
                <w:color w:val="000000"/>
                <w:sz w:val="22"/>
                <w:szCs w:val="22"/>
              </w:rPr>
            </w:pPr>
            <w:r>
              <w:rPr>
                <w:rFonts w:ascii="Times" w:hAnsi="Times" w:cs="Calibri"/>
                <w:color w:val="000000"/>
                <w:sz w:val="22"/>
                <w:szCs w:val="22"/>
              </w:rPr>
              <w:t>Number of office visits (any reason)</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7E7B8F9A" w14:textId="04432030"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0.97</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65410858" w14:textId="4DEEFA3C"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0.96 – 0.98</w:t>
            </w:r>
          </w:p>
        </w:tc>
        <w:tc>
          <w:tcPr>
            <w:tcW w:w="2423" w:type="dxa"/>
            <w:tcBorders>
              <w:top w:val="single" w:sz="4" w:space="0" w:color="BFBFBF" w:themeColor="background1" w:themeShade="BF"/>
              <w:left w:val="nil"/>
              <w:bottom w:val="single" w:sz="4" w:space="0" w:color="BFBFBF" w:themeColor="background1" w:themeShade="BF"/>
              <w:right w:val="nil"/>
            </w:tcBorders>
          </w:tcPr>
          <w:p w14:paraId="77DBB0B1" w14:textId="474EFF74" w:rsidR="00024C58" w:rsidRDefault="00F80F3F" w:rsidP="00345D0F">
            <w:pPr>
              <w:jc w:val="center"/>
              <w:rPr>
                <w:rFonts w:ascii="Times" w:hAnsi="Times" w:cs="Calibri"/>
                <w:color w:val="000000"/>
                <w:sz w:val="22"/>
                <w:szCs w:val="22"/>
              </w:rPr>
            </w:pPr>
            <w:r>
              <w:rPr>
                <w:rFonts w:ascii="Times" w:hAnsi="Times" w:cs="Calibri"/>
                <w:color w:val="000000"/>
                <w:sz w:val="22"/>
                <w:szCs w:val="22"/>
              </w:rPr>
              <w:t>&lt;0.0001</w:t>
            </w:r>
          </w:p>
        </w:tc>
      </w:tr>
      <w:tr w:rsidR="00024C58" w:rsidRPr="00796D55" w14:paraId="610C5D02" w14:textId="42165D54" w:rsidTr="00FC1DA1">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6AA8810E" w14:textId="308C5E07" w:rsidR="00024C58" w:rsidRPr="00796D55" w:rsidRDefault="00024C58" w:rsidP="00840105">
            <w:pPr>
              <w:rPr>
                <w:rFonts w:ascii="Times" w:hAnsi="Times" w:cs="Calibri"/>
                <w:color w:val="000000"/>
                <w:sz w:val="22"/>
                <w:szCs w:val="22"/>
              </w:rPr>
            </w:pPr>
            <w:r>
              <w:rPr>
                <w:rFonts w:ascii="Times" w:hAnsi="Times" w:cs="Calibri"/>
                <w:color w:val="000000"/>
                <w:sz w:val="22"/>
                <w:szCs w:val="22"/>
              </w:rPr>
              <w:t>Alcohol or substance use disorder diagnosis</w:t>
            </w:r>
          </w:p>
        </w:tc>
        <w:tc>
          <w:tcPr>
            <w:tcW w:w="2902" w:type="dxa"/>
            <w:tcBorders>
              <w:top w:val="single" w:sz="4" w:space="0" w:color="BFBFBF" w:themeColor="background1" w:themeShade="BF"/>
              <w:left w:val="nil"/>
              <w:bottom w:val="single" w:sz="4" w:space="0" w:color="BFBFBF" w:themeColor="background1" w:themeShade="BF"/>
              <w:right w:val="nil"/>
            </w:tcBorders>
            <w:vAlign w:val="center"/>
          </w:tcPr>
          <w:p w14:paraId="5D6BE055" w14:textId="77C21E1A" w:rsidR="00024C58" w:rsidRPr="00796D55" w:rsidRDefault="00024C58" w:rsidP="00FC1DA1">
            <w:pPr>
              <w:jc w:val="center"/>
              <w:rPr>
                <w:rFonts w:ascii="Times" w:hAnsi="Times" w:cs="Calibri"/>
                <w:color w:val="000000"/>
                <w:sz w:val="22"/>
                <w:szCs w:val="22"/>
              </w:rPr>
            </w:pPr>
            <w:r>
              <w:rPr>
                <w:rFonts w:ascii="Times" w:hAnsi="Times" w:cs="Calibri"/>
                <w:color w:val="000000"/>
                <w:sz w:val="22"/>
                <w:szCs w:val="22"/>
              </w:rPr>
              <w:t>6.05</w:t>
            </w:r>
          </w:p>
        </w:tc>
        <w:tc>
          <w:tcPr>
            <w:tcW w:w="3691" w:type="dxa"/>
            <w:tcBorders>
              <w:top w:val="single" w:sz="4" w:space="0" w:color="BFBFBF" w:themeColor="background1" w:themeShade="BF"/>
              <w:left w:val="nil"/>
              <w:bottom w:val="single" w:sz="4" w:space="0" w:color="BFBFBF" w:themeColor="background1" w:themeShade="BF"/>
              <w:right w:val="nil"/>
            </w:tcBorders>
            <w:vAlign w:val="center"/>
          </w:tcPr>
          <w:p w14:paraId="0E8A0C73" w14:textId="1C4A766E" w:rsidR="00024C58" w:rsidRPr="00796D55" w:rsidRDefault="00024C58" w:rsidP="00FC1DA1">
            <w:pPr>
              <w:jc w:val="center"/>
              <w:rPr>
                <w:rFonts w:ascii="Times" w:hAnsi="Times" w:cs="Calibri"/>
                <w:color w:val="000000"/>
                <w:sz w:val="22"/>
                <w:szCs w:val="22"/>
              </w:rPr>
            </w:pPr>
            <w:r>
              <w:rPr>
                <w:rFonts w:ascii="Times" w:hAnsi="Times" w:cs="Calibri"/>
                <w:color w:val="000000"/>
                <w:sz w:val="22"/>
                <w:szCs w:val="22"/>
              </w:rPr>
              <w:t>5.28 – 6.94</w:t>
            </w:r>
          </w:p>
        </w:tc>
        <w:tc>
          <w:tcPr>
            <w:tcW w:w="2423" w:type="dxa"/>
            <w:tcBorders>
              <w:top w:val="single" w:sz="4" w:space="0" w:color="BFBFBF" w:themeColor="background1" w:themeShade="BF"/>
              <w:left w:val="nil"/>
              <w:bottom w:val="single" w:sz="4" w:space="0" w:color="BFBFBF" w:themeColor="background1" w:themeShade="BF"/>
              <w:right w:val="nil"/>
            </w:tcBorders>
            <w:vAlign w:val="center"/>
          </w:tcPr>
          <w:p w14:paraId="6F073010" w14:textId="5C9408A1" w:rsidR="00024C58" w:rsidRDefault="00F80F3F" w:rsidP="00FC1DA1">
            <w:pPr>
              <w:jc w:val="center"/>
              <w:rPr>
                <w:rFonts w:ascii="Times" w:hAnsi="Times" w:cs="Calibri"/>
                <w:color w:val="000000"/>
                <w:sz w:val="22"/>
                <w:szCs w:val="22"/>
              </w:rPr>
            </w:pPr>
            <w:r>
              <w:rPr>
                <w:rFonts w:ascii="Times" w:hAnsi="Times" w:cs="Calibri"/>
                <w:color w:val="000000"/>
                <w:sz w:val="22"/>
                <w:szCs w:val="22"/>
              </w:rPr>
              <w:t>&lt;0.0001</w:t>
            </w:r>
          </w:p>
        </w:tc>
      </w:tr>
      <w:tr w:rsidR="00024C58" w:rsidRPr="00796D55" w14:paraId="222E7FAA" w14:textId="01CBB9C5"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112C4838" w14:textId="20BE0C7D" w:rsidR="00024C58" w:rsidRPr="00796D55" w:rsidRDefault="00024C58" w:rsidP="00840105">
            <w:pPr>
              <w:rPr>
                <w:rFonts w:ascii="Times" w:hAnsi="Times" w:cs="Calibri"/>
                <w:color w:val="000000"/>
                <w:sz w:val="22"/>
                <w:szCs w:val="22"/>
              </w:rPr>
            </w:pPr>
            <w:r>
              <w:rPr>
                <w:rFonts w:ascii="Times" w:hAnsi="Times" w:cs="Calibri"/>
                <w:color w:val="000000"/>
                <w:sz w:val="22"/>
                <w:szCs w:val="22"/>
              </w:rPr>
              <w:t>Overlapping stimulant use</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6ADB4D01" w14:textId="4CDF9589"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1.99</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7A261632" w14:textId="7F6BAB05"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1.49 – 2.67</w:t>
            </w:r>
          </w:p>
        </w:tc>
        <w:tc>
          <w:tcPr>
            <w:tcW w:w="2423" w:type="dxa"/>
            <w:tcBorders>
              <w:top w:val="single" w:sz="4" w:space="0" w:color="BFBFBF" w:themeColor="background1" w:themeShade="BF"/>
              <w:left w:val="nil"/>
              <w:bottom w:val="single" w:sz="4" w:space="0" w:color="BFBFBF" w:themeColor="background1" w:themeShade="BF"/>
              <w:right w:val="nil"/>
            </w:tcBorders>
          </w:tcPr>
          <w:p w14:paraId="7FA27A07" w14:textId="53295D0A" w:rsidR="00024C58" w:rsidRDefault="00F80F3F" w:rsidP="00345D0F">
            <w:pPr>
              <w:jc w:val="center"/>
              <w:rPr>
                <w:rFonts w:ascii="Times" w:hAnsi="Times" w:cs="Calibri"/>
                <w:color w:val="000000"/>
                <w:sz w:val="22"/>
                <w:szCs w:val="22"/>
              </w:rPr>
            </w:pPr>
            <w:r>
              <w:rPr>
                <w:rFonts w:ascii="Times" w:hAnsi="Times" w:cs="Calibri"/>
                <w:color w:val="000000"/>
                <w:sz w:val="22"/>
                <w:szCs w:val="22"/>
              </w:rPr>
              <w:t>&lt;0.0001</w:t>
            </w:r>
          </w:p>
        </w:tc>
      </w:tr>
      <w:tr w:rsidR="00024C58" w:rsidRPr="00796D55" w14:paraId="6C1ACDC3" w14:textId="173058FB"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366C2C33" w14:textId="37D2E263" w:rsidR="00024C58" w:rsidRPr="00796D55" w:rsidRDefault="00024C58" w:rsidP="00840105">
            <w:pPr>
              <w:rPr>
                <w:rFonts w:ascii="Times" w:hAnsi="Times" w:cs="Calibri"/>
                <w:color w:val="000000"/>
                <w:sz w:val="22"/>
                <w:szCs w:val="22"/>
              </w:rPr>
            </w:pPr>
            <w:r>
              <w:rPr>
                <w:rFonts w:ascii="Times" w:hAnsi="Times" w:cs="Calibri"/>
                <w:color w:val="000000"/>
                <w:sz w:val="22"/>
                <w:szCs w:val="22"/>
              </w:rPr>
              <w:t>Overlapping benzodiazepine use</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6EE87173" w14:textId="7753EBD4"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2.86</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66552935" w14:textId="216B691D"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2.53 – 3.22</w:t>
            </w:r>
          </w:p>
        </w:tc>
        <w:tc>
          <w:tcPr>
            <w:tcW w:w="2423" w:type="dxa"/>
            <w:tcBorders>
              <w:top w:val="single" w:sz="4" w:space="0" w:color="BFBFBF" w:themeColor="background1" w:themeShade="BF"/>
              <w:left w:val="nil"/>
              <w:bottom w:val="single" w:sz="4" w:space="0" w:color="BFBFBF" w:themeColor="background1" w:themeShade="BF"/>
              <w:right w:val="nil"/>
            </w:tcBorders>
          </w:tcPr>
          <w:p w14:paraId="34D25818" w14:textId="5EE23900" w:rsidR="00024C58" w:rsidRDefault="00F80F3F" w:rsidP="00345D0F">
            <w:pPr>
              <w:jc w:val="center"/>
              <w:rPr>
                <w:rFonts w:ascii="Times" w:hAnsi="Times" w:cs="Calibri"/>
                <w:color w:val="000000"/>
                <w:sz w:val="22"/>
                <w:szCs w:val="22"/>
              </w:rPr>
            </w:pPr>
            <w:r>
              <w:rPr>
                <w:rFonts w:ascii="Times" w:hAnsi="Times" w:cs="Calibri"/>
                <w:color w:val="000000"/>
                <w:sz w:val="22"/>
                <w:szCs w:val="22"/>
              </w:rPr>
              <w:t>&lt;0.0001</w:t>
            </w:r>
          </w:p>
        </w:tc>
      </w:tr>
      <w:tr w:rsidR="00024C58" w:rsidRPr="00796D55" w14:paraId="00F10B2F" w14:textId="048A726E"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4904AB31" w14:textId="5D86A433" w:rsidR="00024C58" w:rsidRDefault="00024C58" w:rsidP="00840105">
            <w:pPr>
              <w:rPr>
                <w:rFonts w:ascii="Times" w:hAnsi="Times" w:cs="Calibri"/>
                <w:color w:val="000000"/>
                <w:sz w:val="22"/>
                <w:szCs w:val="22"/>
              </w:rPr>
            </w:pPr>
            <w:r>
              <w:rPr>
                <w:rFonts w:ascii="Times" w:hAnsi="Times" w:cs="Calibri"/>
                <w:color w:val="000000"/>
                <w:sz w:val="22"/>
                <w:szCs w:val="22"/>
              </w:rPr>
              <w:t>Daily dose of initial opioid</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532862C6" w14:textId="779C9263"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1.01</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4F6215F4" w14:textId="1020B7F4"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1.00 – 1.01</w:t>
            </w:r>
          </w:p>
        </w:tc>
        <w:tc>
          <w:tcPr>
            <w:tcW w:w="2423" w:type="dxa"/>
            <w:tcBorders>
              <w:top w:val="single" w:sz="4" w:space="0" w:color="BFBFBF" w:themeColor="background1" w:themeShade="BF"/>
              <w:left w:val="nil"/>
              <w:bottom w:val="single" w:sz="4" w:space="0" w:color="BFBFBF" w:themeColor="background1" w:themeShade="BF"/>
              <w:right w:val="nil"/>
            </w:tcBorders>
          </w:tcPr>
          <w:p w14:paraId="4E54940B" w14:textId="7B2F81C2" w:rsidR="00024C58" w:rsidRDefault="00F80F3F" w:rsidP="00345D0F">
            <w:pPr>
              <w:jc w:val="center"/>
              <w:rPr>
                <w:rFonts w:ascii="Times" w:hAnsi="Times" w:cs="Calibri"/>
                <w:color w:val="000000"/>
                <w:sz w:val="22"/>
                <w:szCs w:val="22"/>
              </w:rPr>
            </w:pPr>
            <w:r>
              <w:rPr>
                <w:rFonts w:ascii="Times" w:hAnsi="Times" w:cs="Calibri"/>
                <w:color w:val="000000"/>
                <w:sz w:val="22"/>
                <w:szCs w:val="22"/>
              </w:rPr>
              <w:t>0.0001</w:t>
            </w:r>
          </w:p>
        </w:tc>
      </w:tr>
      <w:tr w:rsidR="00024C58" w:rsidRPr="00796D55" w14:paraId="0AA5F722" w14:textId="1DC038AC" w:rsidTr="00024C58">
        <w:trPr>
          <w:gridAfter w:val="1"/>
          <w:wAfter w:w="47" w:type="dxa"/>
          <w:trHeight w:val="288"/>
        </w:trPr>
        <w:tc>
          <w:tcPr>
            <w:tcW w:w="3897" w:type="dxa"/>
            <w:tcBorders>
              <w:top w:val="single" w:sz="4" w:space="0" w:color="BFBFBF" w:themeColor="background1" w:themeShade="BF"/>
              <w:bottom w:val="single" w:sz="4" w:space="0" w:color="BFBFBF" w:themeColor="background1" w:themeShade="BF"/>
              <w:right w:val="nil"/>
            </w:tcBorders>
            <w:vAlign w:val="bottom"/>
          </w:tcPr>
          <w:p w14:paraId="7CD199D9" w14:textId="23551D98" w:rsidR="00024C58" w:rsidRDefault="00024C58" w:rsidP="00840105">
            <w:pPr>
              <w:rPr>
                <w:rFonts w:ascii="Times" w:hAnsi="Times" w:cs="Calibri"/>
                <w:color w:val="000000"/>
                <w:sz w:val="22"/>
                <w:szCs w:val="22"/>
              </w:rPr>
            </w:pPr>
            <w:r>
              <w:rPr>
                <w:rFonts w:ascii="Times" w:hAnsi="Times" w:cs="Calibri"/>
                <w:color w:val="000000"/>
                <w:sz w:val="22"/>
                <w:szCs w:val="22"/>
              </w:rPr>
              <w:t>Initial opioid days’ supply &gt;7 days</w:t>
            </w:r>
          </w:p>
        </w:tc>
        <w:tc>
          <w:tcPr>
            <w:tcW w:w="2902" w:type="dxa"/>
            <w:tcBorders>
              <w:top w:val="single" w:sz="4" w:space="0" w:color="BFBFBF" w:themeColor="background1" w:themeShade="BF"/>
              <w:left w:val="nil"/>
              <w:bottom w:val="single" w:sz="4" w:space="0" w:color="BFBFBF" w:themeColor="background1" w:themeShade="BF"/>
              <w:right w:val="nil"/>
            </w:tcBorders>
            <w:vAlign w:val="bottom"/>
          </w:tcPr>
          <w:p w14:paraId="10082786" w14:textId="2790C79D"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1.71</w:t>
            </w:r>
          </w:p>
        </w:tc>
        <w:tc>
          <w:tcPr>
            <w:tcW w:w="3691" w:type="dxa"/>
            <w:tcBorders>
              <w:top w:val="single" w:sz="4" w:space="0" w:color="BFBFBF" w:themeColor="background1" w:themeShade="BF"/>
              <w:left w:val="nil"/>
              <w:bottom w:val="single" w:sz="4" w:space="0" w:color="BFBFBF" w:themeColor="background1" w:themeShade="BF"/>
              <w:right w:val="nil"/>
            </w:tcBorders>
            <w:vAlign w:val="bottom"/>
          </w:tcPr>
          <w:p w14:paraId="23E105BD" w14:textId="5CE06038" w:rsidR="00024C58" w:rsidRPr="00796D55" w:rsidRDefault="00024C58" w:rsidP="00345D0F">
            <w:pPr>
              <w:jc w:val="center"/>
              <w:rPr>
                <w:rFonts w:ascii="Times" w:hAnsi="Times" w:cs="Calibri"/>
                <w:color w:val="000000"/>
                <w:sz w:val="22"/>
                <w:szCs w:val="22"/>
              </w:rPr>
            </w:pPr>
            <w:r>
              <w:rPr>
                <w:rFonts w:ascii="Times" w:hAnsi="Times" w:cs="Calibri"/>
                <w:color w:val="000000"/>
                <w:sz w:val="22"/>
                <w:szCs w:val="22"/>
              </w:rPr>
              <w:t>1.53 – 1.92</w:t>
            </w:r>
          </w:p>
        </w:tc>
        <w:tc>
          <w:tcPr>
            <w:tcW w:w="2423" w:type="dxa"/>
            <w:tcBorders>
              <w:top w:val="single" w:sz="4" w:space="0" w:color="BFBFBF" w:themeColor="background1" w:themeShade="BF"/>
              <w:left w:val="nil"/>
              <w:bottom w:val="single" w:sz="4" w:space="0" w:color="BFBFBF" w:themeColor="background1" w:themeShade="BF"/>
              <w:right w:val="nil"/>
            </w:tcBorders>
          </w:tcPr>
          <w:p w14:paraId="724AEDAE" w14:textId="6B917DDB" w:rsidR="00024C58" w:rsidRDefault="00F80F3F" w:rsidP="00345D0F">
            <w:pPr>
              <w:jc w:val="center"/>
              <w:rPr>
                <w:rFonts w:ascii="Times" w:hAnsi="Times" w:cs="Calibri"/>
                <w:color w:val="000000"/>
                <w:sz w:val="22"/>
                <w:szCs w:val="22"/>
              </w:rPr>
            </w:pPr>
            <w:r>
              <w:rPr>
                <w:rFonts w:ascii="Times" w:hAnsi="Times" w:cs="Calibri"/>
                <w:color w:val="000000"/>
                <w:sz w:val="22"/>
                <w:szCs w:val="22"/>
              </w:rPr>
              <w:t>&lt;0.0001</w:t>
            </w:r>
          </w:p>
        </w:tc>
      </w:tr>
      <w:tr w:rsidR="00024C58" w:rsidRPr="00796D55" w14:paraId="1D0EA30E" w14:textId="3F8D2C30" w:rsidTr="00024C58">
        <w:trPr>
          <w:gridAfter w:val="1"/>
          <w:wAfter w:w="47" w:type="dxa"/>
          <w:trHeight w:val="288"/>
        </w:trPr>
        <w:tc>
          <w:tcPr>
            <w:tcW w:w="3897" w:type="dxa"/>
            <w:tcBorders>
              <w:top w:val="single" w:sz="4" w:space="0" w:color="BFBFBF" w:themeColor="background1" w:themeShade="BF"/>
              <w:bottom w:val="single" w:sz="12" w:space="0" w:color="000000" w:themeColor="text1"/>
              <w:right w:val="nil"/>
            </w:tcBorders>
            <w:vAlign w:val="bottom"/>
          </w:tcPr>
          <w:p w14:paraId="44A84154" w14:textId="4DF9EB15" w:rsidR="00024C58" w:rsidRPr="00796D55" w:rsidRDefault="00024C58" w:rsidP="00840105">
            <w:pPr>
              <w:rPr>
                <w:rFonts w:ascii="Times" w:hAnsi="Times" w:cs="Calibri"/>
                <w:color w:val="000000" w:themeColor="text1"/>
                <w:sz w:val="22"/>
                <w:szCs w:val="22"/>
              </w:rPr>
            </w:pPr>
            <w:r>
              <w:rPr>
                <w:rFonts w:ascii="Times" w:hAnsi="Times" w:cs="Calibri"/>
                <w:color w:val="000000" w:themeColor="text1"/>
                <w:sz w:val="22"/>
                <w:szCs w:val="22"/>
              </w:rPr>
              <w:t>Initial opioid daily dose &gt;50 MEQ</w:t>
            </w:r>
          </w:p>
        </w:tc>
        <w:tc>
          <w:tcPr>
            <w:tcW w:w="2902" w:type="dxa"/>
            <w:tcBorders>
              <w:top w:val="single" w:sz="4" w:space="0" w:color="BFBFBF" w:themeColor="background1" w:themeShade="BF"/>
              <w:left w:val="nil"/>
              <w:bottom w:val="single" w:sz="12" w:space="0" w:color="000000" w:themeColor="text1"/>
              <w:right w:val="nil"/>
            </w:tcBorders>
            <w:vAlign w:val="bottom"/>
          </w:tcPr>
          <w:p w14:paraId="05DF1587" w14:textId="64825527" w:rsidR="00024C58" w:rsidRPr="00796D55" w:rsidRDefault="00024C58" w:rsidP="00345D0F">
            <w:pPr>
              <w:jc w:val="center"/>
              <w:rPr>
                <w:rFonts w:ascii="Times" w:hAnsi="Times" w:cs="Calibri"/>
                <w:color w:val="000000" w:themeColor="text1"/>
                <w:sz w:val="22"/>
                <w:szCs w:val="22"/>
              </w:rPr>
            </w:pPr>
            <w:r>
              <w:rPr>
                <w:rFonts w:ascii="Times" w:hAnsi="Times" w:cs="Calibri"/>
                <w:color w:val="000000" w:themeColor="text1"/>
                <w:sz w:val="22"/>
                <w:szCs w:val="22"/>
              </w:rPr>
              <w:t>1.00</w:t>
            </w:r>
          </w:p>
        </w:tc>
        <w:tc>
          <w:tcPr>
            <w:tcW w:w="3691" w:type="dxa"/>
            <w:tcBorders>
              <w:top w:val="single" w:sz="4" w:space="0" w:color="BFBFBF" w:themeColor="background1" w:themeShade="BF"/>
              <w:left w:val="nil"/>
              <w:bottom w:val="single" w:sz="12" w:space="0" w:color="000000" w:themeColor="text1"/>
              <w:right w:val="nil"/>
            </w:tcBorders>
            <w:vAlign w:val="bottom"/>
          </w:tcPr>
          <w:p w14:paraId="5A497FA2" w14:textId="59C06EF6" w:rsidR="00024C58" w:rsidRPr="00796D55" w:rsidRDefault="00024C58" w:rsidP="00345D0F">
            <w:pPr>
              <w:jc w:val="center"/>
              <w:rPr>
                <w:rFonts w:ascii="Times" w:hAnsi="Times" w:cs="Calibri"/>
                <w:color w:val="000000" w:themeColor="text1"/>
                <w:sz w:val="22"/>
                <w:szCs w:val="22"/>
              </w:rPr>
            </w:pPr>
            <w:r>
              <w:rPr>
                <w:rFonts w:ascii="Times" w:hAnsi="Times" w:cs="Calibri"/>
                <w:color w:val="000000" w:themeColor="text1"/>
                <w:sz w:val="22"/>
                <w:szCs w:val="22"/>
              </w:rPr>
              <w:t>0.84 – 1.19</w:t>
            </w:r>
          </w:p>
        </w:tc>
        <w:tc>
          <w:tcPr>
            <w:tcW w:w="2423" w:type="dxa"/>
            <w:tcBorders>
              <w:top w:val="single" w:sz="4" w:space="0" w:color="BFBFBF" w:themeColor="background1" w:themeShade="BF"/>
              <w:left w:val="nil"/>
              <w:bottom w:val="single" w:sz="12" w:space="0" w:color="000000" w:themeColor="text1"/>
              <w:right w:val="nil"/>
            </w:tcBorders>
          </w:tcPr>
          <w:p w14:paraId="25E51092" w14:textId="2DB8CD5D" w:rsidR="00024C58" w:rsidRDefault="00F80F3F" w:rsidP="00345D0F">
            <w:pPr>
              <w:jc w:val="center"/>
              <w:rPr>
                <w:rFonts w:ascii="Times" w:hAnsi="Times" w:cs="Calibri"/>
                <w:color w:val="000000" w:themeColor="text1"/>
                <w:sz w:val="22"/>
                <w:szCs w:val="22"/>
              </w:rPr>
            </w:pPr>
            <w:r>
              <w:rPr>
                <w:rFonts w:ascii="Times" w:hAnsi="Times" w:cs="Calibri"/>
                <w:color w:val="000000" w:themeColor="text1"/>
                <w:sz w:val="22"/>
                <w:szCs w:val="22"/>
              </w:rPr>
              <w:t>0.99</w:t>
            </w:r>
          </w:p>
        </w:tc>
      </w:tr>
    </w:tbl>
    <w:p w14:paraId="714EC54E" w14:textId="230CA30E" w:rsidR="005E451E" w:rsidRDefault="005E451E"/>
    <w:p w14:paraId="5BCA3EC8" w14:textId="78D76D9F" w:rsidR="005E451E" w:rsidRDefault="005E451E" w:rsidP="005E451E"/>
    <w:p w14:paraId="7B956D56" w14:textId="0CFF803A" w:rsidR="005E451E" w:rsidRDefault="005E451E" w:rsidP="005E451E"/>
    <w:p w14:paraId="40E6F81A" w14:textId="611B1F11" w:rsidR="00F50A81" w:rsidRDefault="00F50A81" w:rsidP="005E451E"/>
    <w:p w14:paraId="6883B48D" w14:textId="77777777" w:rsidR="0043237B" w:rsidRDefault="0043237B" w:rsidP="005E451E"/>
    <w:tbl>
      <w:tblPr>
        <w:tblStyle w:val="TableGrid"/>
        <w:tblW w:w="12538" w:type="dxa"/>
        <w:tblBorders>
          <w:top w:val="none" w:sz="0" w:space="0" w:color="auto"/>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142"/>
        <w:gridCol w:w="1984"/>
        <w:gridCol w:w="1843"/>
        <w:gridCol w:w="2432"/>
        <w:gridCol w:w="2026"/>
      </w:tblGrid>
      <w:tr w:rsidR="00136038" w:rsidRPr="00796D55" w14:paraId="27EB1716" w14:textId="77777777" w:rsidTr="00D13663">
        <w:trPr>
          <w:trHeight w:val="295"/>
        </w:trPr>
        <w:tc>
          <w:tcPr>
            <w:tcW w:w="12538" w:type="dxa"/>
            <w:gridSpan w:val="7"/>
            <w:tcBorders>
              <w:bottom w:val="single" w:sz="12" w:space="0" w:color="auto"/>
            </w:tcBorders>
            <w:shd w:val="clear" w:color="auto" w:fill="auto"/>
            <w:vAlign w:val="bottom"/>
          </w:tcPr>
          <w:p w14:paraId="307587E5" w14:textId="1E7D0073" w:rsidR="00136038" w:rsidRPr="00796D55" w:rsidRDefault="00136038" w:rsidP="00D13663">
            <w:pPr>
              <w:pStyle w:val="Heading1"/>
              <w:rPr>
                <w:rFonts w:ascii="Times" w:hAnsi="Times" w:cs="Calibri"/>
                <w:b/>
                <w:bCs/>
                <w:color w:val="000000" w:themeColor="text1"/>
                <w:sz w:val="22"/>
                <w:szCs w:val="22"/>
              </w:rPr>
            </w:pPr>
            <w:bookmarkStart w:id="10" w:name="_Toc98675840"/>
            <w:r w:rsidRPr="00796D55">
              <w:rPr>
                <w:rFonts w:ascii="Times" w:hAnsi="Times" w:cs="Calibri"/>
                <w:b/>
                <w:bCs/>
                <w:color w:val="000000" w:themeColor="text1"/>
                <w:sz w:val="22"/>
                <w:szCs w:val="22"/>
              </w:rPr>
              <w:lastRenderedPageBreak/>
              <w:t xml:space="preserve">e-Table 7. </w:t>
            </w:r>
            <w:r w:rsidRPr="00796D55">
              <w:rPr>
                <w:rFonts w:ascii="Times" w:hAnsi="Times" w:cs="Calibri"/>
                <w:color w:val="000000" w:themeColor="text1"/>
                <w:sz w:val="22"/>
                <w:szCs w:val="22"/>
              </w:rPr>
              <w:t>Hazard of on-treatment opioid toxicity during the year after initiating opioid therapy. Results from the unmatched, PS-matched, and HDPS-matched analyses</w:t>
            </w:r>
            <w:bookmarkEnd w:id="10"/>
          </w:p>
        </w:tc>
      </w:tr>
      <w:tr w:rsidR="00136038" w:rsidRPr="00796D55" w14:paraId="508073BC" w14:textId="77777777" w:rsidTr="00D13663">
        <w:trPr>
          <w:trHeight w:val="271"/>
        </w:trPr>
        <w:tc>
          <w:tcPr>
            <w:tcW w:w="2410" w:type="dxa"/>
            <w:tcBorders>
              <w:top w:val="single" w:sz="12" w:space="0" w:color="auto"/>
              <w:bottom w:val="nil"/>
              <w:right w:val="nil"/>
            </w:tcBorders>
            <w:vAlign w:val="bottom"/>
          </w:tcPr>
          <w:p w14:paraId="00E177FE" w14:textId="77777777" w:rsidR="00136038" w:rsidRPr="00796D55" w:rsidRDefault="00136038" w:rsidP="00D13663">
            <w:pPr>
              <w:rPr>
                <w:rFonts w:ascii="Times" w:hAnsi="Times" w:cs="Calibri"/>
                <w:color w:val="000000"/>
                <w:sz w:val="22"/>
                <w:szCs w:val="22"/>
              </w:rPr>
            </w:pPr>
            <w:r w:rsidRPr="00796D55">
              <w:rPr>
                <w:rFonts w:ascii="Times" w:hAnsi="Times" w:cs="Calibri"/>
                <w:color w:val="000000"/>
                <w:sz w:val="22"/>
                <w:szCs w:val="22"/>
              </w:rPr>
              <w:t> </w:t>
            </w:r>
          </w:p>
        </w:tc>
        <w:tc>
          <w:tcPr>
            <w:tcW w:w="1843" w:type="dxa"/>
            <w:gridSpan w:val="2"/>
            <w:tcBorders>
              <w:top w:val="single" w:sz="12" w:space="0" w:color="auto"/>
              <w:left w:val="nil"/>
              <w:bottom w:val="nil"/>
              <w:right w:val="nil"/>
            </w:tcBorders>
            <w:vAlign w:val="center"/>
          </w:tcPr>
          <w:p w14:paraId="64C50C4F" w14:textId="77777777" w:rsidR="00136038" w:rsidRPr="00796D55" w:rsidRDefault="00136038" w:rsidP="00D13663">
            <w:pPr>
              <w:jc w:val="center"/>
              <w:rPr>
                <w:rFonts w:ascii="Times" w:hAnsi="Times" w:cs="Calibri"/>
                <w:b/>
                <w:bCs/>
                <w:color w:val="000000"/>
                <w:sz w:val="22"/>
                <w:szCs w:val="22"/>
              </w:rPr>
            </w:pPr>
            <w:r w:rsidRPr="00796D55">
              <w:rPr>
                <w:rFonts w:ascii="Times" w:hAnsi="Times" w:cs="Calibri"/>
                <w:b/>
                <w:bCs/>
                <w:color w:val="000000"/>
                <w:sz w:val="22"/>
                <w:szCs w:val="22"/>
              </w:rPr>
              <w:t>Total Number of Individuals</w:t>
            </w:r>
          </w:p>
        </w:tc>
        <w:tc>
          <w:tcPr>
            <w:tcW w:w="1984" w:type="dxa"/>
            <w:tcBorders>
              <w:top w:val="single" w:sz="12" w:space="0" w:color="auto"/>
              <w:left w:val="nil"/>
              <w:bottom w:val="nil"/>
              <w:right w:val="nil"/>
            </w:tcBorders>
            <w:vAlign w:val="center"/>
          </w:tcPr>
          <w:p w14:paraId="76762603" w14:textId="77777777" w:rsidR="00136038" w:rsidRPr="00796D55" w:rsidRDefault="00136038" w:rsidP="00D13663">
            <w:pPr>
              <w:jc w:val="center"/>
              <w:rPr>
                <w:rFonts w:ascii="Times" w:hAnsi="Times" w:cs="Calibri"/>
                <w:b/>
                <w:bCs/>
                <w:color w:val="000000"/>
                <w:sz w:val="22"/>
                <w:szCs w:val="22"/>
              </w:rPr>
            </w:pPr>
            <w:r w:rsidRPr="00796D55">
              <w:rPr>
                <w:rFonts w:ascii="Times" w:hAnsi="Times" w:cs="Calibri"/>
                <w:b/>
                <w:bCs/>
                <w:color w:val="000000"/>
                <w:sz w:val="22"/>
                <w:szCs w:val="22"/>
              </w:rPr>
              <w:t>Total Number of Person-Years of Follow-Up</w:t>
            </w:r>
          </w:p>
        </w:tc>
        <w:tc>
          <w:tcPr>
            <w:tcW w:w="1843" w:type="dxa"/>
            <w:tcBorders>
              <w:top w:val="single" w:sz="12" w:space="0" w:color="auto"/>
              <w:left w:val="nil"/>
              <w:bottom w:val="nil"/>
              <w:right w:val="nil"/>
            </w:tcBorders>
            <w:vAlign w:val="center"/>
          </w:tcPr>
          <w:p w14:paraId="2D9D3B4D" w14:textId="77777777" w:rsidR="00136038" w:rsidRPr="00796D55" w:rsidRDefault="00136038" w:rsidP="00D13663">
            <w:pPr>
              <w:jc w:val="center"/>
              <w:rPr>
                <w:rFonts w:ascii="Times" w:hAnsi="Times" w:cs="Calibri"/>
                <w:b/>
                <w:bCs/>
                <w:color w:val="000000"/>
                <w:sz w:val="22"/>
                <w:szCs w:val="22"/>
              </w:rPr>
            </w:pPr>
            <w:r w:rsidRPr="00796D55">
              <w:rPr>
                <w:rFonts w:ascii="Times" w:hAnsi="Times" w:cs="Calibri"/>
                <w:b/>
                <w:bCs/>
                <w:color w:val="000000"/>
                <w:sz w:val="22"/>
                <w:szCs w:val="22"/>
              </w:rPr>
              <w:t>Number of Individuals with Outcome</w:t>
            </w:r>
          </w:p>
        </w:tc>
        <w:tc>
          <w:tcPr>
            <w:tcW w:w="2432" w:type="dxa"/>
            <w:tcBorders>
              <w:top w:val="single" w:sz="12" w:space="0" w:color="auto"/>
              <w:left w:val="nil"/>
              <w:bottom w:val="nil"/>
              <w:right w:val="nil"/>
            </w:tcBorders>
            <w:vAlign w:val="center"/>
          </w:tcPr>
          <w:p w14:paraId="03F8B658" w14:textId="77777777" w:rsidR="00136038" w:rsidRPr="00796D55" w:rsidRDefault="00136038" w:rsidP="00D13663">
            <w:pPr>
              <w:jc w:val="center"/>
              <w:rPr>
                <w:rFonts w:ascii="Times" w:hAnsi="Times" w:cs="Calibri"/>
                <w:b/>
                <w:bCs/>
                <w:color w:val="000000"/>
                <w:sz w:val="22"/>
                <w:szCs w:val="22"/>
              </w:rPr>
            </w:pPr>
            <w:r w:rsidRPr="00796D55">
              <w:rPr>
                <w:rFonts w:ascii="Times" w:hAnsi="Times" w:cs="Calibri"/>
                <w:b/>
                <w:bCs/>
                <w:color w:val="000000"/>
                <w:sz w:val="22"/>
                <w:szCs w:val="22"/>
              </w:rPr>
              <w:t>Incidence Rate per 1,000 Person-Years (95% CI)</w:t>
            </w:r>
          </w:p>
        </w:tc>
        <w:tc>
          <w:tcPr>
            <w:tcW w:w="2026" w:type="dxa"/>
            <w:tcBorders>
              <w:top w:val="single" w:sz="12" w:space="0" w:color="auto"/>
              <w:left w:val="nil"/>
              <w:bottom w:val="nil"/>
            </w:tcBorders>
            <w:vAlign w:val="center"/>
          </w:tcPr>
          <w:p w14:paraId="7777F860" w14:textId="77777777" w:rsidR="00136038" w:rsidRPr="00796D55" w:rsidRDefault="00136038" w:rsidP="00D13663">
            <w:pPr>
              <w:jc w:val="center"/>
              <w:rPr>
                <w:rFonts w:ascii="Times" w:hAnsi="Times" w:cs="Calibri"/>
                <w:b/>
                <w:bCs/>
                <w:color w:val="000000"/>
                <w:sz w:val="22"/>
                <w:szCs w:val="22"/>
              </w:rPr>
            </w:pPr>
            <w:r w:rsidRPr="00796D55">
              <w:rPr>
                <w:rFonts w:ascii="Times" w:hAnsi="Times" w:cs="Calibri"/>
                <w:b/>
                <w:bCs/>
                <w:color w:val="000000"/>
                <w:sz w:val="22"/>
                <w:szCs w:val="22"/>
              </w:rPr>
              <w:t>Hazard Ratio (95% CI)</w:t>
            </w:r>
          </w:p>
        </w:tc>
      </w:tr>
      <w:tr w:rsidR="00136038" w:rsidRPr="00796D55" w14:paraId="50F7B411" w14:textId="77777777" w:rsidTr="00D13663">
        <w:trPr>
          <w:trHeight w:val="260"/>
        </w:trPr>
        <w:tc>
          <w:tcPr>
            <w:tcW w:w="12538" w:type="dxa"/>
            <w:gridSpan w:val="7"/>
            <w:tcBorders>
              <w:top w:val="nil"/>
              <w:bottom w:val="single" w:sz="4" w:space="0" w:color="000000" w:themeColor="text1"/>
            </w:tcBorders>
          </w:tcPr>
          <w:p w14:paraId="5562F902" w14:textId="0CDA2AA4" w:rsidR="00136038" w:rsidRPr="00796D55" w:rsidRDefault="00136038" w:rsidP="00D13663">
            <w:pPr>
              <w:rPr>
                <w:rFonts w:ascii="Times" w:hAnsi="Times"/>
                <w:b/>
                <w:bCs/>
                <w:sz w:val="22"/>
                <w:szCs w:val="22"/>
              </w:rPr>
            </w:pPr>
            <w:r w:rsidRPr="00796D55">
              <w:rPr>
                <w:rFonts w:ascii="Times" w:hAnsi="Times" w:cs="Calibri"/>
                <w:b/>
                <w:bCs/>
                <w:color w:val="000000"/>
                <w:sz w:val="22"/>
                <w:szCs w:val="22"/>
              </w:rPr>
              <w:t>Unmatched</w:t>
            </w:r>
          </w:p>
        </w:tc>
      </w:tr>
      <w:tr w:rsidR="00796D55" w:rsidRPr="00796D55" w14:paraId="4D13E15C" w14:textId="77777777" w:rsidTr="00D13663">
        <w:trPr>
          <w:trHeight w:val="260"/>
        </w:trPr>
        <w:tc>
          <w:tcPr>
            <w:tcW w:w="2410" w:type="dxa"/>
            <w:tcBorders>
              <w:top w:val="single" w:sz="4" w:space="0" w:color="000000" w:themeColor="text1"/>
              <w:bottom w:val="single" w:sz="4" w:space="0" w:color="BFBFBF" w:themeColor="background1" w:themeShade="BF"/>
              <w:right w:val="nil"/>
            </w:tcBorders>
            <w:vAlign w:val="bottom"/>
          </w:tcPr>
          <w:p w14:paraId="49C3D10F" w14:textId="77777777" w:rsidR="00796D55" w:rsidRPr="00796D55" w:rsidRDefault="00796D55" w:rsidP="00796D55">
            <w:pPr>
              <w:rPr>
                <w:rFonts w:ascii="Times" w:hAnsi="Times"/>
                <w:sz w:val="22"/>
                <w:szCs w:val="22"/>
              </w:rPr>
            </w:pPr>
            <w:r w:rsidRPr="00796D55">
              <w:rPr>
                <w:rFonts w:ascii="Times" w:hAnsi="Times" w:cs="Calibri"/>
                <w:color w:val="000000"/>
                <w:sz w:val="22"/>
                <w:szCs w:val="22"/>
              </w:rPr>
              <w:t xml:space="preserve">     No IDD Diagnosis</w:t>
            </w:r>
          </w:p>
        </w:tc>
        <w:tc>
          <w:tcPr>
            <w:tcW w:w="1701" w:type="dxa"/>
            <w:tcBorders>
              <w:top w:val="single" w:sz="4" w:space="0" w:color="000000" w:themeColor="text1"/>
              <w:left w:val="nil"/>
              <w:bottom w:val="single" w:sz="4" w:space="0" w:color="BFBFBF" w:themeColor="background1" w:themeShade="BF"/>
              <w:right w:val="nil"/>
            </w:tcBorders>
            <w:vAlign w:val="bottom"/>
          </w:tcPr>
          <w:p w14:paraId="783800F7" w14:textId="4CE9D940" w:rsidR="00796D55" w:rsidRPr="00796D55" w:rsidRDefault="00796D55" w:rsidP="00796D55">
            <w:pPr>
              <w:jc w:val="center"/>
              <w:rPr>
                <w:rFonts w:ascii="Times" w:hAnsi="Times"/>
                <w:sz w:val="22"/>
                <w:szCs w:val="22"/>
              </w:rPr>
            </w:pPr>
            <w:r w:rsidRPr="00796D55">
              <w:rPr>
                <w:rFonts w:ascii="Times" w:hAnsi="Times" w:cs="Calibri"/>
                <w:color w:val="000000"/>
                <w:sz w:val="22"/>
                <w:szCs w:val="22"/>
              </w:rPr>
              <w:t>3,931,095</w:t>
            </w:r>
          </w:p>
        </w:tc>
        <w:tc>
          <w:tcPr>
            <w:tcW w:w="2126" w:type="dxa"/>
            <w:gridSpan w:val="2"/>
            <w:tcBorders>
              <w:top w:val="single" w:sz="4" w:space="0" w:color="000000" w:themeColor="text1"/>
              <w:left w:val="nil"/>
              <w:bottom w:val="single" w:sz="4" w:space="0" w:color="BFBFBF" w:themeColor="background1" w:themeShade="BF"/>
              <w:right w:val="nil"/>
            </w:tcBorders>
            <w:vAlign w:val="bottom"/>
          </w:tcPr>
          <w:p w14:paraId="1789FFBD" w14:textId="65D19A7E" w:rsidR="00796D55" w:rsidRPr="00796D55" w:rsidRDefault="00796D55" w:rsidP="00796D55">
            <w:pPr>
              <w:jc w:val="center"/>
              <w:rPr>
                <w:rFonts w:ascii="Times" w:hAnsi="Times"/>
                <w:sz w:val="22"/>
                <w:szCs w:val="22"/>
              </w:rPr>
            </w:pPr>
            <w:r w:rsidRPr="00796D55">
              <w:rPr>
                <w:rFonts w:ascii="Times" w:hAnsi="Times" w:cs="Calibri"/>
                <w:color w:val="000000"/>
                <w:sz w:val="22"/>
                <w:szCs w:val="22"/>
              </w:rPr>
              <w:t>129,76</w:t>
            </w:r>
            <w:r w:rsidR="00D60DA4">
              <w:rPr>
                <w:rFonts w:ascii="Times" w:hAnsi="Times" w:cs="Calibri"/>
                <w:color w:val="000000"/>
                <w:sz w:val="22"/>
                <w:szCs w:val="22"/>
              </w:rPr>
              <w:t>4</w:t>
            </w:r>
          </w:p>
        </w:tc>
        <w:tc>
          <w:tcPr>
            <w:tcW w:w="1843" w:type="dxa"/>
            <w:tcBorders>
              <w:top w:val="single" w:sz="4" w:space="0" w:color="000000" w:themeColor="text1"/>
              <w:left w:val="nil"/>
              <w:bottom w:val="single" w:sz="4" w:space="0" w:color="BFBFBF" w:themeColor="background1" w:themeShade="BF"/>
              <w:right w:val="nil"/>
            </w:tcBorders>
            <w:vAlign w:val="bottom"/>
          </w:tcPr>
          <w:p w14:paraId="2424C0D1" w14:textId="4AE7DBC3"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524</w:t>
            </w:r>
          </w:p>
        </w:tc>
        <w:tc>
          <w:tcPr>
            <w:tcW w:w="2432" w:type="dxa"/>
            <w:tcBorders>
              <w:top w:val="single" w:sz="4" w:space="0" w:color="000000" w:themeColor="text1"/>
              <w:left w:val="nil"/>
              <w:bottom w:val="single" w:sz="4" w:space="0" w:color="BFBFBF" w:themeColor="background1" w:themeShade="BF"/>
              <w:right w:val="nil"/>
            </w:tcBorders>
            <w:vAlign w:val="bottom"/>
          </w:tcPr>
          <w:p w14:paraId="3105CC85" w14:textId="1C95A233"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4.04 (3.71 - 4.40)</w:t>
            </w:r>
          </w:p>
        </w:tc>
        <w:tc>
          <w:tcPr>
            <w:tcW w:w="2026" w:type="dxa"/>
            <w:tcBorders>
              <w:top w:val="single" w:sz="4" w:space="0" w:color="000000" w:themeColor="text1"/>
              <w:left w:val="nil"/>
              <w:bottom w:val="single" w:sz="4" w:space="0" w:color="BFBFBF" w:themeColor="background1" w:themeShade="BF"/>
            </w:tcBorders>
            <w:vAlign w:val="bottom"/>
          </w:tcPr>
          <w:p w14:paraId="4683E5CE" w14:textId="427115AD"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1.00 [reference]</w:t>
            </w:r>
          </w:p>
        </w:tc>
      </w:tr>
      <w:tr w:rsidR="00796D55" w:rsidRPr="00796D55" w14:paraId="54AF1156" w14:textId="77777777" w:rsidTr="00D13663">
        <w:trPr>
          <w:trHeight w:val="260"/>
        </w:trPr>
        <w:tc>
          <w:tcPr>
            <w:tcW w:w="2410" w:type="dxa"/>
            <w:tcBorders>
              <w:top w:val="single" w:sz="4" w:space="0" w:color="BFBFBF" w:themeColor="background1" w:themeShade="BF"/>
              <w:bottom w:val="single" w:sz="4" w:space="0" w:color="BFBFBF" w:themeColor="background1" w:themeShade="BF"/>
              <w:right w:val="nil"/>
            </w:tcBorders>
            <w:vAlign w:val="bottom"/>
          </w:tcPr>
          <w:p w14:paraId="0EB951E1" w14:textId="77777777" w:rsidR="00796D55" w:rsidRPr="00796D55" w:rsidRDefault="00796D55" w:rsidP="00796D55">
            <w:pPr>
              <w:rPr>
                <w:rFonts w:ascii="Times" w:hAnsi="Times"/>
                <w:sz w:val="22"/>
                <w:szCs w:val="22"/>
              </w:rPr>
            </w:pPr>
            <w:r w:rsidRPr="00796D55">
              <w:rPr>
                <w:rFonts w:ascii="Times" w:hAnsi="Times" w:cs="Calibri"/>
                <w:color w:val="000000"/>
                <w:sz w:val="22"/>
                <w:szCs w:val="22"/>
              </w:rPr>
              <w:t xml:space="preserve">     IDD Diagnosis</w:t>
            </w:r>
          </w:p>
        </w:tc>
        <w:tc>
          <w:tcPr>
            <w:tcW w:w="1701" w:type="dxa"/>
            <w:tcBorders>
              <w:top w:val="single" w:sz="4" w:space="0" w:color="BFBFBF" w:themeColor="background1" w:themeShade="BF"/>
              <w:left w:val="nil"/>
              <w:bottom w:val="single" w:sz="4" w:space="0" w:color="BFBFBF" w:themeColor="background1" w:themeShade="BF"/>
              <w:right w:val="nil"/>
            </w:tcBorders>
            <w:vAlign w:val="bottom"/>
          </w:tcPr>
          <w:p w14:paraId="7686D4D7" w14:textId="0CBD732C" w:rsidR="00796D55" w:rsidRPr="00796D55" w:rsidRDefault="00796D55" w:rsidP="00796D55">
            <w:pPr>
              <w:jc w:val="center"/>
              <w:rPr>
                <w:rFonts w:ascii="Times" w:hAnsi="Times"/>
                <w:sz w:val="22"/>
                <w:szCs w:val="22"/>
              </w:rPr>
            </w:pPr>
            <w:r w:rsidRPr="00796D55">
              <w:rPr>
                <w:rFonts w:ascii="Times" w:hAnsi="Times" w:cs="Calibri"/>
                <w:color w:val="000000"/>
                <w:sz w:val="22"/>
                <w:szCs w:val="22"/>
              </w:rPr>
              <w:t>20,684</w:t>
            </w:r>
          </w:p>
        </w:tc>
        <w:tc>
          <w:tcPr>
            <w:tcW w:w="2126" w:type="dxa"/>
            <w:gridSpan w:val="2"/>
            <w:tcBorders>
              <w:top w:val="single" w:sz="4" w:space="0" w:color="BFBFBF" w:themeColor="background1" w:themeShade="BF"/>
              <w:left w:val="nil"/>
              <w:bottom w:val="single" w:sz="4" w:space="0" w:color="BFBFBF" w:themeColor="background1" w:themeShade="BF"/>
              <w:right w:val="nil"/>
            </w:tcBorders>
            <w:vAlign w:val="bottom"/>
          </w:tcPr>
          <w:p w14:paraId="2DA02D79" w14:textId="7AC0A0D6" w:rsidR="00796D55" w:rsidRPr="00796D55" w:rsidRDefault="00796D55" w:rsidP="00796D55">
            <w:pPr>
              <w:jc w:val="center"/>
              <w:rPr>
                <w:rFonts w:ascii="Times" w:hAnsi="Times"/>
                <w:sz w:val="22"/>
                <w:szCs w:val="22"/>
              </w:rPr>
            </w:pPr>
            <w:r w:rsidRPr="00796D55">
              <w:rPr>
                <w:rFonts w:ascii="Times" w:hAnsi="Times" w:cs="Calibri"/>
                <w:color w:val="000000"/>
                <w:sz w:val="22"/>
                <w:szCs w:val="22"/>
              </w:rPr>
              <w:t>703</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74FD4E0D" w14:textId="220F471D"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9</w:t>
            </w:r>
          </w:p>
        </w:tc>
        <w:tc>
          <w:tcPr>
            <w:tcW w:w="2432" w:type="dxa"/>
            <w:tcBorders>
              <w:top w:val="single" w:sz="4" w:space="0" w:color="BFBFBF" w:themeColor="background1" w:themeShade="BF"/>
              <w:left w:val="nil"/>
              <w:bottom w:val="single" w:sz="4" w:space="0" w:color="BFBFBF" w:themeColor="background1" w:themeShade="BF"/>
              <w:right w:val="nil"/>
            </w:tcBorders>
            <w:vAlign w:val="bottom"/>
          </w:tcPr>
          <w:p w14:paraId="34A8336C" w14:textId="7ABD4E3A"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12.8 (6.69 - 24.5)</w:t>
            </w:r>
          </w:p>
        </w:tc>
        <w:tc>
          <w:tcPr>
            <w:tcW w:w="2026" w:type="dxa"/>
            <w:tcBorders>
              <w:top w:val="single" w:sz="4" w:space="0" w:color="BFBFBF" w:themeColor="background1" w:themeShade="BF"/>
              <w:left w:val="nil"/>
              <w:bottom w:val="single" w:sz="4" w:space="0" w:color="BFBFBF" w:themeColor="background1" w:themeShade="BF"/>
            </w:tcBorders>
            <w:vAlign w:val="bottom"/>
          </w:tcPr>
          <w:p w14:paraId="33C982E3" w14:textId="7C93C451" w:rsidR="00796D55" w:rsidRPr="00796D55" w:rsidRDefault="00796D55" w:rsidP="00796D55">
            <w:pPr>
              <w:jc w:val="center"/>
              <w:rPr>
                <w:rFonts w:ascii="Times" w:hAnsi="Times" w:cs="Calibri"/>
                <w:color w:val="000000"/>
                <w:sz w:val="22"/>
                <w:szCs w:val="22"/>
                <w:vertAlign w:val="superscript"/>
              </w:rPr>
            </w:pPr>
            <w:r w:rsidRPr="00796D55">
              <w:rPr>
                <w:rFonts w:ascii="Times" w:hAnsi="Times" w:cs="Calibri"/>
                <w:color w:val="000000"/>
                <w:sz w:val="22"/>
                <w:szCs w:val="22"/>
              </w:rPr>
              <w:t>3.11 (1.61 – 6.01)</w:t>
            </w:r>
          </w:p>
        </w:tc>
      </w:tr>
      <w:tr w:rsidR="00136038" w:rsidRPr="00796D55" w14:paraId="30DDC049" w14:textId="77777777" w:rsidTr="00D13663">
        <w:trPr>
          <w:trHeight w:val="260"/>
        </w:trPr>
        <w:tc>
          <w:tcPr>
            <w:tcW w:w="12538" w:type="dxa"/>
            <w:gridSpan w:val="7"/>
            <w:tcBorders>
              <w:top w:val="single" w:sz="4" w:space="0" w:color="BFBFBF" w:themeColor="background1" w:themeShade="BF"/>
              <w:bottom w:val="single" w:sz="4" w:space="0" w:color="000000" w:themeColor="text1"/>
            </w:tcBorders>
          </w:tcPr>
          <w:p w14:paraId="5B38E609" w14:textId="52A4F0BD" w:rsidR="00136038" w:rsidRPr="00796D55" w:rsidRDefault="00136038" w:rsidP="00D13663">
            <w:pPr>
              <w:rPr>
                <w:rFonts w:ascii="Times" w:hAnsi="Times"/>
                <w:sz w:val="22"/>
                <w:szCs w:val="22"/>
              </w:rPr>
            </w:pPr>
            <w:r w:rsidRPr="00796D55">
              <w:rPr>
                <w:rFonts w:ascii="Times" w:hAnsi="Times"/>
                <w:b/>
                <w:bCs/>
                <w:sz w:val="22"/>
                <w:szCs w:val="22"/>
              </w:rPr>
              <w:t>PS Matched</w:t>
            </w:r>
          </w:p>
        </w:tc>
      </w:tr>
      <w:tr w:rsidR="00796D55" w:rsidRPr="00796D55" w14:paraId="1B0C3A8D" w14:textId="77777777" w:rsidTr="00D13663">
        <w:trPr>
          <w:trHeight w:val="260"/>
        </w:trPr>
        <w:tc>
          <w:tcPr>
            <w:tcW w:w="2410" w:type="dxa"/>
            <w:tcBorders>
              <w:top w:val="single" w:sz="4" w:space="0" w:color="000000" w:themeColor="text1"/>
              <w:bottom w:val="single" w:sz="4" w:space="0" w:color="BFBFBF" w:themeColor="background1" w:themeShade="BF"/>
              <w:right w:val="nil"/>
            </w:tcBorders>
            <w:vAlign w:val="bottom"/>
          </w:tcPr>
          <w:p w14:paraId="46268244" w14:textId="77777777" w:rsidR="00796D55" w:rsidRPr="00796D55" w:rsidRDefault="00796D55" w:rsidP="00796D55">
            <w:pPr>
              <w:rPr>
                <w:rFonts w:ascii="Times" w:hAnsi="Times"/>
                <w:sz w:val="22"/>
                <w:szCs w:val="22"/>
              </w:rPr>
            </w:pPr>
            <w:r w:rsidRPr="00796D55">
              <w:rPr>
                <w:rFonts w:ascii="Times" w:hAnsi="Times" w:cs="Calibri"/>
                <w:color w:val="000000"/>
                <w:sz w:val="22"/>
                <w:szCs w:val="22"/>
              </w:rPr>
              <w:t xml:space="preserve">     No IDD Diagnosis</w:t>
            </w:r>
          </w:p>
        </w:tc>
        <w:tc>
          <w:tcPr>
            <w:tcW w:w="1843" w:type="dxa"/>
            <w:gridSpan w:val="2"/>
            <w:tcBorders>
              <w:top w:val="single" w:sz="4" w:space="0" w:color="000000" w:themeColor="text1"/>
              <w:left w:val="nil"/>
              <w:bottom w:val="single" w:sz="4" w:space="0" w:color="BFBFBF" w:themeColor="background1" w:themeShade="BF"/>
              <w:right w:val="nil"/>
            </w:tcBorders>
            <w:vAlign w:val="bottom"/>
          </w:tcPr>
          <w:p w14:paraId="4E604B0F" w14:textId="36B2C3A6" w:rsidR="00796D55" w:rsidRPr="00796D55" w:rsidRDefault="00796D55" w:rsidP="00796D55">
            <w:pPr>
              <w:jc w:val="center"/>
              <w:rPr>
                <w:rFonts w:ascii="Times" w:hAnsi="Times"/>
                <w:sz w:val="22"/>
                <w:szCs w:val="22"/>
              </w:rPr>
            </w:pPr>
            <w:r w:rsidRPr="00796D55">
              <w:rPr>
                <w:rFonts w:ascii="Times" w:hAnsi="Times" w:cs="Calibri"/>
                <w:color w:val="000000"/>
                <w:sz w:val="22"/>
                <w:szCs w:val="22"/>
              </w:rPr>
              <w:t>76,708</w:t>
            </w:r>
          </w:p>
        </w:tc>
        <w:tc>
          <w:tcPr>
            <w:tcW w:w="1984" w:type="dxa"/>
            <w:tcBorders>
              <w:top w:val="single" w:sz="4" w:space="0" w:color="000000" w:themeColor="text1"/>
              <w:left w:val="nil"/>
              <w:bottom w:val="single" w:sz="4" w:space="0" w:color="BFBFBF" w:themeColor="background1" w:themeShade="BF"/>
              <w:right w:val="nil"/>
            </w:tcBorders>
            <w:vAlign w:val="bottom"/>
          </w:tcPr>
          <w:p w14:paraId="5F2C6EEA" w14:textId="592E2F5F" w:rsidR="00796D55" w:rsidRPr="00796D55" w:rsidRDefault="00796D55" w:rsidP="00796D55">
            <w:pPr>
              <w:jc w:val="center"/>
              <w:rPr>
                <w:rFonts w:ascii="Times" w:hAnsi="Times"/>
                <w:sz w:val="22"/>
                <w:szCs w:val="22"/>
              </w:rPr>
            </w:pPr>
            <w:r w:rsidRPr="00796D55">
              <w:rPr>
                <w:rFonts w:ascii="Times" w:hAnsi="Times" w:cs="Calibri"/>
                <w:color w:val="000000"/>
                <w:sz w:val="22"/>
                <w:szCs w:val="22"/>
              </w:rPr>
              <w:t>2,20</w:t>
            </w:r>
            <w:r w:rsidR="00D60DA4">
              <w:rPr>
                <w:rFonts w:ascii="Times" w:hAnsi="Times" w:cs="Calibri"/>
                <w:color w:val="000000"/>
                <w:sz w:val="22"/>
                <w:szCs w:val="22"/>
              </w:rPr>
              <w:t>5</w:t>
            </w:r>
          </w:p>
        </w:tc>
        <w:tc>
          <w:tcPr>
            <w:tcW w:w="1843" w:type="dxa"/>
            <w:tcBorders>
              <w:top w:val="single" w:sz="4" w:space="0" w:color="000000" w:themeColor="text1"/>
              <w:left w:val="nil"/>
              <w:bottom w:val="single" w:sz="4" w:space="0" w:color="BFBFBF" w:themeColor="background1" w:themeShade="BF"/>
              <w:right w:val="nil"/>
            </w:tcBorders>
            <w:vAlign w:val="bottom"/>
          </w:tcPr>
          <w:p w14:paraId="46A7F980" w14:textId="09E69958"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17</w:t>
            </w:r>
          </w:p>
        </w:tc>
        <w:tc>
          <w:tcPr>
            <w:tcW w:w="2432" w:type="dxa"/>
            <w:tcBorders>
              <w:top w:val="single" w:sz="4" w:space="0" w:color="000000" w:themeColor="text1"/>
              <w:left w:val="nil"/>
              <w:bottom w:val="single" w:sz="4" w:space="0" w:color="BFBFBF" w:themeColor="background1" w:themeShade="BF"/>
              <w:right w:val="nil"/>
            </w:tcBorders>
            <w:vAlign w:val="bottom"/>
          </w:tcPr>
          <w:p w14:paraId="351B6BF5" w14:textId="78E10C12"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7.71 (4.80 - 12.38)</w:t>
            </w:r>
          </w:p>
        </w:tc>
        <w:tc>
          <w:tcPr>
            <w:tcW w:w="2026" w:type="dxa"/>
            <w:tcBorders>
              <w:top w:val="single" w:sz="4" w:space="0" w:color="000000" w:themeColor="text1"/>
              <w:left w:val="nil"/>
              <w:bottom w:val="single" w:sz="4" w:space="0" w:color="BFBFBF" w:themeColor="background1" w:themeShade="BF"/>
            </w:tcBorders>
            <w:vAlign w:val="bottom"/>
          </w:tcPr>
          <w:p w14:paraId="78096247" w14:textId="47FC9394"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1.00 [reference]</w:t>
            </w:r>
          </w:p>
        </w:tc>
      </w:tr>
      <w:tr w:rsidR="00796D55" w:rsidRPr="00796D55" w14:paraId="2DD6A204" w14:textId="77777777" w:rsidTr="00D13663">
        <w:trPr>
          <w:trHeight w:val="260"/>
        </w:trPr>
        <w:tc>
          <w:tcPr>
            <w:tcW w:w="2410" w:type="dxa"/>
            <w:tcBorders>
              <w:top w:val="single" w:sz="4" w:space="0" w:color="BFBFBF" w:themeColor="background1" w:themeShade="BF"/>
              <w:bottom w:val="single" w:sz="4" w:space="0" w:color="BFBFBF" w:themeColor="background1" w:themeShade="BF"/>
              <w:right w:val="nil"/>
            </w:tcBorders>
            <w:vAlign w:val="bottom"/>
          </w:tcPr>
          <w:p w14:paraId="3F2EF755" w14:textId="77777777" w:rsidR="00796D55" w:rsidRPr="00796D55" w:rsidRDefault="00796D55" w:rsidP="00796D55">
            <w:pPr>
              <w:rPr>
                <w:rFonts w:ascii="Times" w:hAnsi="Times"/>
                <w:sz w:val="22"/>
                <w:szCs w:val="22"/>
              </w:rPr>
            </w:pPr>
            <w:r w:rsidRPr="00796D55">
              <w:rPr>
                <w:rFonts w:ascii="Times" w:hAnsi="Times" w:cs="Calibri"/>
                <w:color w:val="000000"/>
                <w:sz w:val="22"/>
                <w:szCs w:val="22"/>
              </w:rPr>
              <w:t xml:space="preserve">     IDD Diagnosis</w:t>
            </w:r>
          </w:p>
        </w:tc>
        <w:tc>
          <w:tcPr>
            <w:tcW w:w="1843" w:type="dxa"/>
            <w:gridSpan w:val="2"/>
            <w:tcBorders>
              <w:top w:val="single" w:sz="4" w:space="0" w:color="BFBFBF" w:themeColor="background1" w:themeShade="BF"/>
              <w:left w:val="nil"/>
              <w:bottom w:val="single" w:sz="4" w:space="0" w:color="BFBFBF" w:themeColor="background1" w:themeShade="BF"/>
              <w:right w:val="nil"/>
            </w:tcBorders>
            <w:vAlign w:val="bottom"/>
          </w:tcPr>
          <w:p w14:paraId="07D355FE" w14:textId="55FA33C1" w:rsidR="00796D55" w:rsidRPr="00796D55" w:rsidRDefault="00796D55" w:rsidP="00796D55">
            <w:pPr>
              <w:jc w:val="center"/>
              <w:rPr>
                <w:rFonts w:ascii="Times" w:hAnsi="Times"/>
                <w:sz w:val="22"/>
                <w:szCs w:val="22"/>
              </w:rPr>
            </w:pPr>
            <w:r w:rsidRPr="00796D55">
              <w:rPr>
                <w:rFonts w:ascii="Times" w:hAnsi="Times" w:cs="Calibri"/>
                <w:color w:val="000000"/>
                <w:sz w:val="22"/>
                <w:szCs w:val="22"/>
              </w:rPr>
              <w:t>19,814</w:t>
            </w:r>
          </w:p>
        </w:tc>
        <w:tc>
          <w:tcPr>
            <w:tcW w:w="1984" w:type="dxa"/>
            <w:tcBorders>
              <w:top w:val="single" w:sz="4" w:space="0" w:color="BFBFBF" w:themeColor="background1" w:themeShade="BF"/>
              <w:left w:val="nil"/>
              <w:bottom w:val="single" w:sz="4" w:space="0" w:color="BFBFBF" w:themeColor="background1" w:themeShade="BF"/>
              <w:right w:val="nil"/>
            </w:tcBorders>
            <w:vAlign w:val="bottom"/>
          </w:tcPr>
          <w:p w14:paraId="5196AA25" w14:textId="28FFE9CC" w:rsidR="00796D55" w:rsidRPr="00796D55" w:rsidRDefault="00796D55" w:rsidP="00796D55">
            <w:pPr>
              <w:jc w:val="center"/>
              <w:rPr>
                <w:rFonts w:ascii="Times" w:hAnsi="Times"/>
                <w:sz w:val="22"/>
                <w:szCs w:val="22"/>
              </w:rPr>
            </w:pPr>
            <w:r w:rsidRPr="00796D55">
              <w:rPr>
                <w:rFonts w:ascii="Times" w:hAnsi="Times" w:cs="Calibri"/>
                <w:color w:val="000000"/>
                <w:sz w:val="22"/>
                <w:szCs w:val="22"/>
              </w:rPr>
              <w:t>641</w:t>
            </w:r>
          </w:p>
        </w:tc>
        <w:tc>
          <w:tcPr>
            <w:tcW w:w="1843" w:type="dxa"/>
            <w:tcBorders>
              <w:top w:val="single" w:sz="4" w:space="0" w:color="BFBFBF" w:themeColor="background1" w:themeShade="BF"/>
              <w:left w:val="nil"/>
              <w:bottom w:val="single" w:sz="4" w:space="0" w:color="BFBFBF" w:themeColor="background1" w:themeShade="BF"/>
              <w:right w:val="nil"/>
            </w:tcBorders>
            <w:vAlign w:val="bottom"/>
          </w:tcPr>
          <w:p w14:paraId="1C0A221D" w14:textId="76CAAE06"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7</w:t>
            </w:r>
          </w:p>
        </w:tc>
        <w:tc>
          <w:tcPr>
            <w:tcW w:w="2432" w:type="dxa"/>
            <w:tcBorders>
              <w:top w:val="single" w:sz="4" w:space="0" w:color="BFBFBF" w:themeColor="background1" w:themeShade="BF"/>
              <w:left w:val="nil"/>
              <w:bottom w:val="single" w:sz="4" w:space="0" w:color="BFBFBF" w:themeColor="background1" w:themeShade="BF"/>
              <w:right w:val="nil"/>
            </w:tcBorders>
            <w:vAlign w:val="bottom"/>
          </w:tcPr>
          <w:p w14:paraId="4BCB6FC0" w14:textId="36246D1C"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12.2 (6.15 – 24.39)</w:t>
            </w:r>
          </w:p>
        </w:tc>
        <w:tc>
          <w:tcPr>
            <w:tcW w:w="2026" w:type="dxa"/>
            <w:tcBorders>
              <w:top w:val="single" w:sz="4" w:space="0" w:color="BFBFBF" w:themeColor="background1" w:themeShade="BF"/>
              <w:left w:val="nil"/>
              <w:bottom w:val="single" w:sz="4" w:space="0" w:color="BFBFBF" w:themeColor="background1" w:themeShade="BF"/>
            </w:tcBorders>
            <w:vAlign w:val="bottom"/>
          </w:tcPr>
          <w:p w14:paraId="568B01F3" w14:textId="30336B9E" w:rsidR="00796D55" w:rsidRPr="00796D55" w:rsidRDefault="00796D55" w:rsidP="00796D55">
            <w:pPr>
              <w:jc w:val="center"/>
              <w:rPr>
                <w:rFonts w:ascii="Times" w:hAnsi="Times" w:cs="Calibri"/>
                <w:color w:val="000000"/>
                <w:sz w:val="22"/>
                <w:szCs w:val="22"/>
                <w:vertAlign w:val="superscript"/>
              </w:rPr>
            </w:pPr>
            <w:r w:rsidRPr="00796D55">
              <w:rPr>
                <w:rFonts w:ascii="Times" w:hAnsi="Times" w:cs="Calibri"/>
                <w:color w:val="000000"/>
                <w:sz w:val="22"/>
                <w:szCs w:val="22"/>
              </w:rPr>
              <w:t>1.34 (0.40 - 4.46)</w:t>
            </w:r>
          </w:p>
        </w:tc>
      </w:tr>
      <w:tr w:rsidR="00136038" w:rsidRPr="00796D55" w14:paraId="5103037A" w14:textId="77777777" w:rsidTr="00D13663">
        <w:trPr>
          <w:trHeight w:val="260"/>
        </w:trPr>
        <w:tc>
          <w:tcPr>
            <w:tcW w:w="12538" w:type="dxa"/>
            <w:gridSpan w:val="7"/>
            <w:tcBorders>
              <w:top w:val="single" w:sz="4" w:space="0" w:color="BFBFBF" w:themeColor="background1" w:themeShade="BF"/>
              <w:bottom w:val="single" w:sz="4" w:space="0" w:color="000000" w:themeColor="text1"/>
            </w:tcBorders>
          </w:tcPr>
          <w:p w14:paraId="6657CA91" w14:textId="63D58AC1" w:rsidR="00136038" w:rsidRPr="00796D55" w:rsidRDefault="00136038" w:rsidP="00D13663">
            <w:pPr>
              <w:rPr>
                <w:rFonts w:ascii="Times" w:hAnsi="Times" w:cs="Calibri"/>
                <w:color w:val="000000"/>
                <w:sz w:val="22"/>
                <w:szCs w:val="22"/>
              </w:rPr>
            </w:pPr>
            <w:r w:rsidRPr="00796D55">
              <w:rPr>
                <w:rFonts w:ascii="Times" w:hAnsi="Times"/>
                <w:b/>
                <w:bCs/>
                <w:sz w:val="22"/>
                <w:szCs w:val="22"/>
              </w:rPr>
              <w:t>HDPS Matched</w:t>
            </w:r>
            <w:r w:rsidRPr="00796D55">
              <w:rPr>
                <w:rFonts w:ascii="Times" w:hAnsi="Times" w:cs="Calibri"/>
                <w:b/>
                <w:bCs/>
                <w:color w:val="000000"/>
                <w:sz w:val="22"/>
                <w:szCs w:val="22"/>
              </w:rPr>
              <w:t xml:space="preserve"> </w:t>
            </w:r>
          </w:p>
        </w:tc>
      </w:tr>
      <w:tr w:rsidR="00796D55" w:rsidRPr="00796D55" w14:paraId="161AACAC" w14:textId="77777777" w:rsidTr="00D13663">
        <w:trPr>
          <w:trHeight w:val="260"/>
        </w:trPr>
        <w:tc>
          <w:tcPr>
            <w:tcW w:w="2410" w:type="dxa"/>
            <w:tcBorders>
              <w:top w:val="single" w:sz="4" w:space="0" w:color="000000" w:themeColor="text1"/>
              <w:bottom w:val="single" w:sz="4" w:space="0" w:color="BFBFBF" w:themeColor="background1" w:themeShade="BF"/>
              <w:right w:val="nil"/>
            </w:tcBorders>
            <w:vAlign w:val="bottom"/>
          </w:tcPr>
          <w:p w14:paraId="7BA94140" w14:textId="77777777" w:rsidR="00796D55" w:rsidRPr="00796D55" w:rsidRDefault="00796D55" w:rsidP="00796D55">
            <w:pPr>
              <w:rPr>
                <w:rFonts w:ascii="Times" w:hAnsi="Times" w:cs="Calibri"/>
                <w:color w:val="000000"/>
                <w:sz w:val="22"/>
                <w:szCs w:val="22"/>
              </w:rPr>
            </w:pPr>
            <w:r w:rsidRPr="00796D55">
              <w:rPr>
                <w:rFonts w:ascii="Times" w:hAnsi="Times" w:cs="Calibri"/>
                <w:color w:val="000000"/>
                <w:sz w:val="22"/>
                <w:szCs w:val="22"/>
              </w:rPr>
              <w:t xml:space="preserve">     No IDD Diagnosis</w:t>
            </w:r>
          </w:p>
        </w:tc>
        <w:tc>
          <w:tcPr>
            <w:tcW w:w="1843" w:type="dxa"/>
            <w:gridSpan w:val="2"/>
            <w:tcBorders>
              <w:top w:val="single" w:sz="4" w:space="0" w:color="000000" w:themeColor="text1"/>
              <w:left w:val="nil"/>
              <w:bottom w:val="single" w:sz="4" w:space="0" w:color="BFBFBF" w:themeColor="background1" w:themeShade="BF"/>
              <w:right w:val="nil"/>
            </w:tcBorders>
            <w:vAlign w:val="bottom"/>
          </w:tcPr>
          <w:p w14:paraId="27391D9A" w14:textId="0395EFD5"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72,007</w:t>
            </w:r>
          </w:p>
        </w:tc>
        <w:tc>
          <w:tcPr>
            <w:tcW w:w="1984" w:type="dxa"/>
            <w:tcBorders>
              <w:top w:val="single" w:sz="4" w:space="0" w:color="000000" w:themeColor="text1"/>
              <w:left w:val="nil"/>
              <w:bottom w:val="single" w:sz="4" w:space="0" w:color="BFBFBF" w:themeColor="background1" w:themeShade="BF"/>
              <w:right w:val="nil"/>
            </w:tcBorders>
            <w:vAlign w:val="bottom"/>
          </w:tcPr>
          <w:p w14:paraId="55315F68" w14:textId="6305895C"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2,063</w:t>
            </w:r>
          </w:p>
        </w:tc>
        <w:tc>
          <w:tcPr>
            <w:tcW w:w="1843" w:type="dxa"/>
            <w:tcBorders>
              <w:top w:val="single" w:sz="4" w:space="0" w:color="000000" w:themeColor="text1"/>
              <w:left w:val="nil"/>
              <w:bottom w:val="single" w:sz="4" w:space="0" w:color="BFBFBF" w:themeColor="background1" w:themeShade="BF"/>
              <w:right w:val="nil"/>
            </w:tcBorders>
            <w:vAlign w:val="bottom"/>
          </w:tcPr>
          <w:p w14:paraId="6225F70A" w14:textId="743FA015"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16</w:t>
            </w:r>
          </w:p>
        </w:tc>
        <w:tc>
          <w:tcPr>
            <w:tcW w:w="2432" w:type="dxa"/>
            <w:tcBorders>
              <w:top w:val="single" w:sz="4" w:space="0" w:color="000000" w:themeColor="text1"/>
              <w:left w:val="nil"/>
              <w:bottom w:val="single" w:sz="4" w:space="0" w:color="BFBFBF" w:themeColor="background1" w:themeShade="BF"/>
              <w:right w:val="nil"/>
            </w:tcBorders>
            <w:vAlign w:val="bottom"/>
          </w:tcPr>
          <w:p w14:paraId="658327CD" w14:textId="72CB2313"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7.75 (4.76 - 12.63)</w:t>
            </w:r>
          </w:p>
        </w:tc>
        <w:tc>
          <w:tcPr>
            <w:tcW w:w="2026" w:type="dxa"/>
            <w:tcBorders>
              <w:top w:val="single" w:sz="4" w:space="0" w:color="000000" w:themeColor="text1"/>
              <w:left w:val="nil"/>
              <w:bottom w:val="single" w:sz="4" w:space="0" w:color="BFBFBF" w:themeColor="background1" w:themeShade="BF"/>
            </w:tcBorders>
            <w:vAlign w:val="bottom"/>
          </w:tcPr>
          <w:p w14:paraId="739AD643" w14:textId="7EE8A9CD" w:rsidR="00796D55" w:rsidRPr="00796D55" w:rsidRDefault="00796D55" w:rsidP="00796D55">
            <w:pPr>
              <w:jc w:val="center"/>
              <w:rPr>
                <w:rFonts w:ascii="Times" w:hAnsi="Times" w:cs="Calibri"/>
                <w:color w:val="000000"/>
                <w:sz w:val="22"/>
                <w:szCs w:val="22"/>
              </w:rPr>
            </w:pPr>
            <w:r w:rsidRPr="00796D55">
              <w:rPr>
                <w:rFonts w:ascii="Times" w:hAnsi="Times" w:cs="Calibri"/>
                <w:color w:val="000000"/>
                <w:sz w:val="22"/>
                <w:szCs w:val="22"/>
              </w:rPr>
              <w:t>1.00 [reference]</w:t>
            </w:r>
          </w:p>
        </w:tc>
      </w:tr>
      <w:tr w:rsidR="00796D55" w:rsidRPr="00796D55" w14:paraId="5ED2FEB7" w14:textId="77777777" w:rsidTr="00D13663">
        <w:trPr>
          <w:trHeight w:val="260"/>
        </w:trPr>
        <w:tc>
          <w:tcPr>
            <w:tcW w:w="2410" w:type="dxa"/>
            <w:tcBorders>
              <w:top w:val="single" w:sz="4" w:space="0" w:color="BFBFBF" w:themeColor="background1" w:themeShade="BF"/>
              <w:bottom w:val="single" w:sz="12" w:space="0" w:color="000000" w:themeColor="text1"/>
              <w:right w:val="nil"/>
            </w:tcBorders>
            <w:vAlign w:val="bottom"/>
          </w:tcPr>
          <w:p w14:paraId="185EFE5B" w14:textId="77777777" w:rsidR="00796D55" w:rsidRPr="00796D55" w:rsidRDefault="00796D55" w:rsidP="00796D55">
            <w:pPr>
              <w:rPr>
                <w:rFonts w:ascii="Times" w:hAnsi="Times" w:cs="Calibri"/>
                <w:color w:val="000000" w:themeColor="text1"/>
                <w:sz w:val="22"/>
                <w:szCs w:val="22"/>
              </w:rPr>
            </w:pPr>
            <w:r w:rsidRPr="00796D55">
              <w:rPr>
                <w:rFonts w:ascii="Times" w:hAnsi="Times" w:cs="Calibri"/>
                <w:color w:val="000000" w:themeColor="text1"/>
                <w:sz w:val="22"/>
                <w:szCs w:val="22"/>
              </w:rPr>
              <w:t xml:space="preserve">     IDD Diagnosis</w:t>
            </w:r>
          </w:p>
        </w:tc>
        <w:tc>
          <w:tcPr>
            <w:tcW w:w="1843" w:type="dxa"/>
            <w:gridSpan w:val="2"/>
            <w:tcBorders>
              <w:top w:val="single" w:sz="4" w:space="0" w:color="BFBFBF" w:themeColor="background1" w:themeShade="BF"/>
              <w:left w:val="nil"/>
              <w:bottom w:val="single" w:sz="12" w:space="0" w:color="000000" w:themeColor="text1"/>
              <w:right w:val="nil"/>
            </w:tcBorders>
            <w:vAlign w:val="bottom"/>
          </w:tcPr>
          <w:p w14:paraId="0F50A18F" w14:textId="750167AA" w:rsidR="00796D55" w:rsidRPr="00796D55" w:rsidRDefault="00796D55" w:rsidP="00796D55">
            <w:pPr>
              <w:jc w:val="center"/>
              <w:rPr>
                <w:rFonts w:ascii="Times" w:hAnsi="Times" w:cs="Calibri"/>
                <w:color w:val="000000" w:themeColor="text1"/>
                <w:sz w:val="22"/>
                <w:szCs w:val="22"/>
              </w:rPr>
            </w:pPr>
            <w:r w:rsidRPr="00796D55">
              <w:rPr>
                <w:rFonts w:ascii="Times" w:hAnsi="Times" w:cs="Calibri"/>
                <w:color w:val="000000"/>
                <w:sz w:val="22"/>
                <w:szCs w:val="22"/>
              </w:rPr>
              <w:t>19,156</w:t>
            </w:r>
          </w:p>
        </w:tc>
        <w:tc>
          <w:tcPr>
            <w:tcW w:w="1984" w:type="dxa"/>
            <w:tcBorders>
              <w:top w:val="single" w:sz="4" w:space="0" w:color="BFBFBF" w:themeColor="background1" w:themeShade="BF"/>
              <w:left w:val="nil"/>
              <w:bottom w:val="single" w:sz="12" w:space="0" w:color="000000" w:themeColor="text1"/>
              <w:right w:val="nil"/>
            </w:tcBorders>
            <w:vAlign w:val="bottom"/>
          </w:tcPr>
          <w:p w14:paraId="23529CC7" w14:textId="794D6C24" w:rsidR="00796D55" w:rsidRPr="00796D55" w:rsidRDefault="00796D55" w:rsidP="00796D55">
            <w:pPr>
              <w:jc w:val="center"/>
              <w:rPr>
                <w:rFonts w:ascii="Times" w:hAnsi="Times" w:cs="Calibri"/>
                <w:color w:val="000000" w:themeColor="text1"/>
                <w:sz w:val="22"/>
                <w:szCs w:val="22"/>
              </w:rPr>
            </w:pPr>
            <w:r w:rsidRPr="00796D55">
              <w:rPr>
                <w:rFonts w:ascii="Times" w:hAnsi="Times" w:cs="Calibri"/>
                <w:color w:val="000000"/>
                <w:sz w:val="22"/>
                <w:szCs w:val="22"/>
              </w:rPr>
              <w:t>620</w:t>
            </w:r>
          </w:p>
        </w:tc>
        <w:tc>
          <w:tcPr>
            <w:tcW w:w="1843" w:type="dxa"/>
            <w:tcBorders>
              <w:top w:val="single" w:sz="4" w:space="0" w:color="BFBFBF" w:themeColor="background1" w:themeShade="BF"/>
              <w:left w:val="nil"/>
              <w:bottom w:val="single" w:sz="12" w:space="0" w:color="000000" w:themeColor="text1"/>
              <w:right w:val="nil"/>
            </w:tcBorders>
            <w:vAlign w:val="bottom"/>
          </w:tcPr>
          <w:p w14:paraId="3355501E" w14:textId="0E3054AC" w:rsidR="00796D55" w:rsidRPr="00796D55" w:rsidRDefault="00796D55" w:rsidP="00796D55">
            <w:pPr>
              <w:jc w:val="center"/>
              <w:rPr>
                <w:rFonts w:ascii="Times" w:hAnsi="Times" w:cs="Calibri"/>
                <w:color w:val="000000" w:themeColor="text1"/>
                <w:sz w:val="22"/>
                <w:szCs w:val="22"/>
              </w:rPr>
            </w:pPr>
            <w:r w:rsidRPr="00796D55">
              <w:rPr>
                <w:rFonts w:ascii="Times" w:hAnsi="Times" w:cs="Calibri"/>
                <w:color w:val="000000"/>
                <w:sz w:val="22"/>
                <w:szCs w:val="22"/>
              </w:rPr>
              <w:t>7</w:t>
            </w:r>
          </w:p>
        </w:tc>
        <w:tc>
          <w:tcPr>
            <w:tcW w:w="2432" w:type="dxa"/>
            <w:tcBorders>
              <w:top w:val="single" w:sz="4" w:space="0" w:color="BFBFBF" w:themeColor="background1" w:themeShade="BF"/>
              <w:left w:val="nil"/>
              <w:bottom w:val="single" w:sz="12" w:space="0" w:color="000000" w:themeColor="text1"/>
              <w:right w:val="nil"/>
            </w:tcBorders>
            <w:vAlign w:val="bottom"/>
          </w:tcPr>
          <w:p w14:paraId="6AEF4FDC" w14:textId="2BA1BD58" w:rsidR="00796D55" w:rsidRPr="00796D55" w:rsidRDefault="00796D55" w:rsidP="00796D55">
            <w:pPr>
              <w:jc w:val="center"/>
              <w:rPr>
                <w:rFonts w:ascii="Times" w:hAnsi="Times" w:cs="Calibri"/>
                <w:color w:val="000000" w:themeColor="text1"/>
                <w:sz w:val="22"/>
                <w:szCs w:val="22"/>
              </w:rPr>
            </w:pPr>
            <w:r w:rsidRPr="00796D55">
              <w:rPr>
                <w:rFonts w:ascii="Times" w:hAnsi="Times" w:cs="Calibri"/>
                <w:color w:val="000000"/>
                <w:sz w:val="22"/>
                <w:szCs w:val="22"/>
              </w:rPr>
              <w:t>11.29 (5.40 - 23.58)</w:t>
            </w:r>
          </w:p>
        </w:tc>
        <w:tc>
          <w:tcPr>
            <w:tcW w:w="2026" w:type="dxa"/>
            <w:tcBorders>
              <w:top w:val="single" w:sz="4" w:space="0" w:color="BFBFBF" w:themeColor="background1" w:themeShade="BF"/>
              <w:left w:val="nil"/>
              <w:bottom w:val="single" w:sz="12" w:space="0" w:color="000000" w:themeColor="text1"/>
            </w:tcBorders>
            <w:vAlign w:val="bottom"/>
          </w:tcPr>
          <w:p w14:paraId="79D79744" w14:textId="7B0268F5" w:rsidR="00796D55" w:rsidRPr="00796D55" w:rsidRDefault="00796D55" w:rsidP="00796D55">
            <w:pPr>
              <w:jc w:val="center"/>
              <w:rPr>
                <w:rFonts w:ascii="Times" w:hAnsi="Times" w:cs="Calibri"/>
                <w:color w:val="000000" w:themeColor="text1"/>
                <w:sz w:val="22"/>
                <w:szCs w:val="22"/>
              </w:rPr>
            </w:pPr>
            <w:r w:rsidRPr="00796D55">
              <w:rPr>
                <w:rFonts w:ascii="Times" w:hAnsi="Times" w:cs="Calibri"/>
                <w:color w:val="000000"/>
                <w:sz w:val="22"/>
                <w:szCs w:val="22"/>
              </w:rPr>
              <w:t>2.00 (0.51 - 7.85)</w:t>
            </w:r>
          </w:p>
        </w:tc>
      </w:tr>
    </w:tbl>
    <w:p w14:paraId="5F82ABCA" w14:textId="1C26DE1F" w:rsidR="00136038" w:rsidRPr="006B0171" w:rsidRDefault="00136038" w:rsidP="00136038">
      <w:pPr>
        <w:ind w:right="1656"/>
        <w:rPr>
          <w:rFonts w:ascii="Times" w:hAnsi="Times"/>
        </w:rPr>
      </w:pPr>
      <w:r w:rsidRPr="001C4F40">
        <w:rPr>
          <w:rFonts w:ascii="Times" w:hAnsi="Times"/>
          <w:i/>
          <w:iCs/>
          <w:sz w:val="18"/>
          <w:szCs w:val="18"/>
        </w:rPr>
        <w:t xml:space="preserve">Abbreviations: CI, confidence interval; </w:t>
      </w:r>
      <w:r>
        <w:rPr>
          <w:rFonts w:ascii="Times" w:hAnsi="Times"/>
          <w:i/>
          <w:iCs/>
          <w:sz w:val="18"/>
          <w:szCs w:val="18"/>
        </w:rPr>
        <w:t>HDPS, high-dimensional propensity score; IDD, intellectual and developmental disability; PS, propensity score</w:t>
      </w:r>
    </w:p>
    <w:p w14:paraId="70175042" w14:textId="77777777" w:rsidR="00F50A81" w:rsidRPr="005E451E" w:rsidRDefault="00F50A81" w:rsidP="005E451E"/>
    <w:sectPr w:rsidR="00F50A81" w:rsidRPr="005E451E" w:rsidSect="002D4386">
      <w:pgSz w:w="15840" w:h="12240" w:orient="landscape"/>
      <w:pgMar w:top="1440" w:right="1440" w:bottom="100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E124" w14:textId="77777777" w:rsidR="00515171" w:rsidRDefault="00515171" w:rsidP="002876D4">
      <w:r>
        <w:separator/>
      </w:r>
    </w:p>
  </w:endnote>
  <w:endnote w:type="continuationSeparator" w:id="0">
    <w:p w14:paraId="51C6F7C9" w14:textId="77777777" w:rsidR="00515171" w:rsidRDefault="00515171" w:rsidP="0028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7EC9" w14:textId="77777777" w:rsidR="00515171" w:rsidRDefault="00515171" w:rsidP="002876D4">
      <w:r>
        <w:separator/>
      </w:r>
    </w:p>
  </w:footnote>
  <w:footnote w:type="continuationSeparator" w:id="0">
    <w:p w14:paraId="0E5745A8" w14:textId="77777777" w:rsidR="00515171" w:rsidRDefault="00515171" w:rsidP="00287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A983" w14:textId="7045AE5E" w:rsidR="00D742D4" w:rsidRPr="002876D4" w:rsidRDefault="00FF1C4C">
    <w:pPr>
      <w:pStyle w:val="Header"/>
      <w:rPr>
        <w:rFonts w:ascii="Times" w:hAnsi="Times"/>
      </w:rPr>
    </w:pPr>
    <w:r>
      <w:rPr>
        <w:rFonts w:ascii="Times" w:hAnsi="Times"/>
      </w:rPr>
      <w:t>New Opioid Use Among Individuals with IDD</w:t>
    </w:r>
    <w:r w:rsidR="00D742D4" w:rsidRPr="002876D4">
      <w:rPr>
        <w:rFonts w:ascii="Times" w:hAnsi="Times"/>
      </w:rPr>
      <w:t xml:space="preserve"> – Supplemental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D1E6A"/>
    <w:multiLevelType w:val="hybridMultilevel"/>
    <w:tmpl w:val="2CB0A1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753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FA"/>
    <w:rsid w:val="00024C58"/>
    <w:rsid w:val="000271F5"/>
    <w:rsid w:val="000379C2"/>
    <w:rsid w:val="0004212F"/>
    <w:rsid w:val="000633D6"/>
    <w:rsid w:val="000B43B2"/>
    <w:rsid w:val="000D408D"/>
    <w:rsid w:val="000E02A1"/>
    <w:rsid w:val="000E42FE"/>
    <w:rsid w:val="00136038"/>
    <w:rsid w:val="00192950"/>
    <w:rsid w:val="001A31C1"/>
    <w:rsid w:val="001D160E"/>
    <w:rsid w:val="001D4875"/>
    <w:rsid w:val="001E0538"/>
    <w:rsid w:val="001E5E0E"/>
    <w:rsid w:val="001E6D1A"/>
    <w:rsid w:val="00201067"/>
    <w:rsid w:val="00214D93"/>
    <w:rsid w:val="002876D4"/>
    <w:rsid w:val="002B7DC9"/>
    <w:rsid w:val="002D4386"/>
    <w:rsid w:val="002F48A9"/>
    <w:rsid w:val="00300597"/>
    <w:rsid w:val="00301992"/>
    <w:rsid w:val="00345D0F"/>
    <w:rsid w:val="003504DC"/>
    <w:rsid w:val="003758CB"/>
    <w:rsid w:val="00382D46"/>
    <w:rsid w:val="003B0925"/>
    <w:rsid w:val="00413D41"/>
    <w:rsid w:val="0043237B"/>
    <w:rsid w:val="00455BBC"/>
    <w:rsid w:val="00490B41"/>
    <w:rsid w:val="004B63DC"/>
    <w:rsid w:val="004C0953"/>
    <w:rsid w:val="004E4118"/>
    <w:rsid w:val="004F4A19"/>
    <w:rsid w:val="00515171"/>
    <w:rsid w:val="00516B6B"/>
    <w:rsid w:val="00567DC7"/>
    <w:rsid w:val="00576E63"/>
    <w:rsid w:val="005827DC"/>
    <w:rsid w:val="005A37E6"/>
    <w:rsid w:val="005B23CF"/>
    <w:rsid w:val="005B7982"/>
    <w:rsid w:val="005B7FE6"/>
    <w:rsid w:val="005D1632"/>
    <w:rsid w:val="005E451E"/>
    <w:rsid w:val="0061100A"/>
    <w:rsid w:val="00613CF0"/>
    <w:rsid w:val="0062072E"/>
    <w:rsid w:val="006260B0"/>
    <w:rsid w:val="00627B5C"/>
    <w:rsid w:val="00633E6F"/>
    <w:rsid w:val="006B3EC8"/>
    <w:rsid w:val="006E43B3"/>
    <w:rsid w:val="006E6580"/>
    <w:rsid w:val="00722A49"/>
    <w:rsid w:val="00747DBF"/>
    <w:rsid w:val="00796D55"/>
    <w:rsid w:val="00833CA0"/>
    <w:rsid w:val="008441F5"/>
    <w:rsid w:val="0085012F"/>
    <w:rsid w:val="00850DB6"/>
    <w:rsid w:val="008A1E78"/>
    <w:rsid w:val="008A6A21"/>
    <w:rsid w:val="008B3253"/>
    <w:rsid w:val="008E79BF"/>
    <w:rsid w:val="008F3F24"/>
    <w:rsid w:val="008F53B3"/>
    <w:rsid w:val="00923AFD"/>
    <w:rsid w:val="00967696"/>
    <w:rsid w:val="00980681"/>
    <w:rsid w:val="00987CCC"/>
    <w:rsid w:val="009B2F45"/>
    <w:rsid w:val="009D2AEC"/>
    <w:rsid w:val="009F28F9"/>
    <w:rsid w:val="009F5EAE"/>
    <w:rsid w:val="00A0799E"/>
    <w:rsid w:val="00A129CF"/>
    <w:rsid w:val="00A3696E"/>
    <w:rsid w:val="00A642A5"/>
    <w:rsid w:val="00A665CD"/>
    <w:rsid w:val="00A77A15"/>
    <w:rsid w:val="00A8420C"/>
    <w:rsid w:val="00AB01D6"/>
    <w:rsid w:val="00B54E44"/>
    <w:rsid w:val="00B55D8B"/>
    <w:rsid w:val="00B710AA"/>
    <w:rsid w:val="00B72CF3"/>
    <w:rsid w:val="00BF33D7"/>
    <w:rsid w:val="00C406A6"/>
    <w:rsid w:val="00C46DFA"/>
    <w:rsid w:val="00C47C83"/>
    <w:rsid w:val="00C623BD"/>
    <w:rsid w:val="00CB640B"/>
    <w:rsid w:val="00CC1431"/>
    <w:rsid w:val="00CD2BD7"/>
    <w:rsid w:val="00CE1698"/>
    <w:rsid w:val="00CE7BF0"/>
    <w:rsid w:val="00D54C7D"/>
    <w:rsid w:val="00D60DA4"/>
    <w:rsid w:val="00D64BC8"/>
    <w:rsid w:val="00D65678"/>
    <w:rsid w:val="00D742D4"/>
    <w:rsid w:val="00DA574A"/>
    <w:rsid w:val="00DC7006"/>
    <w:rsid w:val="00DE61E0"/>
    <w:rsid w:val="00DE7912"/>
    <w:rsid w:val="00E915A0"/>
    <w:rsid w:val="00EA339E"/>
    <w:rsid w:val="00EA4BEC"/>
    <w:rsid w:val="00EE1AC2"/>
    <w:rsid w:val="00F0475F"/>
    <w:rsid w:val="00F156D4"/>
    <w:rsid w:val="00F25615"/>
    <w:rsid w:val="00F43201"/>
    <w:rsid w:val="00F50A81"/>
    <w:rsid w:val="00F80F3F"/>
    <w:rsid w:val="00FB4E5A"/>
    <w:rsid w:val="00FC1DA1"/>
    <w:rsid w:val="00FE5C82"/>
    <w:rsid w:val="00FF04B7"/>
    <w:rsid w:val="00FF1C4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1F56"/>
  <w15:chartTrackingRefBased/>
  <w15:docId w15:val="{6712C6E1-E75B-0B49-A501-E6A276A0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6D4"/>
  </w:style>
  <w:style w:type="paragraph" w:styleId="Heading1">
    <w:name w:val="heading 1"/>
    <w:basedOn w:val="Normal"/>
    <w:next w:val="Normal"/>
    <w:link w:val="Heading1Char"/>
    <w:uiPriority w:val="9"/>
    <w:qFormat/>
    <w:rsid w:val="002876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6D4"/>
    <w:pPr>
      <w:tabs>
        <w:tab w:val="center" w:pos="4680"/>
        <w:tab w:val="right" w:pos="9360"/>
      </w:tabs>
    </w:pPr>
  </w:style>
  <w:style w:type="character" w:customStyle="1" w:styleId="HeaderChar">
    <w:name w:val="Header Char"/>
    <w:basedOn w:val="DefaultParagraphFont"/>
    <w:link w:val="Header"/>
    <w:uiPriority w:val="99"/>
    <w:rsid w:val="002876D4"/>
  </w:style>
  <w:style w:type="paragraph" w:styleId="Footer">
    <w:name w:val="footer"/>
    <w:basedOn w:val="Normal"/>
    <w:link w:val="FooterChar"/>
    <w:uiPriority w:val="99"/>
    <w:unhideWhenUsed/>
    <w:rsid w:val="002876D4"/>
    <w:pPr>
      <w:tabs>
        <w:tab w:val="center" w:pos="4680"/>
        <w:tab w:val="right" w:pos="9360"/>
      </w:tabs>
    </w:pPr>
  </w:style>
  <w:style w:type="character" w:customStyle="1" w:styleId="FooterChar">
    <w:name w:val="Footer Char"/>
    <w:basedOn w:val="DefaultParagraphFont"/>
    <w:link w:val="Footer"/>
    <w:uiPriority w:val="99"/>
    <w:rsid w:val="002876D4"/>
  </w:style>
  <w:style w:type="character" w:customStyle="1" w:styleId="Heading1Char">
    <w:name w:val="Heading 1 Char"/>
    <w:basedOn w:val="DefaultParagraphFont"/>
    <w:link w:val="Heading1"/>
    <w:uiPriority w:val="9"/>
    <w:rsid w:val="002876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13D41"/>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413D41"/>
    <w:pPr>
      <w:spacing w:before="360"/>
    </w:pPr>
    <w:rPr>
      <w:rFonts w:asciiTheme="majorHAnsi" w:hAnsiTheme="majorHAnsi" w:cstheme="majorHAnsi"/>
      <w:b/>
      <w:bCs/>
      <w:caps/>
    </w:rPr>
  </w:style>
  <w:style w:type="character" w:styleId="Hyperlink">
    <w:name w:val="Hyperlink"/>
    <w:basedOn w:val="DefaultParagraphFont"/>
    <w:uiPriority w:val="99"/>
    <w:unhideWhenUsed/>
    <w:rsid w:val="00413D41"/>
    <w:rPr>
      <w:color w:val="0563C1" w:themeColor="hyperlink"/>
      <w:u w:val="single"/>
    </w:rPr>
  </w:style>
  <w:style w:type="paragraph" w:styleId="TOC2">
    <w:name w:val="toc 2"/>
    <w:basedOn w:val="Normal"/>
    <w:next w:val="Normal"/>
    <w:autoRedefine/>
    <w:uiPriority w:val="39"/>
    <w:unhideWhenUsed/>
    <w:rsid w:val="00413D41"/>
    <w:pPr>
      <w:spacing w:before="240"/>
    </w:pPr>
    <w:rPr>
      <w:b/>
      <w:bCs/>
      <w:sz w:val="20"/>
      <w:szCs w:val="20"/>
    </w:rPr>
  </w:style>
  <w:style w:type="paragraph" w:styleId="TOC3">
    <w:name w:val="toc 3"/>
    <w:basedOn w:val="Normal"/>
    <w:next w:val="Normal"/>
    <w:autoRedefine/>
    <w:uiPriority w:val="39"/>
    <w:unhideWhenUsed/>
    <w:rsid w:val="00413D41"/>
    <w:pPr>
      <w:ind w:left="240"/>
    </w:pPr>
    <w:rPr>
      <w:sz w:val="20"/>
      <w:szCs w:val="20"/>
    </w:rPr>
  </w:style>
  <w:style w:type="paragraph" w:styleId="TOC4">
    <w:name w:val="toc 4"/>
    <w:basedOn w:val="Normal"/>
    <w:next w:val="Normal"/>
    <w:autoRedefine/>
    <w:uiPriority w:val="39"/>
    <w:unhideWhenUsed/>
    <w:rsid w:val="00413D41"/>
    <w:pPr>
      <w:ind w:left="480"/>
    </w:pPr>
    <w:rPr>
      <w:sz w:val="20"/>
      <w:szCs w:val="20"/>
    </w:rPr>
  </w:style>
  <w:style w:type="paragraph" w:styleId="TOC5">
    <w:name w:val="toc 5"/>
    <w:basedOn w:val="Normal"/>
    <w:next w:val="Normal"/>
    <w:autoRedefine/>
    <w:uiPriority w:val="39"/>
    <w:unhideWhenUsed/>
    <w:rsid w:val="00413D41"/>
    <w:pPr>
      <w:ind w:left="720"/>
    </w:pPr>
    <w:rPr>
      <w:sz w:val="20"/>
      <w:szCs w:val="20"/>
    </w:rPr>
  </w:style>
  <w:style w:type="paragraph" w:styleId="TOC6">
    <w:name w:val="toc 6"/>
    <w:basedOn w:val="Normal"/>
    <w:next w:val="Normal"/>
    <w:autoRedefine/>
    <w:uiPriority w:val="39"/>
    <w:unhideWhenUsed/>
    <w:rsid w:val="00413D41"/>
    <w:pPr>
      <w:ind w:left="960"/>
    </w:pPr>
    <w:rPr>
      <w:sz w:val="20"/>
      <w:szCs w:val="20"/>
    </w:rPr>
  </w:style>
  <w:style w:type="paragraph" w:styleId="TOC7">
    <w:name w:val="toc 7"/>
    <w:basedOn w:val="Normal"/>
    <w:next w:val="Normal"/>
    <w:autoRedefine/>
    <w:uiPriority w:val="39"/>
    <w:unhideWhenUsed/>
    <w:rsid w:val="00413D41"/>
    <w:pPr>
      <w:ind w:left="1200"/>
    </w:pPr>
    <w:rPr>
      <w:sz w:val="20"/>
      <w:szCs w:val="20"/>
    </w:rPr>
  </w:style>
  <w:style w:type="paragraph" w:styleId="TOC8">
    <w:name w:val="toc 8"/>
    <w:basedOn w:val="Normal"/>
    <w:next w:val="Normal"/>
    <w:autoRedefine/>
    <w:uiPriority w:val="39"/>
    <w:unhideWhenUsed/>
    <w:rsid w:val="00413D41"/>
    <w:pPr>
      <w:ind w:left="1440"/>
    </w:pPr>
    <w:rPr>
      <w:sz w:val="20"/>
      <w:szCs w:val="20"/>
    </w:rPr>
  </w:style>
  <w:style w:type="paragraph" w:styleId="TOC9">
    <w:name w:val="toc 9"/>
    <w:basedOn w:val="Normal"/>
    <w:next w:val="Normal"/>
    <w:autoRedefine/>
    <w:uiPriority w:val="39"/>
    <w:unhideWhenUsed/>
    <w:rsid w:val="00413D41"/>
    <w:pPr>
      <w:ind w:left="1680"/>
    </w:pPr>
    <w:rPr>
      <w:sz w:val="20"/>
      <w:szCs w:val="20"/>
    </w:rPr>
  </w:style>
  <w:style w:type="character" w:customStyle="1" w:styleId="UnresolvedMention1">
    <w:name w:val="Unresolved Mention1"/>
    <w:basedOn w:val="DefaultParagraphFont"/>
    <w:uiPriority w:val="99"/>
    <w:semiHidden/>
    <w:unhideWhenUsed/>
    <w:rsid w:val="00CB640B"/>
    <w:rPr>
      <w:color w:val="605E5C"/>
      <w:shd w:val="clear" w:color="auto" w:fill="E1DFDD"/>
    </w:rPr>
  </w:style>
  <w:style w:type="paragraph" w:styleId="ListParagraph">
    <w:name w:val="List Paragraph"/>
    <w:basedOn w:val="Normal"/>
    <w:uiPriority w:val="34"/>
    <w:qFormat/>
    <w:rsid w:val="004E4118"/>
    <w:pPr>
      <w:ind w:left="720"/>
      <w:contextualSpacing/>
    </w:pPr>
    <w:rPr>
      <w:rFonts w:eastAsia="Times New Roman" w:cs="Arial"/>
      <w:sz w:val="20"/>
      <w:szCs w:val="20"/>
      <w:lang w:val="en-US"/>
    </w:rPr>
  </w:style>
  <w:style w:type="paragraph" w:styleId="Bibliography">
    <w:name w:val="Bibliography"/>
    <w:basedOn w:val="Normal"/>
    <w:next w:val="Normal"/>
    <w:uiPriority w:val="37"/>
    <w:unhideWhenUsed/>
    <w:rsid w:val="00B55D8B"/>
    <w:pPr>
      <w:tabs>
        <w:tab w:val="left" w:pos="260"/>
      </w:tabs>
      <w:spacing w:line="480" w:lineRule="auto"/>
      <w:ind w:left="264" w:hanging="264"/>
    </w:pPr>
  </w:style>
  <w:style w:type="character" w:styleId="CommentReference">
    <w:name w:val="annotation reference"/>
    <w:basedOn w:val="DefaultParagraphFont"/>
    <w:uiPriority w:val="99"/>
    <w:semiHidden/>
    <w:unhideWhenUsed/>
    <w:rsid w:val="00850DB6"/>
    <w:rPr>
      <w:sz w:val="16"/>
      <w:szCs w:val="16"/>
    </w:rPr>
  </w:style>
  <w:style w:type="paragraph" w:styleId="CommentText">
    <w:name w:val="annotation text"/>
    <w:basedOn w:val="Normal"/>
    <w:link w:val="CommentTextChar"/>
    <w:uiPriority w:val="99"/>
    <w:semiHidden/>
    <w:unhideWhenUsed/>
    <w:rsid w:val="00850DB6"/>
    <w:rPr>
      <w:sz w:val="20"/>
      <w:szCs w:val="20"/>
    </w:rPr>
  </w:style>
  <w:style w:type="character" w:customStyle="1" w:styleId="CommentTextChar">
    <w:name w:val="Comment Text Char"/>
    <w:basedOn w:val="DefaultParagraphFont"/>
    <w:link w:val="CommentText"/>
    <w:uiPriority w:val="99"/>
    <w:semiHidden/>
    <w:rsid w:val="00850DB6"/>
    <w:rPr>
      <w:sz w:val="20"/>
      <w:szCs w:val="20"/>
    </w:rPr>
  </w:style>
  <w:style w:type="paragraph" w:styleId="CommentSubject">
    <w:name w:val="annotation subject"/>
    <w:basedOn w:val="CommentText"/>
    <w:next w:val="CommentText"/>
    <w:link w:val="CommentSubjectChar"/>
    <w:uiPriority w:val="99"/>
    <w:semiHidden/>
    <w:unhideWhenUsed/>
    <w:rsid w:val="00850DB6"/>
    <w:rPr>
      <w:b/>
      <w:bCs/>
    </w:rPr>
  </w:style>
  <w:style w:type="character" w:customStyle="1" w:styleId="CommentSubjectChar">
    <w:name w:val="Comment Subject Char"/>
    <w:basedOn w:val="CommentTextChar"/>
    <w:link w:val="CommentSubject"/>
    <w:uiPriority w:val="99"/>
    <w:semiHidden/>
    <w:rsid w:val="00850DB6"/>
    <w:rPr>
      <w:b/>
      <w:bCs/>
      <w:sz w:val="20"/>
      <w:szCs w:val="20"/>
    </w:rPr>
  </w:style>
  <w:style w:type="paragraph" w:styleId="BalloonText">
    <w:name w:val="Balloon Text"/>
    <w:basedOn w:val="Normal"/>
    <w:link w:val="BalloonTextChar"/>
    <w:uiPriority w:val="99"/>
    <w:semiHidden/>
    <w:unhideWhenUsed/>
    <w:rsid w:val="00850D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FB1A-6D84-4697-85E1-0F8112BD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4909</Words>
  <Characters>27984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Guan</dc:creator>
  <cp:keywords/>
  <dc:description/>
  <cp:lastModifiedBy>Qi Guan</cp:lastModifiedBy>
  <cp:revision>15</cp:revision>
  <dcterms:created xsi:type="dcterms:W3CDTF">2022-03-20T03:35:00Z</dcterms:created>
  <dcterms:modified xsi:type="dcterms:W3CDTF">2022-06-22T23:22:00Z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id="Dq80Wim5"/&gt;&lt;style id="http://www.zotero.org/styles/nature" hasBibliography="1" bibliographyStyleHasBeenSet="1"/&gt;&lt;prefs&gt;&lt;pref name="fieldType" value="Field"/&gt;&lt;pref name="automaticJournalAbbrevia</vt:lpwstr>
  </property>
  <property fmtid="{D5CDD505-2E9C-101B-9397-08002B2CF9AE}" pid="3" name="ZOTERO_PREF_2">
    <vt:lpwstr>tions" value="true"/&gt;&lt;/prefs&gt;&lt;/data&gt;</vt:lpwstr>
  </property>
</Properties>
</file>