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5C05" w14:textId="77777777" w:rsidR="00865DF5" w:rsidRPr="009F337F" w:rsidRDefault="00865DF5" w:rsidP="00865DF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Supplementary material </w:t>
      </w:r>
    </w:p>
    <w:p w14:paraId="31462607" w14:textId="77777777" w:rsidR="00865DF5" w:rsidRPr="009055EA" w:rsidRDefault="00865DF5" w:rsidP="00865DF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Pr="001C477F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1.</w:t>
      </w:r>
      <w:r w:rsidRPr="009055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 covariates included in this study, </w:t>
      </w:r>
    </w:p>
    <w:tbl>
      <w:tblPr>
        <w:tblStyle w:val="TableGrid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2693"/>
      </w:tblGrid>
      <w:tr w:rsidR="00865DF5" w14:paraId="025DE303" w14:textId="77777777" w:rsidTr="003D7EE6"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6B2D97D5" w14:textId="77777777" w:rsidR="00865DF5" w:rsidRPr="00745A76" w:rsidRDefault="00865DF5" w:rsidP="003D7E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06010421"/>
            <w:r w:rsidRPr="00A84A0C">
              <w:rPr>
                <w:rFonts w:ascii="Arial" w:hAnsi="Arial" w:cs="Arial"/>
                <w:b/>
                <w:bCs/>
                <w:sz w:val="18"/>
                <w:szCs w:val="18"/>
              </w:rPr>
              <w:t>Covariates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F26B68C" w14:textId="77777777" w:rsidR="00865DF5" w:rsidRPr="00745A76" w:rsidRDefault="00865DF5" w:rsidP="003D7E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A0C">
              <w:rPr>
                <w:rFonts w:ascii="Arial" w:hAnsi="Arial" w:cs="Arial"/>
                <w:b/>
                <w:bCs/>
                <w:sz w:val="18"/>
                <w:szCs w:val="18"/>
              </w:rPr>
              <w:t>ICD10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¹</w:t>
            </w:r>
            <w:r w:rsidRPr="00A84A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ATC-code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1B35EF8E" w14:textId="77777777" w:rsidR="00865DF5" w:rsidRPr="00A84A0C" w:rsidRDefault="00865DF5" w:rsidP="003D7E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4A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Definition 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7F33D421" w14:textId="77777777" w:rsidR="00865DF5" w:rsidRPr="00A84A0C" w:rsidRDefault="00865DF5" w:rsidP="003D7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 of measurement</w:t>
            </w:r>
          </w:p>
        </w:tc>
      </w:tr>
      <w:tr w:rsidR="00865DF5" w14:paraId="3441C81F" w14:textId="77777777" w:rsidTr="003D7EE6">
        <w:trPr>
          <w:trHeight w:val="59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6DAA8A7" w14:textId="77777777" w:rsidR="00865DF5" w:rsidRPr="0086679E" w:rsidRDefault="00865DF5" w:rsidP="003D7EE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667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Sociodemographic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covariates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6D85023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22B29F8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auto"/>
          </w:tcPr>
          <w:p w14:paraId="399F6DB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65DF5" w14:paraId="2E44F262" w14:textId="77777777" w:rsidTr="003D7EE6">
        <w:trPr>
          <w:trHeight w:val="1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A72CA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Age </w:t>
            </w:r>
            <w:r>
              <w:rPr>
                <w:rFonts w:ascii="Arial" w:hAnsi="Arial" w:cs="Arial"/>
                <w:sz w:val="15"/>
                <w:szCs w:val="15"/>
              </w:rPr>
              <w:t xml:space="preserve">at first diagnosis </w:t>
            </w:r>
            <w:r w:rsidRPr="0086679E">
              <w:rPr>
                <w:rFonts w:ascii="Arial" w:hAnsi="Arial" w:cs="Arial"/>
                <w:sz w:val="15"/>
                <w:szCs w:val="15"/>
              </w:rPr>
              <w:t>(years)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68988C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B10E3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18-23, 24-29, 30-35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7A7E1E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of first diagnosis</w:t>
            </w:r>
          </w:p>
        </w:tc>
      </w:tr>
      <w:tr w:rsidR="00865DF5" w14:paraId="6AE77D5D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61356E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Sex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EF958F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ED8054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Male, female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04E678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of first diagnosis</w:t>
            </w:r>
          </w:p>
        </w:tc>
      </w:tr>
      <w:tr w:rsidR="00865DF5" w14:paraId="2AF0C9ED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C13D4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Educational level (years)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58238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5708D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&lt;10, 10-12, &gt;12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FB1F69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December 31?</w:t>
            </w:r>
          </w:p>
        </w:tc>
      </w:tr>
      <w:tr w:rsidR="00865DF5" w14:paraId="1CAB5E1C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27F473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Living area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7DBD2B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72F5FC4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Cities, towns, rural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79BF44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December 31 the year prior to first diagnosis </w:t>
            </w:r>
          </w:p>
        </w:tc>
      </w:tr>
      <w:tr w:rsidR="00865DF5" w14:paraId="37F90601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4619CE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Marital status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58F88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436D9E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Unmarried, married, divorced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D13C0A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D56B9">
              <w:rPr>
                <w:rFonts w:ascii="Arial" w:hAnsi="Arial" w:cs="Arial"/>
                <w:sz w:val="15"/>
                <w:szCs w:val="15"/>
              </w:rPr>
              <w:t>December 31 the year prior to first diagnosis</w:t>
            </w:r>
          </w:p>
        </w:tc>
      </w:tr>
      <w:tr w:rsidR="00865DF5" w14:paraId="1000BD53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7681AF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Unemployment </w:t>
            </w:r>
            <w:r>
              <w:rPr>
                <w:rFonts w:ascii="Arial" w:hAnsi="Arial" w:cs="Arial"/>
                <w:sz w:val="15"/>
                <w:szCs w:val="15"/>
              </w:rPr>
              <w:t>(days)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DE93C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8D8E9C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 1-180, &gt;180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48E3E80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Gross days during the 360-1 days prior to first diagnosis</w:t>
            </w:r>
          </w:p>
        </w:tc>
      </w:tr>
      <w:tr w:rsidR="00865DF5" w14:paraId="4C412CA0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6BC058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Sickness Absence</w:t>
            </w:r>
            <w:r>
              <w:rPr>
                <w:rFonts w:ascii="Arial" w:hAnsi="Arial" w:cs="Arial"/>
                <w:sz w:val="15"/>
                <w:szCs w:val="15"/>
              </w:rPr>
              <w:t xml:space="preserve"> (days)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BEA35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E3E3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0, 1-90, &gt;90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F5A17E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Gross days during the 360-1 days prior to first diagnosis </w:t>
            </w:r>
          </w:p>
        </w:tc>
      </w:tr>
      <w:tr w:rsidR="00865DF5" w14:paraId="61634336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B59C56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Disability pension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DF6BAA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D62DE4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4F6F6B5" w14:textId="77777777" w:rsidR="00865DF5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prior to first diagnosis</w:t>
            </w:r>
          </w:p>
        </w:tc>
      </w:tr>
      <w:tr w:rsidR="00865DF5" w14:paraId="2F50962C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16571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Region of birth*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1708F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BF7A6B" w14:textId="77777777" w:rsidR="00865DF5" w:rsidRPr="001C477F" w:rsidRDefault="00865DF5" w:rsidP="003D7EE6">
            <w:pPr>
              <w:rPr>
                <w:rFonts w:ascii="Arial" w:hAnsi="Arial" w:cs="Arial"/>
                <w:sz w:val="16"/>
                <w:szCs w:val="16"/>
              </w:rPr>
            </w:pPr>
            <w:r w:rsidRPr="001C477F">
              <w:rPr>
                <w:rFonts w:ascii="Arial" w:hAnsi="Arial" w:cs="Arial"/>
                <w:color w:val="000000" w:themeColor="text1"/>
                <w:sz w:val="15"/>
                <w:szCs w:val="15"/>
              </w:rPr>
              <w:sym w:font="Symbol" w:char="F05B"/>
            </w: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Appendix A</w:t>
            </w:r>
            <w:r w:rsidRPr="001C477F">
              <w:rPr>
                <w:rFonts w:ascii="Arial" w:hAnsi="Arial" w:cs="Arial"/>
                <w:color w:val="000000" w:themeColor="text1"/>
                <w:sz w:val="15"/>
                <w:szCs w:val="15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C8256E" w14:textId="77777777" w:rsidR="00865DF5" w:rsidRPr="001C477F" w:rsidRDefault="00865DF5" w:rsidP="003D7EE6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The day of first diagnosis </w:t>
            </w:r>
          </w:p>
        </w:tc>
      </w:tr>
      <w:tr w:rsidR="00865DF5" w14:paraId="1E38EEA9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19DEC14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Age at immigration (years)</w:t>
            </w:r>
            <w:r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27689C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890F20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0-31 </w:t>
            </w:r>
            <w:r w:rsidRPr="0086679E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BA1189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of first diagnosis</w:t>
            </w:r>
          </w:p>
        </w:tc>
      </w:tr>
      <w:tr w:rsidR="00865DF5" w14:paraId="3C750410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289DD8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Duration of formal residency in Sweden (years)</w:t>
            </w:r>
            <w:r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3C0FC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N/A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63AD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3-5, 6-10, &gt;10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7CBD40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of first diagnosis</w:t>
            </w:r>
          </w:p>
        </w:tc>
      </w:tr>
      <w:tr w:rsidR="00865DF5" w14:paraId="306593B2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0299C0C" w14:textId="77777777" w:rsidR="00865DF5" w:rsidRPr="0086679E" w:rsidRDefault="00865DF5" w:rsidP="003D7EE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667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Clinical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covariates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754681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C299A8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31965DC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65DF5" w14:paraId="0BD1FFA1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DFE75C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Substance use disorders (SUD)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BB8A2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912A46">
              <w:rPr>
                <w:rFonts w:ascii="Arial" w:hAnsi="Arial" w:cs="Arial"/>
                <w:sz w:val="15"/>
                <w:szCs w:val="15"/>
              </w:rPr>
              <w:t>ICD10: F10-F19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AF5920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9FAF69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547225D5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2488CF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Attention-deficit hyperactivity disorder (ADHD)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455CD6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F90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AB4EBA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9C1A20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256CE721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22522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Bipolar disorder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B703C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F30-F31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8C00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18CE65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5F133E41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DEBA2D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Personality disorder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3D23738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F60-F69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29D2C8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2C1C79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3D4E4CAD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481F4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Depression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E3D0B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F32-F33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AB6A0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2CCFE8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1F2EF5D6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FE0609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Anxiety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DE64F3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F40-F43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77A644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D65A31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74EC0138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99E0F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Musculoskeletal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5855D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M00-M99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E231CE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9DB31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0237C6A7" w14:textId="77777777" w:rsidTr="003D7EE6">
        <w:trPr>
          <w:trHeight w:val="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CF7C452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Cardiovascular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83344BE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100-199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1E12DC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6A4FAD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013C8010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CC9F27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0274A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ICD10: C00-C99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41570C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B54C4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797989FA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9099CE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Type of psychotic disorder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0D4775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ICD10: F20-F29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1F3703C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232E4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3254FF6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day of first diagnosis</w:t>
            </w:r>
          </w:p>
        </w:tc>
      </w:tr>
      <w:tr w:rsidR="00865DF5" w14:paraId="01559AE4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F2518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Previous suicide attempt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EEB80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IC</w:t>
            </w:r>
            <w:r w:rsidRPr="0086679E">
              <w:rPr>
                <w:rFonts w:ascii="Arial" w:hAnsi="Arial" w:cs="Arial"/>
                <w:sz w:val="15"/>
                <w:szCs w:val="15"/>
              </w:rPr>
              <w:t>D10: X60-X84, Y10-Y34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D68E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7EA38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years prior to first diagnosis</w:t>
            </w:r>
          </w:p>
        </w:tc>
      </w:tr>
      <w:tr w:rsidR="00865DF5" w14:paraId="4FCBF946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4C23CC8F" w14:textId="77777777" w:rsidR="00865DF5" w:rsidRPr="00912A46" w:rsidRDefault="00865DF5" w:rsidP="003D7EE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12A4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Previous medication </w:t>
            </w:r>
            <w:proofErr w:type="gramStart"/>
            <w:r w:rsidRPr="00912A46">
              <w:rPr>
                <w:rFonts w:ascii="Arial" w:hAnsi="Arial" w:cs="Arial"/>
                <w:b/>
                <w:bCs/>
                <w:sz w:val="15"/>
                <w:szCs w:val="15"/>
              </w:rPr>
              <w:t>use</w:t>
            </w:r>
            <w:proofErr w:type="gramEnd"/>
            <w:r w:rsidRPr="00912A4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covariates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146B587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752E0D0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14:paraId="02B75F34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65DF5" w14:paraId="43811554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26D2C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Antidepressants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71707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ATC: N06A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F554D5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570E7B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C45F18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Three months prior to first diagnosis</w:t>
            </w:r>
          </w:p>
        </w:tc>
      </w:tr>
      <w:tr w:rsidR="00865DF5" w14:paraId="3645F618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A1C09DD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Anxiolytic drugs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0B32EA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ATC: </w:t>
            </w:r>
            <w:r w:rsidRPr="0086679E">
              <w:rPr>
                <w:rFonts w:ascii="Arial" w:hAnsi="Arial" w:cs="Arial"/>
                <w:sz w:val="15"/>
                <w:szCs w:val="15"/>
              </w:rPr>
              <w:t>N05B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511FF41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E7A5619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months prior to first diagnosis</w:t>
            </w:r>
          </w:p>
        </w:tc>
      </w:tr>
      <w:tr w:rsidR="00865DF5" w14:paraId="130ECDF1" w14:textId="77777777" w:rsidTr="003D7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FEB7A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Hypnotic drugs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D97A8F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ATC: </w:t>
            </w:r>
            <w:r w:rsidRPr="0086679E">
              <w:rPr>
                <w:rFonts w:ascii="Arial" w:hAnsi="Arial" w:cs="Arial"/>
                <w:sz w:val="15"/>
                <w:szCs w:val="15"/>
              </w:rPr>
              <w:t>N05C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F8C7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570E7B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FC0313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months prior to first diagnosis</w:t>
            </w:r>
          </w:p>
        </w:tc>
      </w:tr>
      <w:tr w:rsidR="00865DF5" w14:paraId="11B6E4AB" w14:textId="77777777" w:rsidTr="003D7EE6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39FF4874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>Mood stabilisers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118B62EF" w14:textId="77777777" w:rsidR="00865DF5" w:rsidRPr="00B50515" w:rsidRDefault="00865DF5" w:rsidP="003D7EE6">
            <w:pPr>
              <w:rPr>
                <w:rFonts w:ascii="Arial" w:hAnsi="Arial"/>
                <w:sz w:val="15"/>
                <w:lang w:val="pt-PT"/>
              </w:rPr>
            </w:pPr>
            <w:r w:rsidRPr="00B50515">
              <w:rPr>
                <w:rFonts w:ascii="Arial" w:hAnsi="Arial"/>
                <w:sz w:val="15"/>
                <w:lang w:val="pt-PT"/>
              </w:rPr>
              <w:t>ATC: N03AF01, N03AG01, N03AX09, N05AN01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2B5F27AB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86679E">
              <w:rPr>
                <w:rFonts w:ascii="Arial" w:hAnsi="Arial" w:cs="Arial"/>
                <w:sz w:val="15"/>
                <w:szCs w:val="15"/>
              </w:rPr>
              <w:t xml:space="preserve">No, </w:t>
            </w:r>
            <w:proofErr w:type="gramStart"/>
            <w:r w:rsidRPr="0086679E">
              <w:rPr>
                <w:rFonts w:ascii="Arial" w:hAnsi="Arial" w:cs="Arial"/>
                <w:sz w:val="15"/>
                <w:szCs w:val="15"/>
              </w:rPr>
              <w:t>Yes</w:t>
            </w:r>
            <w:proofErr w:type="gramEnd"/>
            <w:r w:rsidRPr="0086679E" w:rsidDel="00570E7B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7C81917A" w14:textId="77777777" w:rsidR="00865DF5" w:rsidRPr="0086679E" w:rsidRDefault="00865DF5" w:rsidP="003D7EE6">
            <w:pPr>
              <w:rPr>
                <w:rFonts w:ascii="Arial" w:hAnsi="Arial" w:cs="Arial"/>
                <w:sz w:val="15"/>
                <w:szCs w:val="15"/>
              </w:rPr>
            </w:pPr>
            <w:r w:rsidRPr="00E45BA5">
              <w:rPr>
                <w:rFonts w:ascii="Arial" w:hAnsi="Arial" w:cs="Arial"/>
                <w:sz w:val="15"/>
                <w:szCs w:val="15"/>
              </w:rPr>
              <w:t>Three months prior to first diagnosis</w:t>
            </w:r>
          </w:p>
        </w:tc>
      </w:tr>
    </w:tbl>
    <w:bookmarkEnd w:id="0"/>
    <w:p w14:paraId="306F249A" w14:textId="77777777" w:rsidR="00865DF5" w:rsidRPr="00EE62F1" w:rsidRDefault="00865DF5" w:rsidP="00865DF5">
      <w:pPr>
        <w:spacing w:line="276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EE62F1">
        <w:rPr>
          <w:rFonts w:ascii="Arial" w:hAnsi="Arial" w:cs="Arial"/>
          <w:sz w:val="16"/>
          <w:szCs w:val="16"/>
        </w:rPr>
        <w:t xml:space="preserve">Only applies to refugees </w:t>
      </w:r>
      <w:r w:rsidRPr="00EE62F1">
        <w:rPr>
          <w:rFonts w:ascii="Arial" w:hAnsi="Arial" w:cs="Arial"/>
          <w:sz w:val="16"/>
          <w:szCs w:val="16"/>
        </w:rPr>
        <w:br/>
      </w:r>
      <w:r w:rsidRPr="00EE62F1">
        <w:rPr>
          <w:rFonts w:ascii="Arial" w:hAnsi="Arial" w:cs="Arial"/>
          <w:sz w:val="16"/>
          <w:szCs w:val="20"/>
        </w:rPr>
        <w:t>¹ ICD-10: International Classification of Diseases version 10</w:t>
      </w:r>
      <w:r w:rsidRPr="00EE62F1">
        <w:rPr>
          <w:rFonts w:ascii="Arial" w:hAnsi="Arial" w:cs="Arial"/>
          <w:sz w:val="16"/>
          <w:szCs w:val="20"/>
        </w:rPr>
        <w:br/>
        <w:t xml:space="preserve">² ATC: Anatomic Therapeutic Chemical Classification system </w:t>
      </w:r>
    </w:p>
    <w:p w14:paraId="32DBEF6E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3A7D0D60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6A77017A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72808AD8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485B8564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7A193028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33595EC6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0695AFAB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3780EF84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68715DDD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602AC8FD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646D8CB7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59BC3D84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2590E684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42E82F91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6075B0CE" w14:textId="77777777" w:rsidR="00865DF5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</w:p>
    <w:p w14:paraId="1E0CB497" w14:textId="77777777" w:rsidR="00865DF5" w:rsidRPr="003C6316" w:rsidRDefault="00865DF5" w:rsidP="00865DF5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lastRenderedPageBreak/>
        <w:t>Supplementary T</w:t>
      </w:r>
      <w:r w:rsidRPr="0066156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able </w:t>
      </w:r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2.</w:t>
      </w:r>
      <w:r w:rsidRPr="00661568">
        <w:rPr>
          <w:rFonts w:ascii="Arial" w:eastAsia="Calibri" w:hAnsi="Arial" w:cs="Arial"/>
          <w:sz w:val="20"/>
          <w:szCs w:val="20"/>
          <w:lang w:val="en-US" w:eastAsia="en-US"/>
        </w:rPr>
        <w:t xml:space="preserve"> Description of the </w:t>
      </w:r>
      <w:proofErr w:type="spellStart"/>
      <w:r w:rsidRPr="00661568">
        <w:rPr>
          <w:rFonts w:ascii="Arial" w:eastAsia="Calibri" w:hAnsi="Arial" w:cs="Arial"/>
          <w:sz w:val="20"/>
          <w:szCs w:val="20"/>
          <w:lang w:val="en-US" w:eastAsia="en-US"/>
        </w:rPr>
        <w:t>categorisation</w:t>
      </w:r>
      <w:proofErr w:type="spellEnd"/>
      <w:r w:rsidRPr="00661568">
        <w:rPr>
          <w:rFonts w:ascii="Arial" w:eastAsia="Calibri" w:hAnsi="Arial" w:cs="Arial"/>
          <w:sz w:val="20"/>
          <w:szCs w:val="20"/>
          <w:lang w:val="en-US" w:eastAsia="en-US"/>
        </w:rPr>
        <w:t xml:space="preserve"> of birth countries used throughout the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study</w:t>
      </w:r>
      <w:r w:rsidRPr="00661568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14:paraId="6878D1F4" w14:textId="77777777" w:rsidR="00865DF5" w:rsidRPr="0031120B" w:rsidRDefault="00865DF5" w:rsidP="00865D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rutnt1"/>
        <w:tblpPr w:leftFromText="180" w:rightFromText="180" w:vertAnchor="text" w:horzAnchor="margin" w:tblpX="-426" w:tblpY="-40"/>
        <w:tblW w:w="9066" w:type="dxa"/>
        <w:tblLook w:val="04A0" w:firstRow="1" w:lastRow="0" w:firstColumn="1" w:lastColumn="0" w:noHBand="0" w:noVBand="1"/>
      </w:tblPr>
      <w:tblGrid>
        <w:gridCol w:w="2268"/>
        <w:gridCol w:w="1134"/>
        <w:gridCol w:w="5664"/>
      </w:tblGrid>
      <w:tr w:rsidR="00865DF5" w:rsidRPr="00661568" w14:paraId="050F973D" w14:textId="77777777" w:rsidTr="003D7EE6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E1B7A51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</w:pPr>
            <w:bookmarkStart w:id="1" w:name="_Hlk106021621"/>
            <w:r w:rsidRPr="00661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  <w:t xml:space="preserve">Country </w:t>
            </w:r>
            <w:proofErr w:type="spellStart"/>
            <w:r w:rsidRPr="00661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  <w:t>Categories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F307F37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  <w:t>N (%)</w:t>
            </w:r>
          </w:p>
        </w:tc>
        <w:tc>
          <w:tcPr>
            <w:tcW w:w="5664" w:type="dxa"/>
            <w:tcBorders>
              <w:left w:val="nil"/>
              <w:bottom w:val="single" w:sz="4" w:space="0" w:color="auto"/>
              <w:right w:val="nil"/>
            </w:tcBorders>
          </w:tcPr>
          <w:p w14:paraId="028D62AF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  <w:t>Description</w:t>
            </w:r>
            <w:proofErr w:type="spellEnd"/>
            <w:r w:rsidRPr="00661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v-SE" w:eastAsia="en-US"/>
              </w:rPr>
              <w:t xml:space="preserve"> </w:t>
            </w:r>
          </w:p>
        </w:tc>
      </w:tr>
      <w:tr w:rsidR="00865DF5" w:rsidRPr="00661568" w14:paraId="69D49E42" w14:textId="77777777" w:rsidTr="003D7EE6">
        <w:tc>
          <w:tcPr>
            <w:tcW w:w="2268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4229B376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Afghanistan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54D69E75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86 (5.2)</w:t>
            </w:r>
          </w:p>
        </w:tc>
        <w:tc>
          <w:tcPr>
            <w:tcW w:w="5664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4889CEF0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</w:p>
        </w:tc>
      </w:tr>
      <w:tr w:rsidR="00865DF5" w:rsidRPr="00661568" w14:paraId="1B020E3E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C83859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Iraq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26772A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309 (18.7)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06B64F04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</w:p>
        </w:tc>
      </w:tr>
      <w:tr w:rsidR="00865DF5" w:rsidRPr="00661568" w14:paraId="31AFB17B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8E9266F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Iran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37435DB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121 (7.3)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C4301F9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</w:p>
        </w:tc>
      </w:tr>
      <w:tr w:rsidR="00865DF5" w:rsidRPr="00661568" w14:paraId="19E39CE6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38979F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Somalia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D83BB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294 (17.8)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1537607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</w:p>
        </w:tc>
      </w:tr>
      <w:tr w:rsidR="00865DF5" w:rsidRPr="00661568" w14:paraId="2F6FB53F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C06D96D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Former Yugoslavia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DD01B71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292 (17.6)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3B986A7" w14:textId="77777777" w:rsidR="00865DF5" w:rsidRPr="00B50515" w:rsidRDefault="00865DF5" w:rsidP="003D7EE6">
            <w:pPr>
              <w:spacing w:line="276" w:lineRule="auto"/>
              <w:rPr>
                <w:rFonts w:ascii="Arial" w:hAnsi="Arial"/>
                <w:sz w:val="16"/>
                <w:lang w:val="en-US"/>
              </w:rPr>
            </w:pPr>
            <w:r w:rsidRPr="00B50515">
              <w:rPr>
                <w:rFonts w:ascii="Arial" w:hAnsi="Arial"/>
                <w:sz w:val="16"/>
                <w:lang w:val="en-US"/>
              </w:rPr>
              <w:t>Bosnia-Hercegovina, Yugoslavia, Croatia, Macedonia, Serbia, Serbia and Montenegro, Slovenia</w:t>
            </w:r>
          </w:p>
        </w:tc>
      </w:tr>
      <w:tr w:rsidR="00865DF5" w:rsidRPr="00B07C15" w14:paraId="60D6A658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890009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Other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Africa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D3446C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185 (11.2)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20F48D1F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Algeria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Angola, Arab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republic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Egypt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Burundi,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Cameroon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Central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African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Republic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Djibouti,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Egypt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Eritrea,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Ethiopia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Gambia, Ghana, Guinea,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Ivory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 Coast, Kenya, Kongo, Kongo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Democratic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Republic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Liberia,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Libya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Mali,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Morocco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Nigeria, Rwanda, Senegal, Sierra Leone, Sudan, South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Africa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, Tanzania, Togo, Uganda</w:t>
            </w:r>
          </w:p>
        </w:tc>
      </w:tr>
      <w:tr w:rsidR="00865DF5" w:rsidRPr="00B07C15" w14:paraId="658FDDB8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5B864C6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Other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Europe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DFEBB80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103 (6.2)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206BE07D" w14:textId="77777777" w:rsidR="00865DF5" w:rsidRPr="00B50515" w:rsidRDefault="00865DF5" w:rsidP="003D7EE6">
            <w:pPr>
              <w:spacing w:line="276" w:lineRule="auto"/>
              <w:rPr>
                <w:rFonts w:ascii="Arial" w:hAnsi="Arial"/>
                <w:color w:val="000000"/>
                <w:sz w:val="16"/>
                <w:lang w:val="sv-SE"/>
              </w:rPr>
            </w:pP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Albania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Armenia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Azerbaijan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Belgium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Bulgaria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Cyprus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Denmark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Georgia,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Italy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Kosovo,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Latvia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Poland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Romania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Russia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Slovakia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Soviet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 Union, Chez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republic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Germany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Ukraine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 xml:space="preserve">, </w:t>
            </w:r>
            <w:proofErr w:type="spellStart"/>
            <w:r w:rsidRPr="00B50515">
              <w:rPr>
                <w:rFonts w:ascii="Arial" w:hAnsi="Arial"/>
                <w:sz w:val="16"/>
                <w:lang w:val="sv-SE"/>
              </w:rPr>
              <w:t>Hungary</w:t>
            </w:r>
            <w:proofErr w:type="spellEnd"/>
            <w:r w:rsidRPr="00B50515">
              <w:rPr>
                <w:rFonts w:ascii="Arial" w:hAnsi="Arial"/>
                <w:sz w:val="16"/>
                <w:lang w:val="sv-SE"/>
              </w:rPr>
              <w:t>, Belarus.</w:t>
            </w:r>
          </w:p>
        </w:tc>
      </w:tr>
      <w:tr w:rsidR="00865DF5" w:rsidRPr="00B07C15" w14:paraId="1D401E16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9D287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Other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Middle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</w:t>
            </w: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East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4E7A74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154 (9.3)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1BCA62E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United Arab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Emirate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Bahrain, Gaza area, Israel, Jordan, Kuwait,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Lebanon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Palestine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Saudi Arabia,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Syria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Turkey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Yemen </w:t>
            </w:r>
          </w:p>
        </w:tc>
      </w:tr>
      <w:tr w:rsidR="00865DF5" w:rsidRPr="00B07C15" w14:paraId="65D02528" w14:textId="77777777" w:rsidTr="003D7EE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FCEF0A2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Asia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0F24B00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54 (3.3)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A33F1CD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Bangladesh, Philippines, India,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Kazakhstan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 xml:space="preserve">, Kina, </w:t>
            </w:r>
            <w:proofErr w:type="spellStart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Kirgizstan</w:t>
            </w:r>
            <w:proofErr w:type="spellEnd"/>
            <w:r w:rsidRPr="00661568">
              <w:rPr>
                <w:rFonts w:ascii="Arial" w:hAnsi="Arial" w:cs="Arial"/>
                <w:sz w:val="16"/>
                <w:szCs w:val="16"/>
                <w:lang w:val="sv-SE" w:eastAsia="en-US"/>
              </w:rPr>
              <w:t>, Laos, Myanmar, Nepal, Pakistan, Sri Lanka, Thailand, Turkmenistan, Uzbekistan, Vietnam, Vietnam rep</w:t>
            </w:r>
          </w:p>
        </w:tc>
      </w:tr>
      <w:tr w:rsidR="00865DF5" w:rsidRPr="00661568" w14:paraId="0B749CE5" w14:textId="77777777" w:rsidTr="003D7EE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E531C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The </w:t>
            </w:r>
            <w:proofErr w:type="spellStart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>Americas</w:t>
            </w:r>
            <w:proofErr w:type="spellEnd"/>
            <w:r w:rsidRPr="00661568">
              <w:rPr>
                <w:rFonts w:ascii="Arial" w:hAnsi="Arial" w:cs="Arial"/>
                <w:bCs/>
                <w:color w:val="000000"/>
                <w:sz w:val="16"/>
                <w:szCs w:val="16"/>
                <w:lang w:val="sv-SE"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7425E" w14:textId="77777777" w:rsidR="00865DF5" w:rsidRPr="00661568" w:rsidRDefault="00865DF5" w:rsidP="003D7EE6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</w:pPr>
            <w:r w:rsidRPr="00661568">
              <w:rPr>
                <w:rFonts w:ascii="Arial" w:hAnsi="Arial" w:cs="Arial"/>
                <w:color w:val="000000"/>
                <w:sz w:val="16"/>
                <w:szCs w:val="16"/>
                <w:lang w:val="sv-SE" w:eastAsia="en-US"/>
              </w:rPr>
              <w:t>58 (3.5)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113F" w14:textId="77777777" w:rsidR="00865DF5" w:rsidRPr="00A774C8" w:rsidRDefault="00865DF5" w:rsidP="003D7EE6">
            <w:pPr>
              <w:spacing w:line="276" w:lineRule="auto"/>
              <w:rPr>
                <w:rFonts w:ascii="Arial" w:hAnsi="Arial"/>
                <w:color w:val="000000"/>
                <w:sz w:val="16"/>
                <w:lang w:val="es-ES"/>
              </w:rPr>
            </w:pPr>
            <w:r w:rsidRPr="00A774C8">
              <w:rPr>
                <w:rFonts w:ascii="Arial" w:hAnsi="Arial"/>
                <w:sz w:val="16"/>
                <w:lang w:val="es-ES"/>
              </w:rPr>
              <w:t xml:space="preserve">Chile, Colombia, Ecuador, El Salvador, Guatemala, </w:t>
            </w:r>
            <w:proofErr w:type="spellStart"/>
            <w:r w:rsidRPr="00A774C8">
              <w:rPr>
                <w:rFonts w:ascii="Arial" w:hAnsi="Arial"/>
                <w:sz w:val="16"/>
                <w:lang w:val="es-ES"/>
              </w:rPr>
              <w:t>Mexico</w:t>
            </w:r>
            <w:proofErr w:type="spellEnd"/>
            <w:r w:rsidRPr="00A774C8">
              <w:rPr>
                <w:rFonts w:ascii="Arial" w:hAnsi="Arial"/>
                <w:sz w:val="16"/>
                <w:lang w:val="es-ES"/>
              </w:rPr>
              <w:t xml:space="preserve">, </w:t>
            </w:r>
            <w:proofErr w:type="spellStart"/>
            <w:r w:rsidRPr="00A774C8">
              <w:rPr>
                <w:rFonts w:ascii="Arial" w:hAnsi="Arial"/>
                <w:sz w:val="16"/>
                <w:lang w:val="es-ES"/>
              </w:rPr>
              <w:t>Peru</w:t>
            </w:r>
            <w:proofErr w:type="spellEnd"/>
          </w:p>
        </w:tc>
      </w:tr>
      <w:bookmarkEnd w:id="1"/>
    </w:tbl>
    <w:p w14:paraId="13B3AC19" w14:textId="77777777" w:rsidR="00865DF5" w:rsidRDefault="00865DF5" w:rsidP="00865DF5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EDE09AE" w14:textId="77777777" w:rsidR="00865DF5" w:rsidRDefault="00865DF5" w:rsidP="00865DF5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572646CE" w14:textId="77777777" w:rsidR="00865DF5" w:rsidRPr="000348D5" w:rsidRDefault="00865DF5" w:rsidP="00865D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Supplementary T</w:t>
      </w:r>
      <w:r w:rsidRPr="009C1D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able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0348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Point prevalence (%) of antipsychotic drug use, </w:t>
      </w:r>
      <w:r w:rsidRPr="000348D5">
        <w:rPr>
          <w:rFonts w:ascii="Arial" w:hAnsi="Arial" w:cs="Arial"/>
          <w:color w:val="000000" w:themeColor="text1"/>
          <w:sz w:val="20"/>
          <w:szCs w:val="20"/>
        </w:rPr>
        <w:t xml:space="preserve">measured every six months for a maximum of five years after diagnosis (t1-t10)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for both refugees and Swedish-born. 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843"/>
        <w:gridCol w:w="1984"/>
      </w:tblGrid>
      <w:tr w:rsidR="00865DF5" w:rsidRPr="00D160BB" w14:paraId="480606B4" w14:textId="77777777" w:rsidTr="003D7EE6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2772A92" w14:textId="77777777" w:rsidR="00865DF5" w:rsidRPr="00D160BB" w:rsidRDefault="00865DF5" w:rsidP="003D7EE6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Time Point (years)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0A905CB" w14:textId="77777777" w:rsidR="00865DF5" w:rsidRPr="00D160BB" w:rsidRDefault="00865DF5" w:rsidP="003D7EE6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Refugees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4F50262B" w14:textId="77777777" w:rsidR="00865DF5" w:rsidRPr="00D160BB" w:rsidRDefault="00865DF5" w:rsidP="003D7EE6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95% CI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0D52F43" w14:textId="77777777" w:rsidR="00865DF5" w:rsidRPr="00D160BB" w:rsidRDefault="00865DF5" w:rsidP="003D7EE6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b/>
                <w:bCs/>
                <w:sz w:val="20"/>
                <w:szCs w:val="20"/>
              </w:rPr>
              <w:t>Swedish-born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1D830FE8" w14:textId="77777777" w:rsidR="00865DF5" w:rsidRPr="00D160BB" w:rsidRDefault="00865DF5" w:rsidP="003D7EE6">
            <w:pPr>
              <w:spacing w:line="276" w:lineRule="auto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95% CI </w:t>
            </w:r>
          </w:p>
        </w:tc>
      </w:tr>
      <w:tr w:rsidR="00865DF5" w:rsidRPr="00D160BB" w14:paraId="672A8ECD" w14:textId="77777777" w:rsidTr="003D7EE6">
        <w:tc>
          <w:tcPr>
            <w:tcW w:w="1843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2A3C15E9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t1 (0.5)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5E216269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40.08</w:t>
            </w: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41C93D0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37.60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 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42.61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shd w:val="pct5" w:color="auto" w:fill="auto"/>
          </w:tcPr>
          <w:p w14:paraId="6036D1B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46.93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32183EB6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45.84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48.02</w:t>
            </w:r>
          </w:p>
        </w:tc>
      </w:tr>
      <w:tr w:rsidR="00865DF5" w:rsidRPr="00D160BB" w14:paraId="4A171D2F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B541A3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t2 (1)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A3EB0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C12BA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34.59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39.70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769B3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42.18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CEC2E1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41.08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43.29</w:t>
            </w:r>
          </w:p>
        </w:tc>
      </w:tr>
      <w:tr w:rsidR="00865DF5" w:rsidRPr="00D160BB" w14:paraId="116BCE00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3C7800B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t3 (1.5)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7881C62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35.85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4BB5B524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33.27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 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14:paraId="14F3023E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40.30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9A9C809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39.18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41.43</w:t>
            </w:r>
          </w:p>
        </w:tc>
      </w:tr>
      <w:tr w:rsidR="00865DF5" w:rsidRPr="00D160BB" w14:paraId="0A57735C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CA8979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t4 (2)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08DEFE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F8FD1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35.70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 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41.20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CFAB9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CB751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38.45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40.75</w:t>
            </w:r>
          </w:p>
        </w:tc>
      </w:tr>
      <w:tr w:rsidR="00865DF5" w:rsidRPr="00D160BB" w14:paraId="01E8B8F0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7F143E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t5 (2.5)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DC6A03A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27FDAA76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37.02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42.77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14:paraId="49813F18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E5E4778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37.9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40.27</w:t>
            </w:r>
          </w:p>
        </w:tc>
      </w:tr>
      <w:tr w:rsidR="00865DF5" w:rsidRPr="00D160BB" w14:paraId="686209CE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0B89DB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t6 (3)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B47904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72DC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36.58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 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42.56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A24AE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E215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38.76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41.20</w:t>
            </w:r>
          </w:p>
        </w:tc>
      </w:tr>
      <w:tr w:rsidR="00865DF5" w:rsidRPr="00D160BB" w14:paraId="041D2BA0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41EFFC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t7 (3.5)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44723E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40.52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383907A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37.56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43.64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14:paraId="7EE71DA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3699246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38.45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40.96</w:t>
            </w:r>
          </w:p>
        </w:tc>
      </w:tr>
      <w:tr w:rsidR="00865DF5" w:rsidRPr="00D160BB" w14:paraId="3BD57999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1F425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t8 (4)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40B356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CB8D8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36.33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42.70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BFEB4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26F6C3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38.53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41.12</w:t>
            </w:r>
          </w:p>
        </w:tc>
      </w:tr>
      <w:tr w:rsidR="00865DF5" w:rsidRPr="00D160BB" w14:paraId="5843BB9E" w14:textId="77777777" w:rsidTr="003D7EE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07A6A57F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t9 (4.5)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1F27B47B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5143A721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36.67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43.28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14:paraId="2B6F6BAA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40.58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C8227F4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39.25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41.93</w:t>
            </w:r>
          </w:p>
        </w:tc>
      </w:tr>
      <w:tr w:rsidR="00865DF5" w:rsidRPr="00D160BB" w14:paraId="19099FE2" w14:textId="77777777" w:rsidTr="003D7EE6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39817F87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t10 (5)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80643CC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41.09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14:paraId="6363B635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37.70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44.58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nil"/>
            </w:tcBorders>
          </w:tcPr>
          <w:p w14:paraId="03520BF0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40.35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7DA0B340" w14:textId="77777777" w:rsidR="00865DF5" w:rsidRPr="00D160BB" w:rsidRDefault="00865DF5" w:rsidP="003D7E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>38.97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-</w:t>
            </w:r>
            <w:r w:rsidRPr="00D160BB">
              <w:rPr>
                <w:rFonts w:cs="Arial"/>
                <w:color w:val="000000" w:themeColor="text1"/>
                <w:sz w:val="20"/>
                <w:szCs w:val="20"/>
              </w:rPr>
              <w:t xml:space="preserve"> 41.75</w:t>
            </w:r>
          </w:p>
        </w:tc>
      </w:tr>
    </w:tbl>
    <w:p w14:paraId="21474E6F" w14:textId="77777777" w:rsidR="00865DF5" w:rsidRDefault="00865DF5" w:rsidP="00865DF5">
      <w:pPr>
        <w:rPr>
          <w:rFonts w:ascii="Arial" w:hAnsi="Arial" w:cs="Arial"/>
          <w:b/>
          <w:bCs/>
          <w:sz w:val="20"/>
          <w:szCs w:val="22"/>
        </w:rPr>
      </w:pPr>
    </w:p>
    <w:p w14:paraId="4798CE0B" w14:textId="77777777" w:rsidR="00865DF5" w:rsidRDefault="00865DF5" w:rsidP="00865DF5">
      <w:pPr>
        <w:rPr>
          <w:rFonts w:ascii="Arial" w:hAnsi="Arial" w:cs="Arial"/>
          <w:b/>
          <w:bCs/>
          <w:sz w:val="20"/>
          <w:szCs w:val="22"/>
        </w:rPr>
      </w:pPr>
    </w:p>
    <w:p w14:paraId="4C254E0B" w14:textId="77777777" w:rsidR="00865DF5" w:rsidRDefault="00865DF5" w:rsidP="00865DF5">
      <w:pPr>
        <w:rPr>
          <w:rFonts w:ascii="Arial" w:hAnsi="Arial" w:cs="Arial"/>
          <w:b/>
          <w:bCs/>
          <w:sz w:val="20"/>
          <w:szCs w:val="22"/>
        </w:rPr>
      </w:pPr>
    </w:p>
    <w:p w14:paraId="4E2FD1DD" w14:textId="77777777" w:rsidR="00865DF5" w:rsidRPr="00C522C3" w:rsidRDefault="00865DF5" w:rsidP="00865DF5">
      <w:r w:rsidRPr="009F337F">
        <w:rPr>
          <w:rFonts w:ascii="Arial" w:hAnsi="Arial" w:cs="Arial"/>
          <w:b/>
          <w:bCs/>
          <w:sz w:val="20"/>
          <w:szCs w:val="22"/>
        </w:rPr>
        <w:t xml:space="preserve">Supplementary </w:t>
      </w:r>
      <w:r>
        <w:rPr>
          <w:rFonts w:ascii="Arial" w:hAnsi="Arial" w:cs="Arial"/>
          <w:b/>
          <w:bCs/>
          <w:sz w:val="20"/>
          <w:szCs w:val="22"/>
        </w:rPr>
        <w:t>T</w:t>
      </w:r>
      <w:r w:rsidRPr="009F337F">
        <w:rPr>
          <w:rFonts w:ascii="Arial" w:hAnsi="Arial" w:cs="Arial"/>
          <w:b/>
          <w:bCs/>
          <w:sz w:val="20"/>
          <w:szCs w:val="22"/>
        </w:rPr>
        <w:t xml:space="preserve">able </w:t>
      </w:r>
      <w:r>
        <w:rPr>
          <w:rFonts w:ascii="Arial" w:hAnsi="Arial" w:cs="Arial"/>
          <w:b/>
          <w:bCs/>
          <w:sz w:val="20"/>
          <w:szCs w:val="22"/>
        </w:rPr>
        <w:t>4.</w:t>
      </w:r>
      <w:r w:rsidRPr="009F337F">
        <w:rPr>
          <w:sz w:val="20"/>
          <w:szCs w:val="22"/>
        </w:rPr>
        <w:t xml:space="preserve"> </w:t>
      </w:r>
      <w:r w:rsidRPr="002E754D">
        <w:rPr>
          <w:rFonts w:ascii="Arial" w:hAnsi="Arial" w:cs="Arial"/>
          <w:color w:val="000000" w:themeColor="text1"/>
          <w:sz w:val="20"/>
          <w:szCs w:val="20"/>
        </w:rPr>
        <w:t xml:space="preserve">Proportions of the study participants who initiated </w:t>
      </w:r>
      <w:r>
        <w:rPr>
          <w:rFonts w:ascii="Arial" w:hAnsi="Arial" w:cs="Arial"/>
          <w:color w:val="000000" w:themeColor="text1"/>
          <w:sz w:val="20"/>
          <w:szCs w:val="20"/>
        </w:rPr>
        <w:t>long-acting injectables (</w:t>
      </w:r>
      <w:r w:rsidRPr="002E754D">
        <w:rPr>
          <w:rFonts w:ascii="Arial" w:hAnsi="Arial" w:cs="Arial"/>
          <w:color w:val="000000" w:themeColor="text1"/>
          <w:sz w:val="20"/>
          <w:szCs w:val="20"/>
        </w:rPr>
        <w:t>LAI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2E754D">
        <w:rPr>
          <w:rFonts w:ascii="Arial" w:hAnsi="Arial" w:cs="Arial"/>
          <w:color w:val="000000" w:themeColor="text1"/>
          <w:sz w:val="20"/>
          <w:szCs w:val="20"/>
        </w:rPr>
        <w:t xml:space="preserve"> or clozapine use or were diagnosed with schizophrenia </w:t>
      </w:r>
      <w:r w:rsidRPr="003C6316">
        <w:rPr>
          <w:rFonts w:ascii="Arial" w:hAnsi="Arial" w:cs="Arial"/>
          <w:color w:val="000000" w:themeColor="text1"/>
          <w:sz w:val="20"/>
          <w:szCs w:val="20"/>
        </w:rPr>
        <w:t>during the follow-up period</w:t>
      </w:r>
      <w:r w:rsidRPr="002E754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2E754D">
        <w:rPr>
          <w:rFonts w:ascii="Arial" w:hAnsi="Arial" w:cs="Arial"/>
          <w:color w:val="000000" w:themeColor="text1"/>
          <w:sz w:val="20"/>
          <w:szCs w:val="20"/>
        </w:rPr>
        <w:t>comparing refugees and Swedish-born persons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with first-episode non-affective psychosis</w:t>
      </w:r>
      <w:r w:rsidRPr="002E754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3261"/>
        <w:gridCol w:w="1559"/>
        <w:gridCol w:w="283"/>
        <w:gridCol w:w="1843"/>
        <w:gridCol w:w="1694"/>
      </w:tblGrid>
      <w:tr w:rsidR="00865DF5" w:rsidRPr="00D160BB" w14:paraId="3F656BD9" w14:textId="77777777" w:rsidTr="003D7EE6"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1B92EB45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E5883B1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Refugees</w:t>
            </w: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br/>
            </w: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N=1656 (15.7%)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54C0FE08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ADE65EE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Swedish-born</w:t>
            </w: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br/>
            </w: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N=8908 (84.3%)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nil"/>
            </w:tcBorders>
          </w:tcPr>
          <w:p w14:paraId="10F919F4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Total</w:t>
            </w: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br/>
              <w:t>N=10,564 (100%)</w:t>
            </w:r>
          </w:p>
        </w:tc>
      </w:tr>
      <w:tr w:rsidR="00865DF5" w:rsidRPr="00D160BB" w14:paraId="1BFAC2CB" w14:textId="77777777" w:rsidTr="003D7EE6">
        <w:tc>
          <w:tcPr>
            <w:tcW w:w="3261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30E7453D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Clozapine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33581418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55 (3.3)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5507BBE0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24BF7471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419 (4.7)</w:t>
            </w: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shd w:val="pct5" w:color="auto" w:fill="auto"/>
          </w:tcPr>
          <w:p w14:paraId="5FE2D463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474 (4.5)</w:t>
            </w:r>
          </w:p>
        </w:tc>
      </w:tr>
      <w:tr w:rsidR="00865DF5" w:rsidRPr="00D160BB" w14:paraId="56EE6675" w14:textId="77777777" w:rsidTr="003D7EE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0F9DA4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LAI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1F89C0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303 (18.3)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45741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C41D8C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1171 (13.2)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62AE61E5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1474 (14.0)</w:t>
            </w:r>
          </w:p>
        </w:tc>
      </w:tr>
      <w:tr w:rsidR="00865DF5" w:rsidRPr="00D160BB" w14:paraId="3115EDC9" w14:textId="77777777" w:rsidTr="003D7EE6">
        <w:tc>
          <w:tcPr>
            <w:tcW w:w="3261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12DD6F4C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Schizophrenia (F20)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54037373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283 (17.1)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2370EF80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3EA0CA7B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1267 (14.2)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3984A760" w14:textId="77777777" w:rsidR="00865DF5" w:rsidRPr="00CA38ED" w:rsidRDefault="00865DF5" w:rsidP="003D7EE6">
            <w:pPr>
              <w:spacing w:line="276" w:lineRule="auto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CA38ED">
              <w:rPr>
                <w:rFonts w:ascii="Arial" w:hAnsi="Arial" w:cs="Arial"/>
                <w:color w:val="000000" w:themeColor="text1"/>
                <w:sz w:val="15"/>
                <w:szCs w:val="15"/>
              </w:rPr>
              <w:t>1550 (14.7)</w:t>
            </w:r>
          </w:p>
        </w:tc>
      </w:tr>
    </w:tbl>
    <w:p w14:paraId="314FFEAE" w14:textId="77777777" w:rsidR="00865DF5" w:rsidRDefault="00865DF5" w:rsidP="00865DF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64EA17B3" w14:textId="77777777" w:rsidR="00865DF5" w:rsidRDefault="00865DF5" w:rsidP="00865DF5">
      <w:pPr>
        <w:spacing w:line="360" w:lineRule="auto"/>
        <w:rPr>
          <w:color w:val="000000" w:themeColor="text1"/>
        </w:rPr>
      </w:pPr>
    </w:p>
    <w:p w14:paraId="039C1A9A" w14:textId="77777777" w:rsidR="00865DF5" w:rsidRPr="00553962" w:rsidRDefault="00865DF5" w:rsidP="00865DF5">
      <w:pPr>
        <w:pStyle w:val="BodyText"/>
      </w:pPr>
    </w:p>
    <w:p w14:paraId="30D4FA68" w14:textId="77777777" w:rsidR="00051C13" w:rsidRDefault="00051C13"/>
    <w:sectPr w:rsidR="00051C13" w:rsidSect="00143F3B">
      <w:headerReference w:type="even" r:id="rId4"/>
      <w:footerReference w:type="default" r:id="rId5"/>
      <w:headerReference w:type="first" r:id="rId6"/>
      <w:footerReference w:type="first" r:id="rId7"/>
      <w:pgSz w:w="12240" w:h="15840" w:code="1"/>
      <w:pgMar w:top="1440" w:right="1440" w:bottom="1440" w:left="1440" w:header="720" w:footer="102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035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C8A1C" w14:textId="77777777" w:rsidR="000F753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B3D4C" w14:textId="77777777" w:rsidR="00B95291" w:rsidRPr="0027240F" w:rsidRDefault="00000000" w:rsidP="00C536CE">
    <w:pPr>
      <w:pStyle w:val="Footer"/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03A1" w14:textId="77777777" w:rsidR="00B95291" w:rsidRDefault="00000000">
    <w:pPr>
      <w:pStyle w:val="Footer"/>
    </w:pPr>
  </w:p>
  <w:p w14:paraId="5227EA10" w14:textId="77777777" w:rsidR="00B95291" w:rsidRDefault="00000000">
    <w:pPr>
      <w:pStyle w:val="Footer"/>
    </w:pPr>
  </w:p>
  <w:p w14:paraId="604B58F4" w14:textId="77777777" w:rsidR="00B95291" w:rsidRDefault="00000000">
    <w:pPr>
      <w:pStyle w:val="Footer"/>
    </w:pPr>
  </w:p>
  <w:p w14:paraId="45A06D1F" w14:textId="77777777" w:rsidR="00B95291" w:rsidRPr="00E26AC7" w:rsidRDefault="00000000">
    <w:pPr>
      <w:pStyle w:val="Footer"/>
      <w:rPr>
        <w:caps w:val="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Pr="00E26AC7">
      <w:rPr>
        <w:rFonts w:cs="Arial"/>
        <w:caps w:val="0"/>
        <w:sz w:val="14"/>
        <w:szCs w:val="18"/>
      </w:rPr>
      <w:t xml:space="preserve">Photo: Åke </w:t>
    </w:r>
    <w:proofErr w:type="gramStart"/>
    <w:r w:rsidRPr="00E26AC7">
      <w:rPr>
        <w:rFonts w:cs="Arial"/>
        <w:caps w:val="0"/>
        <w:sz w:val="14"/>
        <w:szCs w:val="18"/>
      </w:rPr>
      <w:t>E:son</w:t>
    </w:r>
    <w:proofErr w:type="gramEnd"/>
    <w:r w:rsidRPr="00E26AC7">
      <w:rPr>
        <w:rFonts w:cs="Arial"/>
        <w:caps w:val="0"/>
        <w:sz w:val="14"/>
        <w:szCs w:val="18"/>
      </w:rPr>
      <w:t xml:space="preserve"> Lindman, photo edited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40FE" w14:textId="77777777" w:rsidR="00B95291" w:rsidRDefault="00000000" w:rsidP="003930A9"/>
  <w:p w14:paraId="428B08D8" w14:textId="77777777" w:rsidR="00B95291" w:rsidRDefault="00000000" w:rsidP="003930A9"/>
  <w:p w14:paraId="6ADF25A0" w14:textId="77777777" w:rsidR="00B95291" w:rsidRDefault="00000000" w:rsidP="003930A9"/>
  <w:p w14:paraId="0DB35F31" w14:textId="77777777" w:rsidR="00B95291" w:rsidRDefault="00000000" w:rsidP="003930A9"/>
  <w:p w14:paraId="35579C37" w14:textId="77777777" w:rsidR="00B95291" w:rsidRDefault="00000000" w:rsidP="003930A9"/>
  <w:p w14:paraId="7D10B368" w14:textId="77777777" w:rsidR="00B95291" w:rsidRDefault="00000000" w:rsidP="003930A9"/>
  <w:p w14:paraId="04BF9D4A" w14:textId="77777777" w:rsidR="00B95291" w:rsidRDefault="00000000" w:rsidP="003930A9"/>
  <w:p w14:paraId="4601C0C7" w14:textId="77777777" w:rsidR="00B95291" w:rsidRDefault="00000000" w:rsidP="003930A9"/>
  <w:p w14:paraId="4C4D622B" w14:textId="77777777" w:rsidR="00B95291" w:rsidRDefault="00000000" w:rsidP="003930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25CB" w14:textId="77777777" w:rsidR="00B95291" w:rsidRPr="00BE4B07" w:rsidRDefault="00000000" w:rsidP="00AF4620">
    <w:pPr>
      <w:pStyle w:val="Header"/>
      <w:rPr>
        <w:noProof/>
        <w:lang w:eastAsia="sv-SE"/>
      </w:rPr>
    </w:pPr>
    <w:r w:rsidRPr="00BE4B07">
      <w:rPr>
        <w:noProof/>
        <w:lang w:eastAsia="sv-SE"/>
      </w:rPr>
      <w:tab/>
    </w:r>
    <w:r w:rsidRPr="00BE4B07">
      <w:rPr>
        <w:noProof/>
        <w:lang w:eastAsia="sv-SE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F5"/>
    <w:rsid w:val="00051C13"/>
    <w:rsid w:val="008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FE09"/>
  <w15:chartTrackingRefBased/>
  <w15:docId w15:val="{0AF2A432-40AC-4168-B9E5-A5129985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65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/>
      <w:outlineLvl w:val="0"/>
    </w:pPr>
    <w:rPr>
      <w:rFonts w:cs="Courier New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DF5"/>
    <w:rPr>
      <w:rFonts w:ascii="Times New Roman" w:eastAsia="Times New Roman" w:hAnsi="Times New Roman" w:cs="Courier New"/>
      <w:sz w:val="36"/>
      <w:szCs w:val="32"/>
      <w:lang w:val="en-GB" w:eastAsia="en-GB"/>
    </w:rPr>
  </w:style>
  <w:style w:type="paragraph" w:styleId="BodyText">
    <w:name w:val="Body Text"/>
    <w:basedOn w:val="Normal"/>
    <w:link w:val="BodyTextChar"/>
    <w:rsid w:val="00865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65D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65DF5"/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5DF5"/>
    <w:rPr>
      <w:rFonts w:ascii="Times New Roman" w:eastAsia="Times New Roman" w:hAnsi="Times New Roman" w:cs="Times New Roman"/>
      <w:caps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865DF5"/>
    <w:pPr>
      <w:tabs>
        <w:tab w:val="center" w:pos="4320"/>
        <w:tab w:val="right" w:pos="8640"/>
      </w:tabs>
    </w:pPr>
    <w:rPr>
      <w:caps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65DF5"/>
    <w:rPr>
      <w:rFonts w:ascii="Times New Roman" w:eastAsia="Times New Roman" w:hAnsi="Times New Roman" w:cs="Times New Roman"/>
      <w:caps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865DF5"/>
    <w:pPr>
      <w:spacing w:after="0" w:line="240" w:lineRule="auto"/>
    </w:pPr>
    <w:rPr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39"/>
    <w:rsid w:val="00865DF5"/>
    <w:pPr>
      <w:spacing w:after="0" w:line="240" w:lineRule="auto"/>
    </w:pPr>
    <w:rPr>
      <w:rFonts w:ascii="Calibri" w:eastAsia="Calibri" w:hAnsi="Calibri"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Taipale</dc:creator>
  <cp:keywords/>
  <dc:description/>
  <cp:lastModifiedBy>Heidi Taipale</cp:lastModifiedBy>
  <cp:revision>1</cp:revision>
  <dcterms:created xsi:type="dcterms:W3CDTF">2022-08-12T08:00:00Z</dcterms:created>
  <dcterms:modified xsi:type="dcterms:W3CDTF">2022-08-12T08:00:00Z</dcterms:modified>
</cp:coreProperties>
</file>